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9"/>
        <w:rPr>
          <w:rFonts w:ascii="Times New Roman"/>
          <w:sz w:val="28"/>
        </w:rPr>
      </w:pPr>
    </w:p>
    <w:p>
      <w:pPr>
        <w:pStyle w:val="Heading1"/>
      </w:pPr>
      <w:bookmarkStart w:name="Chapter 7 - Misrepresentation" w:id="1"/>
      <w:bookmarkEnd w:id="1"/>
      <w:r>
        <w:rPr>
          <w:b w:val="0"/>
        </w:rPr>
      </w:r>
      <w:r>
        <w:rPr/>
        <w:t>Chitty on Contracts 32nd </w:t>
      </w:r>
      <w:r>
        <w:rPr>
          <w:spacing w:val="-5"/>
        </w:rPr>
        <w:t>Ed.</w:t>
      </w:r>
    </w:p>
    <w:p>
      <w:pPr>
        <w:pStyle w:val="Heading2"/>
        <w:spacing w:line="408" w:lineRule="auto" w:before="198"/>
        <w:ind w:left="939" w:right="943"/>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2"/>
        <w:ind w:left="2539" w:right="2543"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3862528">
                <wp:simplePos x="0" y="0"/>
                <wp:positionH relativeFrom="page">
                  <wp:posOffset>4851958</wp:posOffset>
                </wp:positionH>
                <wp:positionV relativeFrom="paragraph">
                  <wp:posOffset>377436</wp:posOffset>
                </wp:positionV>
                <wp:extent cx="4254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53952" from="382.044006pt,29.719406pt" to="385.380006pt,29.719406pt" stroked="true" strokeweight=".428pt" strokecolor="#005da1">
                <v:stroke dashstyle="solid"/>
                <w10:wrap type="none"/>
              </v:line>
            </w:pict>
          </mc:Fallback>
        </mc:AlternateContent>
      </w:r>
      <w:r>
        <w:rPr>
          <w:rFonts w:ascii="Arial"/>
          <w:b/>
          <w:sz w:val="24"/>
        </w:rPr>
        <w:t>Part 2 - Formation of Contract Chapter</w:t>
      </w:r>
      <w:r>
        <w:rPr>
          <w:rFonts w:ascii="Arial"/>
          <w:b/>
          <w:spacing w:val="-10"/>
          <w:sz w:val="24"/>
        </w:rPr>
        <w:t> </w:t>
      </w:r>
      <w:r>
        <w:rPr>
          <w:rFonts w:ascii="Arial"/>
          <w:b/>
          <w:sz w:val="24"/>
        </w:rPr>
        <w:t>7</w:t>
      </w:r>
      <w:r>
        <w:rPr>
          <w:rFonts w:ascii="Arial"/>
          <w:b/>
          <w:spacing w:val="-10"/>
          <w:sz w:val="24"/>
        </w:rPr>
        <w:t> </w:t>
      </w:r>
      <w:r>
        <w:rPr>
          <w:rFonts w:ascii="Arial"/>
          <w:b/>
          <w:sz w:val="24"/>
        </w:rPr>
        <w:t>-</w:t>
      </w:r>
      <w:r>
        <w:rPr>
          <w:rFonts w:ascii="Arial"/>
          <w:b/>
          <w:spacing w:val="-10"/>
          <w:sz w:val="24"/>
        </w:rPr>
        <w:t> </w:t>
      </w:r>
      <w:r>
        <w:rPr>
          <w:rFonts w:ascii="Arial"/>
          <w:b/>
          <w:sz w:val="24"/>
        </w:rPr>
        <w:t>Misrepresentation</w:t>
      </w:r>
      <w:r>
        <w:rPr>
          <w:rFonts w:ascii="Arial"/>
          <w:b/>
          <w:spacing w:val="-10"/>
          <w:sz w:val="24"/>
        </w:rPr>
        <w:t> </w:t>
      </w:r>
      <w:r>
        <w:rPr>
          <w:rFonts w:ascii="Arial"/>
          <w:b/>
          <w:color w:val="005DA1"/>
          <w:position w:val="11"/>
          <w:sz w:val="12"/>
        </w:rPr>
        <w:t>1</w:t>
      </w:r>
      <w:r>
        <w:rPr>
          <w:rFonts w:ascii="Arial"/>
          <w:b/>
          <w:color w:val="005DA1"/>
          <w:spacing w:val="40"/>
          <w:position w:val="11"/>
          <w:sz w:val="12"/>
        </w:rPr>
        <w:t> </w:t>
      </w:r>
      <w:r>
        <w:rPr>
          <w:rFonts w:ascii="Arial"/>
          <w:b/>
          <w:sz w:val="24"/>
        </w:rPr>
        <w:t>Section 1. - In General</w:t>
      </w:r>
    </w:p>
    <w:p>
      <w:pPr>
        <w:pStyle w:val="BodyText"/>
        <w:rPr>
          <w:rFonts w:ascii="Arial"/>
          <w:b/>
          <w:sz w:val="18"/>
        </w:rPr>
      </w:pPr>
    </w:p>
    <w:p>
      <w:pPr>
        <w:pStyle w:val="BodyText"/>
        <w:spacing w:before="35"/>
        <w:rPr>
          <w:rFonts w:ascii="Arial"/>
          <w:b/>
          <w:sz w:val="18"/>
        </w:rPr>
      </w:pPr>
    </w:p>
    <w:p>
      <w:pPr>
        <w:spacing w:before="1"/>
        <w:ind w:left="164" w:right="0" w:firstLine="0"/>
        <w:jc w:val="left"/>
        <w:rPr>
          <w:rFonts w:ascii="Arial"/>
          <w:b/>
          <w:sz w:val="18"/>
        </w:rPr>
      </w:pPr>
      <w:r>
        <w:rPr>
          <w:rFonts w:ascii="Arial"/>
          <w:b/>
          <w:spacing w:val="-2"/>
          <w:sz w:val="18"/>
        </w:rPr>
        <w:t>Preliminary</w:t>
      </w:r>
    </w:p>
    <w:p>
      <w:pPr>
        <w:pStyle w:val="BodyText"/>
        <w:spacing w:before="41"/>
        <w:rPr>
          <w:rFonts w:ascii="Arial"/>
          <w:b/>
          <w:sz w:val="18"/>
        </w:rPr>
      </w:pPr>
    </w:p>
    <w:p>
      <w:pPr>
        <w:pStyle w:val="Heading2"/>
        <w:ind w:left="164"/>
      </w:pPr>
      <w:r>
        <w:rPr/>
        <w:t>7-</w:t>
      </w:r>
      <w:r>
        <w:rPr>
          <w:spacing w:val="-5"/>
        </w:rPr>
        <w:t>001</w:t>
      </w:r>
    </w:p>
    <w:p>
      <w:pPr>
        <w:pStyle w:val="BodyText"/>
        <w:spacing w:before="92"/>
        <w:rPr>
          <w:rFonts w:ascii="Arial"/>
          <w:b/>
        </w:rPr>
      </w:pPr>
    </w:p>
    <w:p>
      <w:pPr>
        <w:pStyle w:val="BodyText"/>
        <w:spacing w:line="235" w:lineRule="auto" w:before="1"/>
        <w:ind w:left="164" w:right="167"/>
        <w:jc w:val="both"/>
      </w:pPr>
      <w:r>
        <w:rPr/>
        <mc:AlternateContent>
          <mc:Choice Requires="wps">
            <w:drawing>
              <wp:anchor distT="0" distB="0" distL="0" distR="0" allowOverlap="1" layoutInCell="1" locked="0" behindDoc="1" simplePos="0" relativeHeight="483863040">
                <wp:simplePos x="0" y="0"/>
                <wp:positionH relativeFrom="page">
                  <wp:posOffset>5401716</wp:posOffset>
                </wp:positionH>
                <wp:positionV relativeFrom="paragraph">
                  <wp:posOffset>206972</wp:posOffset>
                </wp:positionV>
                <wp:extent cx="4254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53440" from="425.332001pt,16.297047pt" to="428.668001pt,16.297047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3863552">
                <wp:simplePos x="0" y="0"/>
                <wp:positionH relativeFrom="page">
                  <wp:posOffset>1534998</wp:posOffset>
                </wp:positionH>
                <wp:positionV relativeFrom="paragraph">
                  <wp:posOffset>2778722</wp:posOffset>
                </wp:positionV>
                <wp:extent cx="4254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52928" from="120.865997pt,218.797043pt" to="124.201997pt,218.79704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3864064">
                <wp:simplePos x="0" y="0"/>
                <wp:positionH relativeFrom="page">
                  <wp:posOffset>2975610</wp:posOffset>
                </wp:positionH>
                <wp:positionV relativeFrom="paragraph">
                  <wp:posOffset>3064472</wp:posOffset>
                </wp:positionV>
                <wp:extent cx="4254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52416" from="234.300003pt,241.297043pt" to="237.636003pt,241.29704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3864576">
                <wp:simplePos x="0" y="0"/>
                <wp:positionH relativeFrom="page">
                  <wp:posOffset>5481904</wp:posOffset>
                </wp:positionH>
                <wp:positionV relativeFrom="paragraph">
                  <wp:posOffset>3064472</wp:posOffset>
                </wp:positionV>
                <wp:extent cx="4254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51904" from="431.645996pt,241.297043pt" to="434.981996pt,241.297043pt" stroked="true" strokeweight=".428pt" strokecolor="#005da1">
                <v:stroke dashstyle="solid"/>
                <w10:wrap type="none"/>
              </v:line>
            </w:pict>
          </mc:Fallback>
        </mc:AlternateContent>
      </w:r>
      <w:r>
        <w:rPr>
          <w:position w:val="-2"/>
        </w:rPr>
        <w:drawing>
          <wp:inline distT="0" distB="0" distL="0" distR="0">
            <wp:extent cx="107988" cy="107988"/>
            <wp:effectExtent l="0" t="0" r="0" b="0"/>
            <wp:docPr id="7" name="Image 7"/>
            <wp:cNvGraphicFramePr>
              <a:graphicFrameLocks/>
            </wp:cNvGraphicFramePr>
            <a:graphic>
              <a:graphicData uri="http://schemas.openxmlformats.org/drawingml/2006/picture">
                <pic:pic>
                  <pic:nvPicPr>
                    <pic:cNvPr id="7" name="Image 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0" w:id="2"/>
      <w:bookmarkEnd w:id="2"/>
      <w:r>
        <w:rPr>
          <w:rFonts w:ascii="Times New Roman" w:hAnsi="Times New Roman"/>
          <w:spacing w:val="6"/>
        </w:rPr>
      </w:r>
      <w:r>
        <w:rPr/>
        <w:t>The</w:t>
      </w:r>
      <w:r>
        <w:rPr>
          <w:spacing w:val="-2"/>
        </w:rPr>
        <w:t> </w:t>
      </w:r>
      <w:r>
        <w:rPr/>
        <w:t>modern</w:t>
      </w:r>
      <w:r>
        <w:rPr>
          <w:spacing w:val="-2"/>
        </w:rPr>
        <w:t> </w:t>
      </w:r>
      <w:r>
        <w:rPr/>
        <w:t>law</w:t>
      </w:r>
      <w:r>
        <w:rPr>
          <w:spacing w:val="-2"/>
        </w:rPr>
        <w:t> </w:t>
      </w:r>
      <w:r>
        <w:rPr/>
        <w:t>relating</w:t>
      </w:r>
      <w:r>
        <w:rPr>
          <w:spacing w:val="-2"/>
        </w:rPr>
        <w:t> </w:t>
      </w:r>
      <w:r>
        <w:rPr/>
        <w:t>to</w:t>
      </w:r>
      <w:r>
        <w:rPr>
          <w:spacing w:val="-2"/>
        </w:rPr>
        <w:t> </w:t>
      </w:r>
      <w:r>
        <w:rPr/>
        <w:t>misrepresentation</w:t>
      </w:r>
      <w:r>
        <w:rPr>
          <w:spacing w:val="-2"/>
        </w:rPr>
        <w:t> </w:t>
      </w:r>
      <w:r>
        <w:rPr/>
        <w:t>is</w:t>
      </w:r>
      <w:r>
        <w:rPr>
          <w:spacing w:val="-2"/>
        </w:rPr>
        <w:t> </w:t>
      </w:r>
      <w:r>
        <w:rPr/>
        <w:t>a</w:t>
      </w:r>
      <w:r>
        <w:rPr>
          <w:spacing w:val="-2"/>
        </w:rPr>
        <w:t> </w:t>
      </w:r>
      <w:r>
        <w:rPr/>
        <w:t>somewhat</w:t>
      </w:r>
      <w:r>
        <w:rPr>
          <w:spacing w:val="-2"/>
        </w:rPr>
        <w:t> </w:t>
      </w:r>
      <w:r>
        <w:rPr/>
        <w:t>complex</w:t>
      </w:r>
      <w:r>
        <w:rPr>
          <w:spacing w:val="-2"/>
        </w:rPr>
        <w:t> </w:t>
      </w:r>
      <w:r>
        <w:rPr/>
        <w:t>amalgam</w:t>
      </w:r>
      <w:r>
        <w:rPr>
          <w:spacing w:val="-2"/>
        </w:rPr>
        <w:t> </w:t>
      </w:r>
      <w:r>
        <w:rPr/>
        <w:t>of</w:t>
      </w:r>
      <w:r>
        <w:rPr>
          <w:spacing w:val="-2"/>
        </w:rPr>
        <w:t> </w:t>
      </w:r>
      <w:r>
        <w:rPr/>
        <w:t>rules</w:t>
      </w:r>
      <w:r>
        <w:rPr>
          <w:spacing w:val="-2"/>
        </w:rPr>
        <w:t> </w:t>
      </w:r>
      <w:r>
        <w:rPr/>
        <w:t>of</w:t>
      </w:r>
      <w:r>
        <w:rPr>
          <w:spacing w:val="-2"/>
        </w:rPr>
        <w:t> </w:t>
      </w:r>
      <w:r>
        <w:rPr/>
        <w:t>common law, equity and (since the coming into force of the Misrepresentation Act 1967) </w:t>
      </w:r>
      <w:r>
        <w:rPr>
          <w:color w:val="005DA1"/>
          <w:vertAlign w:val="superscript"/>
        </w:rPr>
        <w:t>2</w:t>
      </w:r>
      <w:r>
        <w:rPr>
          <w:color w:val="005DA1"/>
          <w:vertAlign w:val="baseline"/>
        </w:rPr>
        <w:t> </w:t>
      </w:r>
      <w:r>
        <w:rPr>
          <w:vertAlign w:val="baseline"/>
        </w:rPr>
        <w:t>statute law. It is also complicated by the fact that misrepresentation may constitute an actionable tort in </w:t>
      </w:r>
      <w:r>
        <w:rPr>
          <w:vertAlign w:val="baseline"/>
        </w:rPr>
        <w:t>certain circumstances, as well as providing grounds for relief in the law of contract. Prior to the enactment of the Misrepresentation Act 1967, the position broadly speaking was that a misrepresentation which induced a person to enter into a contract gave the representee the right to rescind the contract, subject to certain conditions, but generally gave him no right to damages unless the</w:t>
      </w:r>
      <w:r>
        <w:rPr>
          <w:spacing w:val="40"/>
          <w:vertAlign w:val="baseline"/>
        </w:rPr>
        <w:t> </w:t>
      </w:r>
      <w:r>
        <w:rPr>
          <w:vertAlign w:val="baseline"/>
        </w:rPr>
        <w:t>misrepresentation was fraudulent, or, in some cases, negligent, or unless the representation amounted to a term of the contract. Since the coming into force of the Misrepresentation Act the representee who entered a contract as the result of a misrepresentation will always be able to claim damages for negligent misrepresentation in circumstances in which he could have recovered damages</w:t>
      </w:r>
      <w:r>
        <w:rPr>
          <w:spacing w:val="-2"/>
          <w:vertAlign w:val="baseline"/>
        </w:rPr>
        <w:t> </w:t>
      </w:r>
      <w:r>
        <w:rPr>
          <w:vertAlign w:val="baseline"/>
        </w:rPr>
        <w:t>had</w:t>
      </w:r>
      <w:r>
        <w:rPr>
          <w:spacing w:val="-2"/>
          <w:vertAlign w:val="baseline"/>
        </w:rPr>
        <w:t> </w:t>
      </w:r>
      <w:r>
        <w:rPr>
          <w:vertAlign w:val="baseline"/>
        </w:rPr>
        <w:t>the</w:t>
      </w:r>
      <w:r>
        <w:rPr>
          <w:spacing w:val="-2"/>
          <w:vertAlign w:val="baseline"/>
        </w:rPr>
        <w:t> </w:t>
      </w:r>
      <w:r>
        <w:rPr>
          <w:vertAlign w:val="baseline"/>
        </w:rPr>
        <w:t>misrepresentation</w:t>
      </w:r>
      <w:r>
        <w:rPr>
          <w:spacing w:val="-2"/>
          <w:vertAlign w:val="baseline"/>
        </w:rPr>
        <w:t> </w:t>
      </w:r>
      <w:r>
        <w:rPr>
          <w:vertAlign w:val="baseline"/>
        </w:rPr>
        <w:t>been</w:t>
      </w:r>
      <w:r>
        <w:rPr>
          <w:spacing w:val="-2"/>
          <w:vertAlign w:val="baseline"/>
        </w:rPr>
        <w:t> </w:t>
      </w:r>
      <w:r>
        <w:rPr>
          <w:vertAlign w:val="baseline"/>
        </w:rPr>
        <w:t>fraudulent.</w:t>
      </w:r>
      <w:r>
        <w:rPr>
          <w:spacing w:val="-2"/>
          <w:vertAlign w:val="baseline"/>
        </w:rPr>
        <w:t> </w:t>
      </w:r>
      <w:r>
        <w:rPr>
          <w:vertAlign w:val="baseline"/>
        </w:rPr>
        <w:t>In</w:t>
      </w:r>
      <w:r>
        <w:rPr>
          <w:spacing w:val="-2"/>
          <w:vertAlign w:val="baseline"/>
        </w:rPr>
        <w:t> </w:t>
      </w:r>
      <w:r>
        <w:rPr>
          <w:vertAlign w:val="baseline"/>
        </w:rPr>
        <w:t>addition</w:t>
      </w:r>
      <w:r>
        <w:rPr>
          <w:spacing w:val="-2"/>
          <w:vertAlign w:val="baseline"/>
        </w:rPr>
        <w:t> </w:t>
      </w:r>
      <w:r>
        <w:rPr>
          <w:vertAlign w:val="baseline"/>
        </w:rPr>
        <w:t>the</w:t>
      </w:r>
      <w:r>
        <w:rPr>
          <w:spacing w:val="-2"/>
          <w:vertAlign w:val="baseline"/>
        </w:rPr>
        <w:t> </w:t>
      </w:r>
      <w:r>
        <w:rPr>
          <w:vertAlign w:val="baseline"/>
        </w:rPr>
        <w:t>Act</w:t>
      </w:r>
      <w:r>
        <w:rPr>
          <w:spacing w:val="-2"/>
          <w:vertAlign w:val="baseline"/>
        </w:rPr>
        <w:t> </w:t>
      </w:r>
      <w:r>
        <w:rPr>
          <w:vertAlign w:val="baseline"/>
        </w:rPr>
        <w:t>gives</w:t>
      </w:r>
      <w:r>
        <w:rPr>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a</w:t>
      </w:r>
      <w:r>
        <w:rPr>
          <w:spacing w:val="-2"/>
          <w:vertAlign w:val="baseline"/>
        </w:rPr>
        <w:t> </w:t>
      </w:r>
      <w:r>
        <w:rPr>
          <w:vertAlign w:val="baseline"/>
        </w:rPr>
        <w:t>discretion</w:t>
      </w:r>
      <w:r>
        <w:rPr>
          <w:spacing w:val="-2"/>
          <w:vertAlign w:val="baseline"/>
        </w:rPr>
        <w:t> </w:t>
      </w:r>
      <w:r>
        <w:rPr>
          <w:vertAlign w:val="baseline"/>
        </w:rPr>
        <w:t>to refuse to permit a representee to rescind a contract, but to award him damages in lieu of rescission, if the misrepresentation is negligent or wholly innocent; but it leaves the representee with an absolute right to rescind where the misrepresentation is fraudulent. The Act of 1967 does not, however, alter the rules as to what constitutes an effective misrepresentation. It has been said that the rules on misrepresentation have developed piecemeal, and that some of the rules, which were developed when the remedies for misrepresentation were narrower than they now are, may not now operate</w:t>
      </w:r>
      <w:r>
        <w:rPr>
          <w:spacing w:val="40"/>
          <w:vertAlign w:val="baseline"/>
        </w:rPr>
        <w:t> </w:t>
      </w:r>
      <w:bookmarkStart w:name="_bookmark1" w:id="3"/>
      <w:bookmarkEnd w:id="3"/>
      <w:r>
        <w:rPr>
          <w:vertAlign w:val="baseline"/>
        </w:rPr>
        <w:t>well.</w:t>
      </w:r>
      <w:r>
        <w:rPr>
          <w:vertAlign w:val="baseline"/>
        </w:rPr>
        <w:t> Given the present state of the law, especially in the light of the decision in </w:t>
      </w:r>
      <w:r>
        <w:rPr>
          <w:rFonts w:ascii="Arial" w:hAnsi="Arial"/>
          <w:i/>
          <w:vertAlign w:val="baseline"/>
        </w:rPr>
        <w:t>Royscot Trust Ltd v Rogerson </w:t>
      </w:r>
      <w:r>
        <w:rPr>
          <w:color w:val="005DA1"/>
          <w:vertAlign w:val="superscript"/>
        </w:rPr>
        <w:t>3</w:t>
      </w:r>
      <w:r>
        <w:rPr>
          <w:color w:val="005DA1"/>
          <w:vertAlign w:val="baseline"/>
        </w:rPr>
        <w:t> </w:t>
      </w:r>
      <w:r>
        <w:rPr>
          <w:vertAlign w:val="baseline"/>
        </w:rPr>
        <w:t>that the rules of fraud attach to liability for “negligent” misrepresentation under the </w:t>
      </w:r>
      <w:bookmarkStart w:name="_bookmark2" w:id="4"/>
      <w:bookmarkEnd w:id="4"/>
      <w:r>
        <w:rPr>
          <w:vertAlign w:val="baseline"/>
        </w:rPr>
        <w:t>Misrepresentation</w:t>
      </w:r>
      <w:r>
        <w:rPr>
          <w:vertAlign w:val="baseline"/>
        </w:rPr>
        <w:t> Act 1967 s.2(1), it has been said that the court should not be too ready to find that</w:t>
      </w:r>
      <w:r>
        <w:rPr>
          <w:spacing w:val="40"/>
          <w:vertAlign w:val="baseline"/>
        </w:rPr>
        <w:t> </w:t>
      </w:r>
      <w:r>
        <w:rPr>
          <w:vertAlign w:val="baseline"/>
        </w:rPr>
        <w:t>a misrepresentation has been made </w:t>
      </w:r>
      <w:r>
        <w:rPr>
          <w:color w:val="005DA1"/>
          <w:vertAlign w:val="superscript"/>
        </w:rPr>
        <w:t>4</w:t>
      </w:r>
      <w:r>
        <w:rPr>
          <w:vertAlign w:val="baseline"/>
        </w:rPr>
        <w:t>; but this statement has also been doubted. </w:t>
      </w:r>
      <w:r>
        <w:rPr>
          <w:color w:val="005DA1"/>
          <w:vertAlign w:val="superscript"/>
        </w:rPr>
        <w:t>5</w:t>
      </w:r>
    </w:p>
    <w:p>
      <w:pPr>
        <w:pStyle w:val="BodyText"/>
      </w:pPr>
    </w:p>
    <w:p>
      <w:pPr>
        <w:pStyle w:val="BodyText"/>
        <w:spacing w:before="30"/>
      </w:pPr>
    </w:p>
    <w:p>
      <w:pPr>
        <w:spacing w:before="0"/>
        <w:ind w:left="165" w:right="0" w:firstLine="0"/>
        <w:jc w:val="both"/>
        <w:rPr>
          <w:rFonts w:ascii="Arial"/>
          <w:b/>
          <w:sz w:val="18"/>
        </w:rPr>
      </w:pPr>
      <w:r>
        <w:rPr>
          <w:rFonts w:ascii="Arial"/>
          <w:b/>
          <w:sz w:val="18"/>
        </w:rPr>
        <w:t>Prohibitions on misrepresentations in consumer </w:t>
      </w:r>
      <w:r>
        <w:rPr>
          <w:rFonts w:ascii="Arial"/>
          <w:b/>
          <w:spacing w:val="-2"/>
          <w:sz w:val="18"/>
        </w:rPr>
        <w:t>cases</w:t>
      </w:r>
    </w:p>
    <w:p>
      <w:pPr>
        <w:pStyle w:val="BodyText"/>
        <w:spacing w:before="41"/>
        <w:rPr>
          <w:rFonts w:ascii="Arial"/>
          <w:b/>
          <w:sz w:val="18"/>
        </w:rPr>
      </w:pPr>
    </w:p>
    <w:p>
      <w:pPr>
        <w:pStyle w:val="Heading2"/>
      </w:pPr>
      <w:r>
        <w:rPr/>
        <w:t>7-</w:t>
      </w:r>
      <w:r>
        <w:rPr>
          <w:spacing w:val="-5"/>
        </w:rPr>
        <w:t>002</w:t>
      </w:r>
    </w:p>
    <w:p>
      <w:pPr>
        <w:pStyle w:val="BodyText"/>
        <w:spacing w:line="235" w:lineRule="auto" w:before="203"/>
        <w:ind w:left="165" w:right="167"/>
        <w:jc w:val="both"/>
      </w:pPr>
      <w:r>
        <w:rPr/>
        <mc:AlternateContent>
          <mc:Choice Requires="wps">
            <w:drawing>
              <wp:anchor distT="0" distB="0" distL="0" distR="0" allowOverlap="1" layoutInCell="1" locked="0" behindDoc="0" simplePos="0" relativeHeight="15731200">
                <wp:simplePos x="0" y="0"/>
                <wp:positionH relativeFrom="page">
                  <wp:posOffset>3493960</wp:posOffset>
                </wp:positionH>
                <wp:positionV relativeFrom="paragraph">
                  <wp:posOffset>192506</wp:posOffset>
                </wp:positionV>
                <wp:extent cx="4254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275.114990pt,15.157985pt" to="278.45099pt,15.157985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3865600">
                <wp:simplePos x="0" y="0"/>
                <wp:positionH relativeFrom="page">
                  <wp:posOffset>2453182</wp:posOffset>
                </wp:positionH>
                <wp:positionV relativeFrom="paragraph">
                  <wp:posOffset>478256</wp:posOffset>
                </wp:positionV>
                <wp:extent cx="4254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50880" from="193.164001pt,37.657986pt" to="196.500001pt,37.657986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3866112">
                <wp:simplePos x="0" y="0"/>
                <wp:positionH relativeFrom="page">
                  <wp:posOffset>4083710</wp:posOffset>
                </wp:positionH>
                <wp:positionV relativeFrom="paragraph">
                  <wp:posOffset>478256</wp:posOffset>
                </wp:positionV>
                <wp:extent cx="4254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50368" from="321.552002pt,37.657986pt" to="324.888002pt,37.657986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3866624">
                <wp:simplePos x="0" y="0"/>
                <wp:positionH relativeFrom="page">
                  <wp:posOffset>2898520</wp:posOffset>
                </wp:positionH>
                <wp:positionV relativeFrom="paragraph">
                  <wp:posOffset>906881</wp:posOffset>
                </wp:positionV>
                <wp:extent cx="4254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49856" from="228.229996pt,71.407982pt" to="231.565996pt,71.407982pt" stroked="true" strokeweight=".428pt" strokecolor="#005da1">
                <v:stroke dashstyle="solid"/>
                <w10:wrap type="none"/>
              </v:line>
            </w:pict>
          </mc:Fallback>
        </mc:AlternateContent>
      </w:r>
      <w:bookmarkStart w:name="_bookmark3" w:id="5"/>
      <w:bookmarkEnd w:id="5"/>
      <w:r>
        <w:rPr/>
      </w:r>
      <w:r>
        <w:rPr/>
        <w:t>The Unfair Commercial Practices Directive </w:t>
      </w:r>
      <w:r>
        <w:rPr>
          <w:color w:val="005DA1"/>
          <w:vertAlign w:val="superscript"/>
        </w:rPr>
        <w:t>6</w:t>
      </w:r>
      <w:r>
        <w:rPr>
          <w:color w:val="005DA1"/>
          <w:vertAlign w:val="baseline"/>
        </w:rPr>
        <w:t> </w:t>
      </w:r>
      <w:r>
        <w:rPr>
          <w:vertAlign w:val="baseline"/>
        </w:rPr>
        <w:t>requires Member States to prohibit, and to </w:t>
      </w:r>
      <w:r>
        <w:rPr>
          <w:vertAlign w:val="baseline"/>
        </w:rPr>
        <w:t>provide </w:t>
      </w:r>
      <w:bookmarkStart w:name="_bookmark4" w:id="6"/>
      <w:bookmarkEnd w:id="6"/>
      <w:r>
        <w:rPr>
          <w:vertAlign w:val="baseline"/>
        </w:rPr>
        <w:t>“adequate</w:t>
      </w:r>
      <w:r>
        <w:rPr>
          <w:vertAlign w:val="baseline"/>
        </w:rPr>
        <w:t> and effective” means to combat, unfair commercial practices. These are defined so as to include misleading actions </w:t>
      </w:r>
      <w:r>
        <w:rPr>
          <w:color w:val="005DA1"/>
          <w:vertAlign w:val="superscript"/>
        </w:rPr>
        <w:t>7</w:t>
      </w:r>
      <w:r>
        <w:rPr>
          <w:color w:val="005DA1"/>
          <w:vertAlign w:val="baseline"/>
        </w:rPr>
        <w:t> </w:t>
      </w:r>
      <w:r>
        <w:rPr>
          <w:vertAlign w:val="baseline"/>
        </w:rPr>
        <w:t>and misleading omissions. </w:t>
      </w:r>
      <w:r>
        <w:rPr>
          <w:color w:val="005DA1"/>
          <w:vertAlign w:val="superscript"/>
        </w:rPr>
        <w:t>8</w:t>
      </w:r>
      <w:r>
        <w:rPr>
          <w:color w:val="005DA1"/>
          <w:vertAlign w:val="baseline"/>
        </w:rPr>
        <w:t> </w:t>
      </w:r>
      <w:r>
        <w:rPr>
          <w:vertAlign w:val="baseline"/>
        </w:rPr>
        <w:t>However unfair commercial practices within the meaning of the Directive will not necessarily give rise to civil remedies for individual consumers,</w:t>
      </w:r>
      <w:r>
        <w:rPr>
          <w:spacing w:val="40"/>
          <w:vertAlign w:val="baseline"/>
        </w:rPr>
        <w:t> </w:t>
      </w:r>
      <w:bookmarkStart w:name="_bookmark5" w:id="7"/>
      <w:bookmarkEnd w:id="7"/>
      <w:r>
        <w:rPr>
          <w:vertAlign w:val="baseline"/>
        </w:rPr>
        <w:t>as</w:t>
      </w:r>
      <w:r>
        <w:rPr>
          <w:vertAlign w:val="baseline"/>
        </w:rPr>
        <w:t> the Directive is “without prejudice to contract law and, in particular, to the rules of validity,</w:t>
      </w:r>
      <w:r>
        <w:rPr>
          <w:spacing w:val="80"/>
          <w:vertAlign w:val="baseline"/>
        </w:rPr>
        <w:t> </w:t>
      </w:r>
      <w:r>
        <w:rPr>
          <w:vertAlign w:val="baseline"/>
        </w:rPr>
        <w:t>formation or effect of a contract”. </w:t>
      </w:r>
      <w:r>
        <w:rPr>
          <w:color w:val="005DA1"/>
          <w:vertAlign w:val="superscript"/>
        </w:rPr>
        <w:t>9</w:t>
      </w:r>
      <w:r>
        <w:rPr>
          <w:color w:val="005DA1"/>
          <w:vertAlign w:val="baseline"/>
        </w:rPr>
        <w:t> </w:t>
      </w:r>
      <w:r>
        <w:rPr>
          <w:vertAlign w:val="baseline"/>
        </w:rPr>
        <w:t>Accordingly the Regulations made in 2008 </w:t>
      </w:r>
      <w:r>
        <w:rPr>
          <w:color w:val="005DA1"/>
          <w:u w:val="single" w:color="005DA1"/>
          <w:vertAlign w:val="superscript"/>
        </w:rPr>
        <w:t>10</w:t>
      </w:r>
      <w:r>
        <w:rPr>
          <w:color w:val="005DA1"/>
          <w:vertAlign w:val="baseline"/>
        </w:rPr>
        <w:t> </w:t>
      </w:r>
      <w:r>
        <w:rPr>
          <w:vertAlign w:val="baseline"/>
        </w:rPr>
        <w:t>to implement the Directive prohibit unfair commercial practices, but originally provided that an agreement shall not be void or unenforceable by reason only of a breach of the Regulations. In many cases the consumer would have a remedy under the general law of misrepresentation, but not all unfair commercial practices will amount to a misrepresentation. The question of whether a remedy for unfair commercial practices should be given to individual consumers was referred to the Law Commissions, which recommended that consumers who are the victims of misleading or aggressive practice by a trader should</w:t>
      </w:r>
      <w:r>
        <w:rPr>
          <w:spacing w:val="39"/>
          <w:vertAlign w:val="baseline"/>
        </w:rPr>
        <w:t> </w:t>
      </w:r>
      <w:r>
        <w:rPr>
          <w:vertAlign w:val="baseline"/>
        </w:rPr>
        <w:t>have</w:t>
      </w:r>
      <w:r>
        <w:rPr>
          <w:spacing w:val="39"/>
          <w:vertAlign w:val="baseline"/>
        </w:rPr>
        <w:t> </w:t>
      </w:r>
      <w:r>
        <w:rPr>
          <w:vertAlign w:val="baseline"/>
        </w:rPr>
        <w:t>a</w:t>
      </w:r>
      <w:r>
        <w:rPr>
          <w:spacing w:val="39"/>
          <w:vertAlign w:val="baseline"/>
        </w:rPr>
        <w:t> </w:t>
      </w:r>
      <w:r>
        <w:rPr>
          <w:vertAlign w:val="baseline"/>
        </w:rPr>
        <w:t>civil</w:t>
      </w:r>
      <w:r>
        <w:rPr>
          <w:spacing w:val="39"/>
          <w:vertAlign w:val="baseline"/>
        </w:rPr>
        <w:t> </w:t>
      </w:r>
      <w:r>
        <w:rPr>
          <w:vertAlign w:val="baseline"/>
        </w:rPr>
        <w:t>law</w:t>
      </w:r>
      <w:r>
        <w:rPr>
          <w:spacing w:val="39"/>
          <w:vertAlign w:val="baseline"/>
        </w:rPr>
        <w:t> </w:t>
      </w:r>
      <w:r>
        <w:rPr>
          <w:vertAlign w:val="baseline"/>
        </w:rPr>
        <w:t>remedy,</w:t>
      </w:r>
      <w:r>
        <w:rPr>
          <w:spacing w:val="39"/>
          <w:vertAlign w:val="baseline"/>
        </w:rPr>
        <w:t> </w:t>
      </w:r>
      <w:r>
        <w:rPr>
          <w:vertAlign w:val="baseline"/>
        </w:rPr>
        <w:t>including</w:t>
      </w:r>
      <w:r>
        <w:rPr>
          <w:spacing w:val="39"/>
          <w:vertAlign w:val="baseline"/>
        </w:rPr>
        <w:t> </w:t>
      </w:r>
      <w:r>
        <w:rPr>
          <w:vertAlign w:val="baseline"/>
        </w:rPr>
        <w:t>the</w:t>
      </w:r>
      <w:r>
        <w:rPr>
          <w:spacing w:val="39"/>
          <w:vertAlign w:val="baseline"/>
        </w:rPr>
        <w:t> </w:t>
      </w:r>
      <w:r>
        <w:rPr>
          <w:vertAlign w:val="baseline"/>
        </w:rPr>
        <w:t>right</w:t>
      </w:r>
      <w:r>
        <w:rPr>
          <w:spacing w:val="39"/>
          <w:vertAlign w:val="baseline"/>
        </w:rPr>
        <w:t> </w:t>
      </w:r>
      <w:r>
        <w:rPr>
          <w:vertAlign w:val="baseline"/>
        </w:rPr>
        <w:t>to</w:t>
      </w:r>
      <w:r>
        <w:rPr>
          <w:spacing w:val="39"/>
          <w:vertAlign w:val="baseline"/>
        </w:rPr>
        <w:t> </w:t>
      </w:r>
      <w:r>
        <w:rPr>
          <w:vertAlign w:val="baseline"/>
        </w:rPr>
        <w:t>“unwind</w:t>
      </w:r>
      <w:r>
        <w:rPr>
          <w:spacing w:val="39"/>
          <w:vertAlign w:val="baseline"/>
        </w:rPr>
        <w:t> </w:t>
      </w:r>
      <w:r>
        <w:rPr>
          <w:vertAlign w:val="baseline"/>
        </w:rPr>
        <w:t>the</w:t>
      </w:r>
      <w:r>
        <w:rPr>
          <w:spacing w:val="39"/>
          <w:vertAlign w:val="baseline"/>
        </w:rPr>
        <w:t> </w:t>
      </w:r>
      <w:r>
        <w:rPr>
          <w:vertAlign w:val="baseline"/>
        </w:rPr>
        <w:t>contract”</w:t>
      </w:r>
      <w:r>
        <w:rPr>
          <w:spacing w:val="39"/>
          <w:vertAlign w:val="baseline"/>
        </w:rPr>
        <w:t> </w:t>
      </w:r>
      <w:r>
        <w:rPr>
          <w:vertAlign w:val="baseline"/>
        </w:rPr>
        <w:t>if</w:t>
      </w:r>
      <w:r>
        <w:rPr>
          <w:spacing w:val="39"/>
          <w:vertAlign w:val="baseline"/>
        </w:rPr>
        <w:t> </w:t>
      </w:r>
      <w:r>
        <w:rPr>
          <w:vertAlign w:val="baseline"/>
        </w:rPr>
        <w:t>the</w:t>
      </w:r>
      <w:r>
        <w:rPr>
          <w:spacing w:val="39"/>
          <w:vertAlign w:val="baseline"/>
        </w:rPr>
        <w:t> </w:t>
      </w:r>
      <w:r>
        <w:rPr>
          <w:vertAlign w:val="baseline"/>
        </w:rPr>
        <w:t>consumer</w:t>
      </w:r>
      <w:r>
        <w:rPr>
          <w:spacing w:val="39"/>
          <w:vertAlign w:val="baseline"/>
        </w:rPr>
        <w:t> </w:t>
      </w:r>
      <w:r>
        <w:rPr>
          <w:spacing w:val="-4"/>
          <w:vertAlign w:val="baseline"/>
        </w:rPr>
        <w:t>acts</w:t>
      </w:r>
    </w:p>
    <w:p>
      <w:pPr>
        <w:pStyle w:val="BodyText"/>
        <w:spacing w:after="0" w:line="235" w:lineRule="auto"/>
        <w:jc w:val="both"/>
        <w:sectPr>
          <w:headerReference w:type="default" r:id="rId5"/>
          <w:type w:val="continuous"/>
          <w:pgSz w:w="11900" w:h="16840"/>
          <w:pgMar w:header="971" w:footer="0" w:top="1160" w:bottom="280" w:left="1275" w:right="1275"/>
          <w:pgNumType w:start="1"/>
        </w:sectPr>
      </w:pPr>
    </w:p>
    <w:p>
      <w:pPr>
        <w:pStyle w:val="BodyText"/>
        <w:spacing w:before="24"/>
      </w:pPr>
    </w:p>
    <w:p>
      <w:pPr>
        <w:pStyle w:val="BodyText"/>
        <w:spacing w:line="235" w:lineRule="auto" w:before="1"/>
        <w:ind w:left="165" w:right="167"/>
        <w:jc w:val="both"/>
      </w:pPr>
      <w:r>
        <w:rPr/>
        <w:t>quickly</w:t>
      </w:r>
      <w:r>
        <w:rPr>
          <w:spacing w:val="-1"/>
        </w:rPr>
        <w:t> </w:t>
      </w:r>
      <w:r>
        <w:rPr/>
        <w:t>or,</w:t>
      </w:r>
      <w:r>
        <w:rPr>
          <w:spacing w:val="-1"/>
        </w:rPr>
        <w:t> </w:t>
      </w:r>
      <w:r>
        <w:rPr/>
        <w:t>if</w:t>
      </w:r>
      <w:r>
        <w:rPr>
          <w:spacing w:val="-1"/>
        </w:rPr>
        <w:t> </w:t>
      </w:r>
      <w:r>
        <w:rPr/>
        <w:t>the</w:t>
      </w:r>
      <w:r>
        <w:rPr>
          <w:spacing w:val="-1"/>
        </w:rPr>
        <w:t> </w:t>
      </w:r>
      <w:r>
        <w:rPr/>
        <w:t>consumer</w:t>
      </w:r>
      <w:r>
        <w:rPr>
          <w:spacing w:val="-1"/>
        </w:rPr>
        <w:t> </w:t>
      </w:r>
      <w:r>
        <w:rPr/>
        <w:t>waits</w:t>
      </w:r>
      <w:r>
        <w:rPr>
          <w:spacing w:val="-1"/>
        </w:rPr>
        <w:t> </w:t>
      </w:r>
      <w:r>
        <w:rPr/>
        <w:t>more</w:t>
      </w:r>
      <w:r>
        <w:rPr>
          <w:spacing w:val="-1"/>
        </w:rPr>
        <w:t> </w:t>
      </w:r>
      <w:r>
        <w:rPr/>
        <w:t>than</w:t>
      </w:r>
      <w:r>
        <w:rPr>
          <w:spacing w:val="-1"/>
        </w:rPr>
        <w:t> </w:t>
      </w:r>
      <w:r>
        <w:rPr/>
        <w:t>three</w:t>
      </w:r>
      <w:r>
        <w:rPr>
          <w:spacing w:val="-1"/>
        </w:rPr>
        <w:t> </w:t>
      </w:r>
      <w:r>
        <w:rPr/>
        <w:t>months</w:t>
      </w:r>
      <w:r>
        <w:rPr>
          <w:spacing w:val="-1"/>
        </w:rPr>
        <w:t> </w:t>
      </w:r>
      <w:r>
        <w:rPr/>
        <w:t>or</w:t>
      </w:r>
      <w:r>
        <w:rPr>
          <w:spacing w:val="-1"/>
        </w:rPr>
        <w:t> </w:t>
      </w:r>
      <w:r>
        <w:rPr/>
        <w:t>the</w:t>
      </w:r>
      <w:r>
        <w:rPr>
          <w:spacing w:val="-1"/>
        </w:rPr>
        <w:t> </w:t>
      </w:r>
      <w:r>
        <w:rPr/>
        <w:t>goods</w:t>
      </w:r>
      <w:r>
        <w:rPr>
          <w:spacing w:val="-1"/>
        </w:rPr>
        <w:t> </w:t>
      </w:r>
      <w:r>
        <w:rPr/>
        <w:t>or</w:t>
      </w:r>
      <w:r>
        <w:rPr>
          <w:spacing w:val="-1"/>
        </w:rPr>
        <w:t> </w:t>
      </w:r>
      <w:r>
        <w:rPr/>
        <w:t>services</w:t>
      </w:r>
      <w:r>
        <w:rPr>
          <w:spacing w:val="-1"/>
        </w:rPr>
        <w:t> </w:t>
      </w:r>
      <w:r>
        <w:rPr/>
        <w:t>supplied</w:t>
      </w:r>
      <w:r>
        <w:rPr>
          <w:spacing w:val="-1"/>
        </w:rPr>
        <w:t> </w:t>
      </w:r>
      <w:r>
        <w:rPr/>
        <w:t>have</w:t>
      </w:r>
      <w:r>
        <w:rPr>
          <w:spacing w:val="-1"/>
        </w:rPr>
        <w:t> </w:t>
      </w:r>
      <w:r>
        <w:rPr/>
        <w:t>been fully</w:t>
      </w:r>
      <w:r>
        <w:rPr>
          <w:spacing w:val="-1"/>
        </w:rPr>
        <w:t> </w:t>
      </w:r>
      <w:r>
        <w:rPr/>
        <w:t>consumed,</w:t>
      </w:r>
      <w:r>
        <w:rPr>
          <w:spacing w:val="-1"/>
        </w:rPr>
        <w:t> </w:t>
      </w:r>
      <w:r>
        <w:rPr/>
        <w:t>the</w:t>
      </w:r>
      <w:r>
        <w:rPr>
          <w:spacing w:val="-1"/>
        </w:rPr>
        <w:t> </w:t>
      </w:r>
      <w:r>
        <w:rPr/>
        <w:t>right</w:t>
      </w:r>
      <w:r>
        <w:rPr>
          <w:spacing w:val="-1"/>
        </w:rPr>
        <w:t> </w:t>
      </w:r>
      <w:r>
        <w:rPr/>
        <w:t>to</w:t>
      </w:r>
      <w:r>
        <w:rPr>
          <w:spacing w:val="-1"/>
        </w:rPr>
        <w:t> </w:t>
      </w:r>
      <w:r>
        <w:rPr/>
        <w:t>a</w:t>
      </w:r>
      <w:r>
        <w:rPr>
          <w:spacing w:val="-1"/>
        </w:rPr>
        <w:t> </w:t>
      </w:r>
      <w:r>
        <w:rPr/>
        <w:t>“discount”;</w:t>
      </w:r>
      <w:r>
        <w:rPr>
          <w:spacing w:val="-1"/>
        </w:rPr>
        <w:t> </w:t>
      </w:r>
      <w:r>
        <w:rPr/>
        <w:t>and</w:t>
      </w:r>
      <w:r>
        <w:rPr>
          <w:spacing w:val="-1"/>
        </w:rPr>
        <w:t> </w:t>
      </w:r>
      <w:r>
        <w:rPr/>
        <w:t>damages</w:t>
      </w:r>
      <w:r>
        <w:rPr>
          <w:spacing w:val="-1"/>
        </w:rPr>
        <w:t> </w:t>
      </w:r>
      <w:r>
        <w:rPr/>
        <w:t>for</w:t>
      </w:r>
      <w:r>
        <w:rPr>
          <w:spacing w:val="-1"/>
        </w:rPr>
        <w:t> </w:t>
      </w:r>
      <w:r>
        <w:rPr/>
        <w:t>further</w:t>
      </w:r>
      <w:r>
        <w:rPr>
          <w:spacing w:val="-1"/>
        </w:rPr>
        <w:t> </w:t>
      </w:r>
      <w:r>
        <w:rPr/>
        <w:t>loss</w:t>
      </w:r>
      <w:r>
        <w:rPr>
          <w:spacing w:val="-1"/>
        </w:rPr>
        <w:t> </w:t>
      </w:r>
      <w:r>
        <w:rPr/>
        <w:t>unless</w:t>
      </w:r>
      <w:r>
        <w:rPr>
          <w:spacing w:val="-1"/>
        </w:rPr>
        <w:t> </w:t>
      </w:r>
      <w:r>
        <w:rPr/>
        <w:t>the</w:t>
      </w:r>
      <w:r>
        <w:rPr>
          <w:spacing w:val="-1"/>
        </w:rPr>
        <w:t> </w:t>
      </w:r>
      <w:r>
        <w:rPr/>
        <w:t>trader</w:t>
      </w:r>
      <w:r>
        <w:rPr>
          <w:spacing w:val="-1"/>
        </w:rPr>
        <w:t> </w:t>
      </w:r>
      <w:r>
        <w:rPr/>
        <w:t>can</w:t>
      </w:r>
      <w:r>
        <w:rPr>
          <w:spacing w:val="-1"/>
        </w:rPr>
        <w:t> </w:t>
      </w:r>
      <w:r>
        <w:rPr/>
        <w:t>show</w:t>
      </w:r>
      <w:r>
        <w:rPr>
          <w:spacing w:val="-1"/>
        </w:rPr>
        <w:t> </w:t>
      </w:r>
      <w:r>
        <w:rPr/>
        <w:t>that it used due diligence. These remedies should replace those under the Misrepresentation Act 1967 so </w:t>
      </w:r>
      <w:bookmarkStart w:name="_bookmark6" w:id="8"/>
      <w:bookmarkEnd w:id="8"/>
      <w:r>
        <w:rPr/>
        <w:t>far</w:t>
      </w:r>
      <w:r>
        <w:rPr/>
        <w:t> as the latter apply to business to consumer cases; other common law and statutory remedies </w:t>
      </w:r>
      <w:bookmarkStart w:name="_bookmark7" w:id="9"/>
      <w:bookmarkEnd w:id="9"/>
      <w:r>
        <w:rPr/>
        <w:t>should</w:t>
      </w:r>
      <w:r>
        <w:rPr/>
        <w:t> not be affected. </w:t>
      </w:r>
      <w:r>
        <w:rPr>
          <w:color w:val="005DA1"/>
          <w:u w:val="single" w:color="005DA1"/>
          <w:vertAlign w:val="superscript"/>
        </w:rPr>
        <w:t>11</w:t>
      </w:r>
      <w:r>
        <w:rPr>
          <w:color w:val="005DA1"/>
          <w:vertAlign w:val="baseline"/>
        </w:rPr>
        <w:t> </w:t>
      </w:r>
      <w:r>
        <w:rPr>
          <w:vertAlign w:val="baseline"/>
        </w:rPr>
        <w:t>The Law Commission’s recommendations have now been implemented by the Consumer Protection (Amendment) Regulations 2014, </w:t>
      </w:r>
      <w:r>
        <w:rPr>
          <w:color w:val="005DA1"/>
          <w:u w:val="single" w:color="005DA1"/>
          <w:vertAlign w:val="superscript"/>
        </w:rPr>
        <w:t>12</w:t>
      </w:r>
      <w:r>
        <w:rPr>
          <w:color w:val="005DA1"/>
          <w:vertAlign w:val="baseline"/>
        </w:rPr>
        <w:t> </w:t>
      </w:r>
      <w:r>
        <w:rPr>
          <w:vertAlign w:val="baseline"/>
        </w:rPr>
        <w:t>which amend the Consumer Protection </w:t>
      </w:r>
      <w:bookmarkStart w:name="_bookmark8" w:id="10"/>
      <w:bookmarkEnd w:id="10"/>
      <w:r>
        <w:rPr>
          <w:vertAlign w:val="baseline"/>
        </w:rPr>
        <w:t>from</w:t>
      </w:r>
      <w:r>
        <w:rPr>
          <w:vertAlign w:val="baseline"/>
        </w:rPr>
        <w:t> Unfair Trading Regulations 2008. The amendments apply to any contract made on or after October 1, 2014. The new remedies are explained in Vol.II, Ch.38. </w:t>
      </w:r>
      <w:r>
        <w:rPr>
          <w:color w:val="005DA1"/>
          <w:u w:val="single" w:color="005DA1"/>
          <w:vertAlign w:val="superscript"/>
        </w:rPr>
        <w:t>13</w:t>
      </w:r>
    </w:p>
    <w:p>
      <w:pPr>
        <w:pStyle w:val="BodyText"/>
      </w:pPr>
    </w:p>
    <w:p>
      <w:pPr>
        <w:pStyle w:val="BodyText"/>
        <w:spacing w:before="35"/>
      </w:pPr>
    </w:p>
    <w:p>
      <w:pPr>
        <w:spacing w:before="0"/>
        <w:ind w:left="165" w:right="0" w:firstLine="0"/>
        <w:jc w:val="left"/>
        <w:rPr>
          <w:rFonts w:ascii="Arial"/>
          <w:b/>
          <w:sz w:val="18"/>
        </w:rPr>
      </w:pPr>
      <w:r>
        <w:rPr>
          <w:rFonts w:ascii="Arial"/>
          <w:b/>
          <w:sz w:val="18"/>
        </w:rPr>
        <w:t>Criminal </w:t>
      </w:r>
      <w:r>
        <w:rPr>
          <w:rFonts w:ascii="Arial"/>
          <w:b/>
          <w:spacing w:val="-2"/>
          <w:sz w:val="18"/>
        </w:rPr>
        <w:t>fraud</w:t>
      </w:r>
    </w:p>
    <w:p>
      <w:pPr>
        <w:pStyle w:val="BodyText"/>
        <w:spacing w:before="41"/>
        <w:rPr>
          <w:rFonts w:ascii="Arial"/>
          <w:b/>
          <w:sz w:val="18"/>
        </w:rPr>
      </w:pPr>
    </w:p>
    <w:p>
      <w:pPr>
        <w:pStyle w:val="Heading2"/>
        <w:spacing w:before="1"/>
      </w:pPr>
      <w:r>
        <w:rPr/>
        <w:t>7-</w:t>
      </w:r>
      <w:r>
        <w:rPr>
          <w:spacing w:val="-5"/>
        </w:rPr>
        <w:t>003</w:t>
      </w:r>
    </w:p>
    <w:p>
      <w:pPr>
        <w:pStyle w:val="BodyText"/>
        <w:spacing w:line="235" w:lineRule="auto" w:before="202"/>
        <w:ind w:left="165" w:right="167"/>
        <w:jc w:val="both"/>
      </w:pPr>
      <w:bookmarkStart w:name="_bookmark9" w:id="11"/>
      <w:bookmarkEnd w:id="11"/>
      <w:r>
        <w:rPr/>
      </w:r>
      <w:r>
        <w:rPr/>
        <w:t>Fraudulent misrepresentation may also be an offence under the Fraud Act 2006. The definition </w:t>
      </w:r>
      <w:r>
        <w:rPr/>
        <w:t>of fraud for the purposes of the criminal law is different from the civil law definition. </w:t>
      </w:r>
      <w:r>
        <w:rPr>
          <w:color w:val="005DA1"/>
          <w:u w:val="single" w:color="005DA1"/>
          <w:vertAlign w:val="superscript"/>
        </w:rPr>
        <w:t>14</w:t>
      </w:r>
    </w:p>
    <w:p>
      <w:pPr>
        <w:pStyle w:val="BodyText"/>
      </w:pPr>
    </w:p>
    <w:p>
      <w:pPr>
        <w:pStyle w:val="BodyText"/>
        <w:spacing w:before="38"/>
      </w:pPr>
    </w:p>
    <w:p>
      <w:pPr>
        <w:spacing w:before="0"/>
        <w:ind w:left="165" w:right="0" w:firstLine="0"/>
        <w:jc w:val="left"/>
        <w:rPr>
          <w:rFonts w:ascii="Arial"/>
          <w:b/>
          <w:sz w:val="18"/>
        </w:rPr>
      </w:pPr>
      <w:r>
        <w:rPr>
          <w:rFonts w:ascii="Arial"/>
          <w:b/>
          <w:sz w:val="18"/>
        </w:rPr>
        <w:t>Misrepresentation and contractual </w:t>
      </w:r>
      <w:r>
        <w:rPr>
          <w:rFonts w:ascii="Arial"/>
          <w:b/>
          <w:spacing w:val="-2"/>
          <w:sz w:val="18"/>
        </w:rPr>
        <w:t>terms</w:t>
      </w:r>
    </w:p>
    <w:p>
      <w:pPr>
        <w:pStyle w:val="BodyText"/>
        <w:spacing w:before="41"/>
        <w:rPr>
          <w:rFonts w:ascii="Arial"/>
          <w:b/>
          <w:sz w:val="18"/>
        </w:rPr>
      </w:pPr>
    </w:p>
    <w:p>
      <w:pPr>
        <w:pStyle w:val="Heading2"/>
      </w:pPr>
      <w:r>
        <w:rPr/>
        <w:t>7-</w:t>
      </w:r>
      <w:r>
        <w:rPr>
          <w:spacing w:val="-5"/>
        </w:rPr>
        <w:t>004</w:t>
      </w:r>
    </w:p>
    <w:p>
      <w:pPr>
        <w:pStyle w:val="BodyText"/>
        <w:spacing w:line="235" w:lineRule="auto" w:before="203"/>
        <w:ind w:left="165" w:right="167"/>
        <w:jc w:val="both"/>
      </w:pPr>
      <w:r>
        <w:rPr/>
        <w:t>Before the Misrepresentation Act was passed, the law relating to misrepresentation was generally concerned solely with misrepresentations made before the contract was entered into, and not </w:t>
      </w:r>
      <w:r>
        <w:rPr/>
        <w:t>to misrepresentations which actually constituted contractual terms. Although the word “misrepresentation” is literally applicable to a contractual term which consists of a false statement of fact (as opposed to a promise of future conduct), the term was commonly confined to misrepresentations which did not constitute contractual terms, simply because the law relating to contractual terms (whether promises as to future conduct or misrepresentations of fact) differed from the law relating to misrepresentations which were not contractual terms. Moreover, there was also some</w:t>
      </w:r>
      <w:r>
        <w:rPr>
          <w:spacing w:val="-2"/>
        </w:rPr>
        <w:t> </w:t>
      </w:r>
      <w:r>
        <w:rPr/>
        <w:t>authority</w:t>
      </w:r>
      <w:r>
        <w:rPr>
          <w:spacing w:val="-2"/>
        </w:rPr>
        <w:t> </w:t>
      </w:r>
      <w:r>
        <w:rPr/>
        <w:t>for</w:t>
      </w:r>
      <w:r>
        <w:rPr>
          <w:spacing w:val="-2"/>
        </w:rPr>
        <w:t> </w:t>
      </w:r>
      <w:r>
        <w:rPr/>
        <w:t>the</w:t>
      </w:r>
      <w:r>
        <w:rPr>
          <w:spacing w:val="-2"/>
        </w:rPr>
        <w:t> </w:t>
      </w:r>
      <w:r>
        <w:rPr/>
        <w:t>proposition</w:t>
      </w:r>
      <w:r>
        <w:rPr>
          <w:spacing w:val="-2"/>
        </w:rPr>
        <w:t> </w:t>
      </w:r>
      <w:r>
        <w:rPr/>
        <w:t>that</w:t>
      </w:r>
      <w:r>
        <w:rPr>
          <w:spacing w:val="-2"/>
        </w:rPr>
        <w:t> </w:t>
      </w:r>
      <w:r>
        <w:rPr/>
        <w:t>if</w:t>
      </w:r>
      <w:r>
        <w:rPr>
          <w:spacing w:val="-2"/>
        </w:rPr>
        <w:t> </w:t>
      </w:r>
      <w:r>
        <w:rPr/>
        <w:t>a</w:t>
      </w:r>
      <w:r>
        <w:rPr>
          <w:spacing w:val="-2"/>
        </w:rPr>
        <w:t> </w:t>
      </w:r>
      <w:r>
        <w:rPr/>
        <w:t>misrepresentation</w:t>
      </w:r>
      <w:r>
        <w:rPr>
          <w:spacing w:val="-2"/>
        </w:rPr>
        <w:t> </w:t>
      </w:r>
      <w:r>
        <w:rPr/>
        <w:t>was</w:t>
      </w:r>
      <w:r>
        <w:rPr>
          <w:spacing w:val="-2"/>
        </w:rPr>
        <w:t> </w:t>
      </w:r>
      <w:r>
        <w:rPr/>
        <w:t>made</w:t>
      </w:r>
      <w:r>
        <w:rPr>
          <w:spacing w:val="-2"/>
        </w:rPr>
        <w:t> </w:t>
      </w:r>
      <w:r>
        <w:rPr/>
        <w:t>before</w:t>
      </w:r>
      <w:r>
        <w:rPr>
          <w:spacing w:val="-2"/>
        </w:rPr>
        <w:t> </w:t>
      </w:r>
      <w:r>
        <w:rPr/>
        <w:t>a</w:t>
      </w:r>
      <w:r>
        <w:rPr>
          <w:spacing w:val="-2"/>
        </w:rPr>
        <w:t> </w:t>
      </w:r>
      <w:r>
        <w:rPr/>
        <w:t>contract</w:t>
      </w:r>
      <w:r>
        <w:rPr>
          <w:spacing w:val="-2"/>
        </w:rPr>
        <w:t> </w:t>
      </w:r>
      <w:r>
        <w:rPr/>
        <w:t>was</w:t>
      </w:r>
      <w:r>
        <w:rPr>
          <w:spacing w:val="-2"/>
        </w:rPr>
        <w:t> </w:t>
      </w:r>
      <w:r>
        <w:rPr/>
        <w:t>entered into, and the misrepresentation was subsequently incorporated into the contract as a contractual</w:t>
      </w:r>
      <w:r>
        <w:rPr>
          <w:spacing w:val="80"/>
        </w:rPr>
        <w:t> </w:t>
      </w:r>
      <w:bookmarkStart w:name="_bookmark10" w:id="12"/>
      <w:bookmarkEnd w:id="12"/>
      <w:r>
        <w:rPr/>
        <w:t>term,</w:t>
      </w:r>
      <w:r>
        <w:rPr/>
        <w:t> the law relating to misrepresentation was not applicable, and the case had to be dealt with as </w:t>
      </w:r>
      <w:bookmarkStart w:name="_bookmark11" w:id="13"/>
      <w:bookmarkEnd w:id="13"/>
      <w:r>
        <w:rPr/>
        <w:t>one</w:t>
      </w:r>
      <w:r>
        <w:rPr/>
        <w:t> involving a contractual term and nothing else. </w:t>
      </w:r>
      <w:r>
        <w:rPr>
          <w:color w:val="005DA1"/>
          <w:u w:val="single" w:color="005DA1"/>
          <w:vertAlign w:val="superscript"/>
        </w:rPr>
        <w:t>15</w:t>
      </w:r>
      <w:r>
        <w:rPr>
          <w:color w:val="005DA1"/>
          <w:vertAlign w:val="baseline"/>
        </w:rPr>
        <w:t> </w:t>
      </w:r>
      <w:r>
        <w:rPr>
          <w:vertAlign w:val="baseline"/>
        </w:rPr>
        <w:t>Since the passing of the Act of 1967 this is no longer the case, </w:t>
      </w:r>
      <w:r>
        <w:rPr>
          <w:color w:val="005DA1"/>
          <w:u w:val="single" w:color="005DA1"/>
          <w:vertAlign w:val="superscript"/>
        </w:rPr>
        <w:t>16</w:t>
      </w:r>
      <w:r>
        <w:rPr>
          <w:color w:val="005DA1"/>
          <w:vertAlign w:val="baseline"/>
        </w:rPr>
        <w:t> </w:t>
      </w:r>
      <w:r>
        <w:rPr>
          <w:vertAlign w:val="baseline"/>
        </w:rPr>
        <w:t>and it will often be necessary in any one situation to inquire carefully as to the effect of a misrepresentation both as a precontractual statement </w:t>
      </w:r>
      <w:r>
        <w:rPr>
          <w:rFonts w:ascii="Arial" w:hAnsi="Arial"/>
          <w:i/>
          <w:vertAlign w:val="baseline"/>
        </w:rPr>
        <w:t>and </w:t>
      </w:r>
      <w:r>
        <w:rPr>
          <w:vertAlign w:val="baseline"/>
        </w:rPr>
        <w:t>as a contractual term. Where these effects differ (as they often do) it is in some cases a matter of considerable difficulty to </w:t>
      </w:r>
      <w:bookmarkStart w:name="_bookmark12" w:id="14"/>
      <w:bookmarkEnd w:id="14"/>
      <w:r>
        <w:rPr>
          <w:vertAlign w:val="baseline"/>
        </w:rPr>
        <w:t>determine</w:t>
      </w:r>
      <w:r>
        <w:rPr>
          <w:vertAlign w:val="baseline"/>
        </w:rPr>
        <w:t> with any certainty the effect of the Misrepresentation Act on the law relating to contractual misstatement. </w:t>
      </w:r>
      <w:r>
        <w:rPr>
          <w:color w:val="005DA1"/>
          <w:u w:val="single" w:color="005DA1"/>
          <w:vertAlign w:val="superscript"/>
        </w:rPr>
        <w:t>17</w:t>
      </w:r>
    </w:p>
    <w:p>
      <w:pPr>
        <w:pStyle w:val="BodyText"/>
      </w:pPr>
    </w:p>
    <w:p>
      <w:pPr>
        <w:pStyle w:val="BodyText"/>
        <w:spacing w:before="32"/>
      </w:pPr>
    </w:p>
    <w:p>
      <w:pPr>
        <w:spacing w:before="0"/>
        <w:ind w:left="165" w:right="0" w:firstLine="0"/>
        <w:jc w:val="left"/>
        <w:rPr>
          <w:rFonts w:ascii="Arial"/>
          <w:b/>
          <w:sz w:val="18"/>
        </w:rPr>
      </w:pPr>
      <w:r>
        <w:rPr>
          <w:rFonts w:ascii="Arial"/>
          <w:b/>
          <w:spacing w:val="-2"/>
          <w:sz w:val="18"/>
        </w:rPr>
        <w:t>Terminology</w:t>
      </w:r>
    </w:p>
    <w:p>
      <w:pPr>
        <w:pStyle w:val="BodyText"/>
        <w:spacing w:before="41"/>
        <w:rPr>
          <w:rFonts w:ascii="Arial"/>
          <w:b/>
          <w:sz w:val="18"/>
        </w:rPr>
      </w:pPr>
    </w:p>
    <w:p>
      <w:pPr>
        <w:pStyle w:val="Heading2"/>
        <w:spacing w:before="1"/>
      </w:pPr>
      <w:r>
        <w:rPr/>
        <w:t>7-</w:t>
      </w:r>
      <w:r>
        <w:rPr>
          <w:spacing w:val="-5"/>
        </w:rPr>
        <w:t>005</w:t>
      </w:r>
    </w:p>
    <w:p>
      <w:pPr>
        <w:pStyle w:val="BodyText"/>
        <w:spacing w:line="235" w:lineRule="auto" w:before="202"/>
        <w:ind w:left="165" w:right="167"/>
        <w:jc w:val="both"/>
      </w:pPr>
      <w:r>
        <w:rPr/>
        <w:t>For many years it was usual to divide misrepresentations into two categories, fraudulent and innocent </w:t>
      </w:r>
      <w:bookmarkStart w:name="_bookmark13" w:id="15"/>
      <w:bookmarkEnd w:id="15"/>
      <w:r>
        <w:rPr/>
        <w:t>misrepresentation.</w:t>
      </w:r>
      <w:r>
        <w:rPr>
          <w:spacing w:val="-1"/>
        </w:rPr>
        <w:t> </w:t>
      </w:r>
      <w:r>
        <w:rPr/>
        <w:t>The</w:t>
      </w:r>
      <w:r>
        <w:rPr>
          <w:spacing w:val="-1"/>
        </w:rPr>
        <w:t> </w:t>
      </w:r>
      <w:r>
        <w:rPr/>
        <w:t>latter</w:t>
      </w:r>
      <w:r>
        <w:rPr>
          <w:spacing w:val="-1"/>
        </w:rPr>
        <w:t> </w:t>
      </w:r>
      <w:r>
        <w:rPr/>
        <w:t>category</w:t>
      </w:r>
      <w:r>
        <w:rPr>
          <w:spacing w:val="-1"/>
        </w:rPr>
        <w:t> </w:t>
      </w:r>
      <w:r>
        <w:rPr/>
        <w:t>included</w:t>
      </w:r>
      <w:r>
        <w:rPr>
          <w:spacing w:val="-1"/>
        </w:rPr>
        <w:t> </w:t>
      </w:r>
      <w:r>
        <w:rPr/>
        <w:t>misrepresentations</w:t>
      </w:r>
      <w:r>
        <w:rPr>
          <w:spacing w:val="-1"/>
        </w:rPr>
        <w:t> </w:t>
      </w:r>
      <w:r>
        <w:rPr/>
        <w:t>that</w:t>
      </w:r>
      <w:r>
        <w:rPr>
          <w:spacing w:val="-1"/>
        </w:rPr>
        <w:t> </w:t>
      </w:r>
      <w:r>
        <w:rPr/>
        <w:t>were</w:t>
      </w:r>
      <w:r>
        <w:rPr>
          <w:spacing w:val="-1"/>
        </w:rPr>
        <w:t> </w:t>
      </w:r>
      <w:r>
        <w:rPr/>
        <w:t>made</w:t>
      </w:r>
      <w:r>
        <w:rPr>
          <w:spacing w:val="-1"/>
        </w:rPr>
        <w:t> </w:t>
      </w:r>
      <w:r>
        <w:rPr/>
        <w:t>negligently,</w:t>
      </w:r>
      <w:r>
        <w:rPr>
          <w:spacing w:val="-1"/>
        </w:rPr>
        <w:t> </w:t>
      </w:r>
      <w:r>
        <w:rPr/>
        <w:t>for,</w:t>
      </w:r>
      <w:r>
        <w:rPr>
          <w:spacing w:val="-1"/>
        </w:rPr>
        <w:t> </w:t>
      </w:r>
      <w:r>
        <w:rPr/>
        <w:t>at least until the decision of the House of Lords in </w:t>
      </w:r>
      <w:r>
        <w:rPr>
          <w:rFonts w:ascii="Arial" w:hAnsi="Arial"/>
          <w:i/>
        </w:rPr>
        <w:t>Hedley Byrne &amp; Co Ltd v Heller and Partners Ltd </w:t>
      </w:r>
      <w:r>
        <w:rPr>
          <w:color w:val="005DA1"/>
          <w:u w:val="single" w:color="005DA1"/>
          <w:vertAlign w:val="superscript"/>
        </w:rPr>
        <w:t>18</w:t>
      </w:r>
      <w:r>
        <w:rPr>
          <w:color w:val="005DA1"/>
          <w:vertAlign w:val="baseline"/>
        </w:rPr>
        <w:t> </w:t>
      </w:r>
      <w:r>
        <w:rPr>
          <w:vertAlign w:val="baseline"/>
        </w:rPr>
        <w:t>it was thought that there was generally no difference between a negligent and a completely innocent misrepresentation. But since that decision, and the passing of the Misrepresentation Act, which also </w:t>
      </w:r>
      <w:bookmarkStart w:name="_bookmark14" w:id="16"/>
      <w:bookmarkEnd w:id="16"/>
      <w:r>
        <w:rPr>
          <w:vertAlign w:val="baseline"/>
        </w:rPr>
        <w:t>distinguishes</w:t>
      </w:r>
      <w:r>
        <w:rPr>
          <w:vertAlign w:val="baseline"/>
        </w:rPr>
        <w:t> in some respects between negligent (or more accurately, those which were made without reasonable grounds, but it is convenient to refer to them as negligent </w:t>
      </w:r>
      <w:r>
        <w:rPr>
          <w:color w:val="005DA1"/>
          <w:u w:val="single" w:color="005DA1"/>
          <w:vertAlign w:val="superscript"/>
        </w:rPr>
        <w:t>19</w:t>
      </w:r>
      <w:r>
        <w:rPr>
          <w:vertAlign w:val="baseline"/>
        </w:rPr>
        <w:t>) and completely innocent misrepresentations, it has clearly become necessary to recognise that there are now three categories of misrepresentations. It seems better, therefore, to reserve the term “innocent misrepresentation” for representations which are neither fraudulent nor negligent, though it must be appreciated that there are many cases in which the term has been used to include negligent </w:t>
      </w:r>
      <w:r>
        <w:rPr>
          <w:spacing w:val="-2"/>
          <w:vertAlign w:val="baseline"/>
        </w:rPr>
        <w:t>misrepresentation.</w:t>
      </w:r>
    </w:p>
    <w:p>
      <w:pPr>
        <w:pStyle w:val="BodyText"/>
      </w:pPr>
    </w:p>
    <w:p>
      <w:pPr>
        <w:pStyle w:val="BodyText"/>
        <w:spacing w:before="35"/>
      </w:pPr>
      <w:r>
        <w:rPr/>
        <mc:AlternateContent>
          <mc:Choice Requires="wps">
            <w:drawing>
              <wp:anchor distT="0" distB="0" distL="0" distR="0" allowOverlap="1" layoutInCell="1" locked="0" behindDoc="1" simplePos="0" relativeHeight="487592448">
                <wp:simplePos x="0" y="0"/>
                <wp:positionH relativeFrom="page">
                  <wp:posOffset>914400</wp:posOffset>
                </wp:positionH>
                <wp:positionV relativeFrom="paragraph">
                  <wp:posOffset>183502</wp:posOffset>
                </wp:positionV>
                <wp:extent cx="572452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49023pt;width:450.75pt;height:.1pt;mso-position-horizontal-relative:page;mso-position-vertical-relative:paragraph;z-index:-15724032;mso-wrap-distance-left:0;mso-wrap-distance-right:0" id="docshape2" coordorigin="1440,289" coordsize="9015,0" path="m1440,289l10454,289e" filled="false" stroked="true" strokeweight="1pt" strokecolor="#000000">
                <v:path arrowok="t"/>
                <v:stroke dashstyle="solid"/>
                <w10:wrap type="topAndBottom"/>
              </v:shape>
            </w:pict>
          </mc:Fallback>
        </mc:AlternateContent>
      </w:r>
    </w:p>
    <w:p>
      <w:pPr>
        <w:pStyle w:val="BodyText"/>
        <w:spacing w:after="0"/>
        <w:sectPr>
          <w:pgSz w:w="11900" w:h="16840"/>
          <w:pgMar w:header="971" w:footer="0" w:top="1160" w:bottom="280" w:left="1275" w:right="1275"/>
        </w:sectPr>
      </w:pPr>
    </w:p>
    <w:p>
      <w:pPr>
        <w:pStyle w:val="BodyText"/>
        <w:spacing w:before="204"/>
      </w:pPr>
    </w:p>
    <w:p>
      <w:pPr>
        <w:tabs>
          <w:tab w:pos="705" w:val="left" w:leader="none"/>
        </w:tabs>
        <w:spacing w:line="235" w:lineRule="auto" w:before="1"/>
        <w:ind w:left="705" w:right="167" w:hanging="541"/>
        <w:jc w:val="both"/>
        <w:rPr>
          <w:sz w:val="20"/>
        </w:rPr>
      </w:pPr>
      <w:r>
        <w:rPr>
          <w:sz w:val="20"/>
        </w:rPr>
        <mc:AlternateContent>
          <mc:Choice Requires="wps">
            <w:drawing>
              <wp:anchor distT="0" distB="0" distL="0" distR="0" allowOverlap="1" layoutInCell="1" locked="0" behindDoc="1" simplePos="0" relativeHeight="483867648">
                <wp:simplePos x="0" y="0"/>
                <wp:positionH relativeFrom="page">
                  <wp:posOffset>914400</wp:posOffset>
                </wp:positionH>
                <wp:positionV relativeFrom="paragraph">
                  <wp:posOffset>95093</wp:posOffset>
                </wp:positionV>
                <wp:extent cx="4953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48832" from="72pt,7.487664pt" to="75.892pt,7.487664pt" stroked="true" strokeweight=".5pt" strokecolor="#005da1">
                <v:stroke dashstyle="solid"/>
                <w10:wrap type="none"/>
              </v:line>
            </w:pict>
          </mc:Fallback>
        </mc:AlternateContent>
      </w:r>
      <w:hyperlink w:history="true" w:anchor="_bookmark1576">
        <w:r>
          <w:rPr>
            <w:color w:val="005DA1"/>
            <w:spacing w:val="-6"/>
            <w:position w:val="5"/>
            <w:sz w:val="14"/>
          </w:rPr>
          <w:t>1</w:t>
        </w:r>
      </w:hyperlink>
      <w:r>
        <w:rPr>
          <w:spacing w:val="-6"/>
          <w:position w:val="5"/>
          <w:sz w:val="14"/>
        </w:rPr>
        <w:t>.</w:t>
      </w:r>
      <w:r>
        <w:rPr>
          <w:position w:val="5"/>
          <w:sz w:val="14"/>
        </w:rPr>
        <w:tab/>
      </w:r>
      <w:r>
        <w:rPr>
          <w:sz w:val="20"/>
        </w:rPr>
        <w:t>See Allen, </w:t>
      </w:r>
      <w:r>
        <w:rPr>
          <w:rFonts w:ascii="Arial"/>
          <w:i/>
          <w:sz w:val="20"/>
        </w:rPr>
        <w:t>Misrepresentation </w:t>
      </w:r>
      <w:r>
        <w:rPr>
          <w:sz w:val="20"/>
        </w:rPr>
        <w:t>(1988); Cartwright, </w:t>
      </w:r>
      <w:r>
        <w:rPr>
          <w:rFonts w:ascii="Arial"/>
          <w:i/>
          <w:sz w:val="20"/>
        </w:rPr>
        <w:t>Unequal Bargaining </w:t>
      </w:r>
      <w:r>
        <w:rPr>
          <w:sz w:val="20"/>
        </w:rPr>
        <w:t>(1991), Ch.3; </w:t>
      </w:r>
      <w:r>
        <w:rPr>
          <w:sz w:val="20"/>
        </w:rPr>
        <w:t>Cartwright, Misrepresentation, Mistake and Non-disclosure, 4th edn (2016); Spencer Bower and Handley, </w:t>
      </w:r>
      <w:r>
        <w:rPr>
          <w:rFonts w:ascii="Arial"/>
          <w:i/>
          <w:sz w:val="20"/>
        </w:rPr>
        <w:t>Actionable Misrepresentation</w:t>
      </w:r>
      <w:r>
        <w:rPr>
          <w:sz w:val="20"/>
        </w:rPr>
        <w:t>, 5th edn (2014).</w:t>
      </w:r>
    </w:p>
    <w:p>
      <w:pPr>
        <w:pStyle w:val="BodyText"/>
        <w:spacing w:before="8"/>
      </w:pPr>
    </w:p>
    <w:p>
      <w:pPr>
        <w:pStyle w:val="BodyText"/>
        <w:tabs>
          <w:tab w:pos="705" w:val="left" w:leader="none"/>
        </w:tabs>
        <w:spacing w:line="235" w:lineRule="auto" w:before="1"/>
        <w:ind w:left="705" w:right="167" w:hanging="541"/>
        <w:jc w:val="both"/>
      </w:pPr>
      <w:r>
        <w:rPr/>
        <mc:AlternateContent>
          <mc:Choice Requires="wps">
            <w:drawing>
              <wp:anchor distT="0" distB="0" distL="0" distR="0" allowOverlap="1" layoutInCell="1" locked="0" behindDoc="1" simplePos="0" relativeHeight="483868160">
                <wp:simplePos x="0" y="0"/>
                <wp:positionH relativeFrom="page">
                  <wp:posOffset>914400</wp:posOffset>
                </wp:positionH>
                <wp:positionV relativeFrom="paragraph">
                  <wp:posOffset>95015</wp:posOffset>
                </wp:positionV>
                <wp:extent cx="4953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48320" from="72pt,7.481512pt" to="75.892pt,7.481512pt" stroked="true" strokeweight=".5pt" strokecolor="#005da1">
                <v:stroke dashstyle="solid"/>
                <w10:wrap type="none"/>
              </v:line>
            </w:pict>
          </mc:Fallback>
        </mc:AlternateContent>
      </w:r>
      <w:bookmarkStart w:name="_bookmark15" w:id="17"/>
      <w:bookmarkEnd w:id="17"/>
      <w:r>
        <w:rPr/>
      </w:r>
      <w:hyperlink w:history="true" w:anchor="_bookmark0">
        <w:r>
          <w:rPr>
            <w:color w:val="005DA1"/>
            <w:spacing w:val="-6"/>
            <w:position w:val="5"/>
            <w:sz w:val="14"/>
          </w:rPr>
          <w:t>2</w:t>
        </w:r>
      </w:hyperlink>
      <w:r>
        <w:rPr>
          <w:spacing w:val="-6"/>
          <w:position w:val="5"/>
          <w:sz w:val="14"/>
        </w:rPr>
        <w:t>.</w:t>
      </w:r>
      <w:r>
        <w:rPr>
          <w:position w:val="5"/>
          <w:sz w:val="14"/>
        </w:rPr>
        <w:tab/>
      </w:r>
      <w:r>
        <w:rPr/>
        <w:t>The Act was based on the recommendations in the Law Reform Committee’s Tenth Report, Cmnd.1782</w:t>
      </w:r>
      <w:r>
        <w:rPr>
          <w:spacing w:val="-1"/>
        </w:rPr>
        <w:t> </w:t>
      </w:r>
      <w:r>
        <w:rPr/>
        <w:t>(1962)</w:t>
      </w:r>
      <w:r>
        <w:rPr>
          <w:spacing w:val="-1"/>
        </w:rPr>
        <w:t> </w:t>
      </w:r>
      <w:r>
        <w:rPr/>
        <w:t>but</w:t>
      </w:r>
      <w:r>
        <w:rPr>
          <w:spacing w:val="-1"/>
        </w:rPr>
        <w:t> </w:t>
      </w:r>
      <w:r>
        <w:rPr/>
        <w:t>with</w:t>
      </w:r>
      <w:r>
        <w:rPr>
          <w:spacing w:val="-1"/>
        </w:rPr>
        <w:t> </w:t>
      </w:r>
      <w:r>
        <w:rPr/>
        <w:t>one</w:t>
      </w:r>
      <w:r>
        <w:rPr>
          <w:spacing w:val="-1"/>
        </w:rPr>
        <w:t> </w:t>
      </w:r>
      <w:r>
        <w:rPr/>
        <w:t>important</w:t>
      </w:r>
      <w:r>
        <w:rPr>
          <w:spacing w:val="-1"/>
        </w:rPr>
        <w:t> </w:t>
      </w:r>
      <w:r>
        <w:rPr/>
        <w:t>change,</w:t>
      </w:r>
      <w:r>
        <w:rPr>
          <w:spacing w:val="-1"/>
        </w:rPr>
        <w:t> </w:t>
      </w:r>
      <w:r>
        <w:rPr/>
        <w:t>as</w:t>
      </w:r>
      <w:r>
        <w:rPr>
          <w:spacing w:val="-1"/>
        </w:rPr>
        <w:t> </w:t>
      </w:r>
      <w:r>
        <w:rPr/>
        <w:t>to</w:t>
      </w:r>
      <w:r>
        <w:rPr>
          <w:spacing w:val="-1"/>
        </w:rPr>
        <w:t> </w:t>
      </w:r>
      <w:r>
        <w:rPr/>
        <w:t>which</w:t>
      </w:r>
      <w:r>
        <w:rPr>
          <w:spacing w:val="-1"/>
        </w:rPr>
        <w:t> </w:t>
      </w:r>
      <w:r>
        <w:rPr/>
        <w:t>see</w:t>
      </w:r>
      <w:r>
        <w:rPr>
          <w:spacing w:val="-1"/>
        </w:rPr>
        <w:t> </w:t>
      </w:r>
      <w:r>
        <w:rPr/>
        <w:t>below,</w:t>
      </w:r>
      <w:r>
        <w:rPr>
          <w:spacing w:val="-1"/>
        </w:rPr>
        <w:t> </w:t>
      </w:r>
      <w:r>
        <w:rPr/>
        <w:t>para.7-142.</w:t>
      </w:r>
      <w:r>
        <w:rPr>
          <w:spacing w:val="-1"/>
        </w:rPr>
        <w:t> </w:t>
      </w:r>
      <w:r>
        <w:rPr/>
        <w:t>For</w:t>
      </w:r>
      <w:r>
        <w:rPr>
          <w:spacing w:val="-1"/>
        </w:rPr>
        <w:t> </w:t>
      </w:r>
      <w:r>
        <w:rPr/>
        <w:t>a</w:t>
      </w:r>
      <w:r>
        <w:rPr>
          <w:spacing w:val="-1"/>
        </w:rPr>
        <w:t> </w:t>
      </w:r>
      <w:r>
        <w:rPr/>
        <w:t>full appraisal of the Act, see Atiyah and Treitel, “Misrepresentation Act 1967” (1967) 30 M.L.R. 369.</w:t>
      </w:r>
    </w:p>
    <w:p>
      <w:pPr>
        <w:pStyle w:val="BodyText"/>
        <w:spacing w:before="4"/>
      </w:pPr>
    </w:p>
    <w:p>
      <w:pPr>
        <w:tabs>
          <w:tab w:pos="705" w:val="left" w:leader="none"/>
        </w:tabs>
        <w:spacing w:before="1"/>
        <w:ind w:left="165" w:right="0" w:firstLine="0"/>
        <w:jc w:val="left"/>
        <w:rPr>
          <w:sz w:val="20"/>
        </w:rPr>
      </w:pPr>
      <w:r>
        <w:rPr>
          <w:sz w:val="20"/>
        </w:rPr>
        <mc:AlternateContent>
          <mc:Choice Requires="wps">
            <w:drawing>
              <wp:anchor distT="0" distB="0" distL="0" distR="0" allowOverlap="1" layoutInCell="1" locked="0" behindDoc="1" simplePos="0" relativeHeight="483868672">
                <wp:simplePos x="0" y="0"/>
                <wp:positionH relativeFrom="page">
                  <wp:posOffset>914400</wp:posOffset>
                </wp:positionH>
                <wp:positionV relativeFrom="paragraph">
                  <wp:posOffset>97477</wp:posOffset>
                </wp:positionV>
                <wp:extent cx="4953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47808" from="72pt,7.675359pt" to="75.892pt,7.675359pt" stroked="true" strokeweight=".5pt" strokecolor="#005da1">
                <v:stroke dashstyle="solid"/>
                <w10:wrap type="none"/>
              </v:line>
            </w:pict>
          </mc:Fallback>
        </mc:AlternateContent>
      </w:r>
      <w:bookmarkStart w:name="_bookmark16" w:id="18"/>
      <w:bookmarkEnd w:id="18"/>
      <w:r>
        <w:rPr/>
      </w:r>
      <w:hyperlink w:history="true" w:anchor="_bookmark1">
        <w:r>
          <w:rPr>
            <w:color w:val="005DA1"/>
            <w:spacing w:val="-5"/>
            <w:position w:val="5"/>
            <w:sz w:val="14"/>
          </w:rPr>
          <w:t>3</w:t>
        </w:r>
      </w:hyperlink>
      <w:r>
        <w:rPr>
          <w:spacing w:val="-5"/>
          <w:position w:val="5"/>
          <w:sz w:val="14"/>
        </w:rPr>
        <w:t>.</w:t>
      </w:r>
      <w:r>
        <w:rPr>
          <w:position w:val="5"/>
          <w:sz w:val="14"/>
        </w:rPr>
        <w:tab/>
      </w:r>
      <w:r>
        <w:rPr>
          <w:rFonts w:ascii="Arial"/>
          <w:i/>
          <w:sz w:val="20"/>
        </w:rPr>
        <w:t>[1991]</w:t>
      </w:r>
      <w:r>
        <w:rPr>
          <w:rFonts w:ascii="Arial"/>
          <w:i/>
          <w:spacing w:val="-1"/>
          <w:sz w:val="20"/>
        </w:rPr>
        <w:t> </w:t>
      </w:r>
      <w:r>
        <w:rPr>
          <w:rFonts w:ascii="Arial"/>
          <w:i/>
          <w:sz w:val="20"/>
        </w:rPr>
        <w:t>2 Q.B. 297</w:t>
      </w:r>
      <w:r>
        <w:rPr>
          <w:sz w:val="20"/>
        </w:rPr>
        <w:t>; see below, para.7-</w:t>
      </w:r>
      <w:r>
        <w:rPr>
          <w:spacing w:val="-4"/>
          <w:sz w:val="20"/>
        </w:rPr>
        <w:t>078.</w:t>
      </w:r>
    </w:p>
    <w:p>
      <w:pPr>
        <w:pStyle w:val="BodyText"/>
        <w:spacing w:before="5"/>
      </w:pPr>
    </w:p>
    <w:p>
      <w:pPr>
        <w:tabs>
          <w:tab w:pos="705" w:val="left" w:leader="none"/>
        </w:tabs>
        <w:spacing w:before="0"/>
        <w:ind w:left="165" w:right="0" w:firstLine="0"/>
        <w:jc w:val="left"/>
        <w:rPr>
          <w:sz w:val="20"/>
        </w:rPr>
      </w:pPr>
      <w:r>
        <w:rPr>
          <w:sz w:val="20"/>
        </w:rPr>
        <mc:AlternateContent>
          <mc:Choice Requires="wps">
            <w:drawing>
              <wp:anchor distT="0" distB="0" distL="0" distR="0" allowOverlap="1" layoutInCell="1" locked="0" behindDoc="1" simplePos="0" relativeHeight="483869184">
                <wp:simplePos x="0" y="0"/>
                <wp:positionH relativeFrom="page">
                  <wp:posOffset>914400</wp:posOffset>
                </wp:positionH>
                <wp:positionV relativeFrom="paragraph">
                  <wp:posOffset>96866</wp:posOffset>
                </wp:positionV>
                <wp:extent cx="4953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47296" from="72pt,7.627313pt" to="75.892pt,7.627313pt" stroked="true" strokeweight=".5pt" strokecolor="#005da1">
                <v:stroke dashstyle="solid"/>
                <w10:wrap type="none"/>
              </v:line>
            </w:pict>
          </mc:Fallback>
        </mc:AlternateContent>
      </w:r>
      <w:bookmarkStart w:name="_bookmark17" w:id="19"/>
      <w:bookmarkEnd w:id="19"/>
      <w:r>
        <w:rPr/>
      </w:r>
      <w:hyperlink w:history="true" w:anchor="_bookmark2">
        <w:r>
          <w:rPr>
            <w:color w:val="005DA1"/>
            <w:spacing w:val="-5"/>
            <w:position w:val="5"/>
            <w:sz w:val="14"/>
          </w:rPr>
          <w:t>4</w:t>
        </w:r>
      </w:hyperlink>
      <w:r>
        <w:rPr>
          <w:spacing w:val="-5"/>
          <w:position w:val="5"/>
          <w:sz w:val="14"/>
        </w:rPr>
        <w:t>.</w:t>
      </w:r>
      <w:r>
        <w:rPr>
          <w:position w:val="5"/>
          <w:sz w:val="14"/>
        </w:rPr>
        <w:tab/>
      </w:r>
      <w:r>
        <w:rPr>
          <w:rFonts w:ascii="Arial"/>
          <w:i/>
          <w:sz w:val="20"/>
        </w:rPr>
        <w:t>Avon</w:t>
      </w:r>
      <w:r>
        <w:rPr>
          <w:rFonts w:ascii="Arial"/>
          <w:i/>
          <w:spacing w:val="-1"/>
          <w:sz w:val="20"/>
        </w:rPr>
        <w:t> </w:t>
      </w:r>
      <w:r>
        <w:rPr>
          <w:rFonts w:ascii="Arial"/>
          <w:i/>
          <w:sz w:val="20"/>
        </w:rPr>
        <w:t>Insurance v Swire [2000] 1 All E.R. (Comm) 573, 633</w:t>
      </w:r>
      <w:r>
        <w:rPr>
          <w:sz w:val="20"/>
        </w:rPr>
        <w:t>, Rix </w:t>
      </w:r>
      <w:r>
        <w:rPr>
          <w:spacing w:val="-5"/>
          <w:sz w:val="20"/>
        </w:rPr>
        <w:t>J.</w:t>
      </w:r>
    </w:p>
    <w:p>
      <w:pPr>
        <w:pStyle w:val="BodyText"/>
        <w:spacing w:before="8"/>
      </w:pPr>
    </w:p>
    <w:p>
      <w:pPr>
        <w:tabs>
          <w:tab w:pos="705" w:val="left" w:leader="none"/>
        </w:tabs>
        <w:spacing w:line="235" w:lineRule="auto" w:before="1"/>
        <w:ind w:left="705" w:right="167" w:hanging="541"/>
        <w:jc w:val="both"/>
        <w:rPr>
          <w:sz w:val="20"/>
        </w:rPr>
      </w:pPr>
      <w:r>
        <w:rPr>
          <w:sz w:val="20"/>
        </w:rPr>
        <mc:AlternateContent>
          <mc:Choice Requires="wps">
            <w:drawing>
              <wp:anchor distT="0" distB="0" distL="0" distR="0" allowOverlap="1" layoutInCell="1" locked="0" behindDoc="1" simplePos="0" relativeHeight="483869696">
                <wp:simplePos x="0" y="0"/>
                <wp:positionH relativeFrom="page">
                  <wp:posOffset>914400</wp:posOffset>
                </wp:positionH>
                <wp:positionV relativeFrom="paragraph">
                  <wp:posOffset>94986</wp:posOffset>
                </wp:positionV>
                <wp:extent cx="4953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46784" from="72pt,7.479266pt" to="75.892pt,7.479266pt" stroked="true" strokeweight=".5pt" strokecolor="#005da1">
                <v:stroke dashstyle="solid"/>
                <w10:wrap type="none"/>
              </v:line>
            </w:pict>
          </mc:Fallback>
        </mc:AlternateContent>
      </w:r>
      <w:bookmarkStart w:name="_bookmark18" w:id="20"/>
      <w:bookmarkEnd w:id="20"/>
      <w:r>
        <w:rPr/>
      </w:r>
      <w:hyperlink w:history="true" w:anchor="_bookmark2">
        <w:r>
          <w:rPr>
            <w:color w:val="005DA1"/>
            <w:spacing w:val="-6"/>
            <w:position w:val="5"/>
            <w:sz w:val="14"/>
          </w:rPr>
          <w:t>5</w:t>
        </w:r>
      </w:hyperlink>
      <w:r>
        <w:rPr>
          <w:spacing w:val="-6"/>
          <w:position w:val="5"/>
          <w:sz w:val="14"/>
        </w:rPr>
        <w:t>.</w:t>
      </w:r>
      <w:r>
        <w:rPr>
          <w:position w:val="5"/>
          <w:sz w:val="14"/>
        </w:rPr>
        <w:tab/>
      </w:r>
      <w:r>
        <w:rPr>
          <w:rFonts w:ascii="Arial" w:hAnsi="Arial"/>
          <w:i/>
          <w:sz w:val="20"/>
        </w:rPr>
        <w:t>Cassa di Risparmio della Repubblica di San Marino SpA v Barclays Bank Ltd [2011] </w:t>
      </w:r>
      <w:r>
        <w:rPr>
          <w:rFonts w:ascii="Arial" w:hAnsi="Arial"/>
          <w:i/>
          <w:sz w:val="20"/>
        </w:rPr>
        <w:t>EWHC</w:t>
      </w:r>
      <w:r>
        <w:rPr>
          <w:rFonts w:ascii="Arial" w:hAnsi="Arial"/>
          <w:i/>
          <w:spacing w:val="40"/>
          <w:sz w:val="20"/>
        </w:rPr>
        <w:t> </w:t>
      </w:r>
      <w:r>
        <w:rPr>
          <w:rFonts w:ascii="Arial" w:hAnsi="Arial"/>
          <w:i/>
          <w:sz w:val="20"/>
        </w:rPr>
        <w:t>484</w:t>
      </w:r>
      <w:r>
        <w:rPr>
          <w:rFonts w:ascii="Arial" w:hAnsi="Arial"/>
          <w:i/>
          <w:spacing w:val="-2"/>
          <w:sz w:val="20"/>
        </w:rPr>
        <w:t> </w:t>
      </w:r>
      <w:r>
        <w:rPr>
          <w:rFonts w:ascii="Arial" w:hAnsi="Arial"/>
          <w:i/>
          <w:sz w:val="20"/>
        </w:rPr>
        <w:t>(Comm),</w:t>
      </w:r>
      <w:r>
        <w:rPr>
          <w:rFonts w:ascii="Arial" w:hAnsi="Arial"/>
          <w:i/>
          <w:spacing w:val="-2"/>
          <w:sz w:val="20"/>
        </w:rPr>
        <w:t> </w:t>
      </w:r>
      <w:r>
        <w:rPr>
          <w:rFonts w:ascii="Arial" w:hAnsi="Arial"/>
          <w:i/>
          <w:sz w:val="20"/>
        </w:rPr>
        <w:t>[2011]</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C.L.C.</w:t>
      </w:r>
      <w:r>
        <w:rPr>
          <w:rFonts w:ascii="Arial" w:hAnsi="Arial"/>
          <w:i/>
          <w:spacing w:val="-2"/>
          <w:sz w:val="20"/>
        </w:rPr>
        <w:t> </w:t>
      </w:r>
      <w:r>
        <w:rPr>
          <w:rFonts w:ascii="Arial" w:hAnsi="Arial"/>
          <w:i/>
          <w:sz w:val="20"/>
        </w:rPr>
        <w:t>701</w:t>
      </w:r>
      <w:r>
        <w:rPr>
          <w:rFonts w:ascii="Arial" w:hAnsi="Arial"/>
          <w:i/>
          <w:spacing w:val="-2"/>
          <w:sz w:val="20"/>
        </w:rPr>
        <w:t> </w:t>
      </w:r>
      <w:r>
        <w:rPr>
          <w:sz w:val="20"/>
        </w:rPr>
        <w:t>at</w:t>
      </w:r>
      <w:r>
        <w:rPr>
          <w:spacing w:val="-2"/>
          <w:sz w:val="20"/>
        </w:rPr>
        <w:t> </w:t>
      </w:r>
      <w:r>
        <w:rPr>
          <w:sz w:val="20"/>
        </w:rPr>
        <w:t>[223],</w:t>
      </w:r>
      <w:r>
        <w:rPr>
          <w:spacing w:val="-2"/>
          <w:sz w:val="20"/>
        </w:rPr>
        <w:t> </w:t>
      </w:r>
      <w:r>
        <w:rPr>
          <w:sz w:val="20"/>
        </w:rPr>
        <w:t>Hamblen</w:t>
      </w:r>
      <w:r>
        <w:rPr>
          <w:spacing w:val="-2"/>
          <w:sz w:val="20"/>
        </w:rPr>
        <w:t> </w:t>
      </w:r>
      <w:r>
        <w:rPr>
          <w:sz w:val="20"/>
        </w:rPr>
        <w:t>J.</w:t>
      </w:r>
      <w:r>
        <w:rPr>
          <w:spacing w:val="-2"/>
          <w:sz w:val="20"/>
        </w:rPr>
        <w:t> </w:t>
      </w:r>
      <w:r>
        <w:rPr>
          <w:sz w:val="20"/>
        </w:rPr>
        <w:t>(“The</w:t>
      </w:r>
      <w:r>
        <w:rPr>
          <w:spacing w:val="-2"/>
          <w:sz w:val="20"/>
        </w:rPr>
        <w:t> </w:t>
      </w:r>
      <w:r>
        <w:rPr>
          <w:sz w:val="20"/>
        </w:rPr>
        <w:t>fact</w:t>
      </w:r>
      <w:r>
        <w:rPr>
          <w:spacing w:val="-2"/>
          <w:sz w:val="20"/>
        </w:rPr>
        <w:t> </w:t>
      </w:r>
      <w:r>
        <w:rPr>
          <w:sz w:val="20"/>
        </w:rPr>
        <w:t>that</w:t>
      </w:r>
      <w:r>
        <w:rPr>
          <w:spacing w:val="-2"/>
          <w:sz w:val="20"/>
        </w:rPr>
        <w:t> </w:t>
      </w:r>
      <w:r>
        <w:rPr>
          <w:sz w:val="20"/>
        </w:rPr>
        <w:t>Parliament</w:t>
      </w:r>
      <w:r>
        <w:rPr>
          <w:spacing w:val="-2"/>
          <w:sz w:val="20"/>
        </w:rPr>
        <w:t> </w:t>
      </w:r>
      <w:r>
        <w:rPr>
          <w:sz w:val="20"/>
        </w:rPr>
        <w:t>(as</w:t>
      </w:r>
      <w:r>
        <w:rPr>
          <w:spacing w:val="-2"/>
          <w:sz w:val="20"/>
        </w:rPr>
        <w:t> </w:t>
      </w:r>
      <w:r>
        <w:rPr>
          <w:sz w:val="20"/>
        </w:rPr>
        <w:t>interpreted by the Court of Appeal) has thought it right to provide a broad measure of compensation where a</w:t>
      </w:r>
      <w:r>
        <w:rPr>
          <w:spacing w:val="-1"/>
          <w:sz w:val="20"/>
        </w:rPr>
        <w:t> </w:t>
      </w:r>
      <w:r>
        <w:rPr>
          <w:sz w:val="20"/>
        </w:rPr>
        <w:t>contract</w:t>
      </w:r>
      <w:r>
        <w:rPr>
          <w:spacing w:val="-1"/>
          <w:sz w:val="20"/>
        </w:rPr>
        <w:t> </w:t>
      </w:r>
      <w:r>
        <w:rPr>
          <w:sz w:val="20"/>
        </w:rPr>
        <w:t>has</w:t>
      </w:r>
      <w:r>
        <w:rPr>
          <w:spacing w:val="-1"/>
          <w:sz w:val="20"/>
        </w:rPr>
        <w:t> </w:t>
      </w:r>
      <w:r>
        <w:rPr>
          <w:sz w:val="20"/>
        </w:rPr>
        <w:t>been</w:t>
      </w:r>
      <w:r>
        <w:rPr>
          <w:spacing w:val="-1"/>
          <w:sz w:val="20"/>
        </w:rPr>
        <w:t> </w:t>
      </w:r>
      <w:r>
        <w:rPr>
          <w:sz w:val="20"/>
        </w:rPr>
        <w:t>made</w:t>
      </w:r>
      <w:r>
        <w:rPr>
          <w:spacing w:val="-1"/>
          <w:sz w:val="20"/>
        </w:rPr>
        <w:t> </w:t>
      </w:r>
      <w:r>
        <w:rPr>
          <w:sz w:val="20"/>
        </w:rPr>
        <w:t>as</w:t>
      </w:r>
      <w:r>
        <w:rPr>
          <w:spacing w:val="-1"/>
          <w:sz w:val="20"/>
        </w:rPr>
        <w:t> </w:t>
      </w:r>
      <w:r>
        <w:rPr>
          <w:sz w:val="20"/>
        </w:rPr>
        <w:t>a</w:t>
      </w:r>
      <w:r>
        <w:rPr>
          <w:spacing w:val="-1"/>
          <w:sz w:val="20"/>
        </w:rPr>
        <w:t> </w:t>
      </w:r>
      <w:r>
        <w:rPr>
          <w:sz w:val="20"/>
        </w:rPr>
        <w:t>result</w:t>
      </w:r>
      <w:r>
        <w:rPr>
          <w:spacing w:val="-1"/>
          <w:sz w:val="20"/>
        </w:rPr>
        <w:t> </w:t>
      </w:r>
      <w:r>
        <w:rPr>
          <w:sz w:val="20"/>
        </w:rPr>
        <w:t>of</w:t>
      </w:r>
      <w:r>
        <w:rPr>
          <w:spacing w:val="-1"/>
          <w:sz w:val="20"/>
        </w:rPr>
        <w:t> </w:t>
      </w:r>
      <w:r>
        <w:rPr>
          <w:sz w:val="20"/>
        </w:rPr>
        <w:t>a</w:t>
      </w:r>
      <w:r>
        <w:rPr>
          <w:spacing w:val="-1"/>
          <w:sz w:val="20"/>
        </w:rPr>
        <w:t> </w:t>
      </w:r>
      <w:r>
        <w:rPr>
          <w:sz w:val="20"/>
        </w:rPr>
        <w:t>misrepresentation</w:t>
      </w:r>
      <w:r>
        <w:rPr>
          <w:spacing w:val="-1"/>
          <w:sz w:val="20"/>
        </w:rPr>
        <w:t> </w:t>
      </w:r>
      <w:r>
        <w:rPr>
          <w:sz w:val="20"/>
        </w:rPr>
        <w:t>should</w:t>
      </w:r>
      <w:r>
        <w:rPr>
          <w:spacing w:val="-1"/>
          <w:sz w:val="20"/>
        </w:rPr>
        <w:t> </w:t>
      </w:r>
      <w:r>
        <w:rPr>
          <w:sz w:val="20"/>
        </w:rPr>
        <w:t>not</w:t>
      </w:r>
      <w:r>
        <w:rPr>
          <w:spacing w:val="-1"/>
          <w:sz w:val="20"/>
        </w:rPr>
        <w:t> </w:t>
      </w:r>
      <w:r>
        <w:rPr>
          <w:sz w:val="20"/>
        </w:rPr>
        <w:t>affect</w:t>
      </w:r>
      <w:r>
        <w:rPr>
          <w:spacing w:val="-1"/>
          <w:sz w:val="20"/>
        </w:rPr>
        <w:t> </w:t>
      </w:r>
      <w:r>
        <w:rPr>
          <w:sz w:val="20"/>
        </w:rPr>
        <w:t>the</w:t>
      </w:r>
      <w:r>
        <w:rPr>
          <w:spacing w:val="-1"/>
          <w:sz w:val="20"/>
        </w:rPr>
        <w:t> </w:t>
      </w:r>
      <w:r>
        <w:rPr>
          <w:sz w:val="20"/>
        </w:rPr>
        <w:t>prior</w:t>
      </w:r>
      <w:r>
        <w:rPr>
          <w:spacing w:val="-1"/>
          <w:sz w:val="20"/>
        </w:rPr>
        <w:t> </w:t>
      </w:r>
      <w:r>
        <w:rPr>
          <w:sz w:val="20"/>
        </w:rPr>
        <w:t>question whether there has been a misrepresentation.”) Hamblen J. referred to the decision in </w:t>
      </w:r>
      <w:r>
        <w:rPr>
          <w:rFonts w:ascii="Arial" w:hAnsi="Arial"/>
          <w:i/>
          <w:sz w:val="20"/>
        </w:rPr>
        <w:t>Royscot Trust Ltd v Rogerson [1991] 2 Q.B. 297 </w:t>
      </w:r>
      <w:r>
        <w:rPr>
          <w:sz w:val="20"/>
        </w:rPr>
        <w:t>as controversial; see below, para.7-078.</w:t>
      </w:r>
    </w:p>
    <w:p>
      <w:pPr>
        <w:pStyle w:val="BodyText"/>
        <w:spacing w:before="7"/>
      </w:pPr>
    </w:p>
    <w:p>
      <w:pPr>
        <w:pStyle w:val="BodyText"/>
        <w:tabs>
          <w:tab w:pos="705" w:val="left" w:leader="none"/>
        </w:tabs>
        <w:spacing w:line="235" w:lineRule="auto"/>
        <w:ind w:left="705" w:right="168" w:hanging="541"/>
      </w:pPr>
      <w:r>
        <w:rPr/>
        <mc:AlternateContent>
          <mc:Choice Requires="wps">
            <w:drawing>
              <wp:anchor distT="0" distB="0" distL="0" distR="0" allowOverlap="1" layoutInCell="1" locked="0" behindDoc="1" simplePos="0" relativeHeight="483870208">
                <wp:simplePos x="0" y="0"/>
                <wp:positionH relativeFrom="page">
                  <wp:posOffset>914400</wp:posOffset>
                </wp:positionH>
                <wp:positionV relativeFrom="paragraph">
                  <wp:posOffset>94818</wp:posOffset>
                </wp:positionV>
                <wp:extent cx="495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46272" from="72pt,7.465984pt" to="75.892pt,7.465984pt" stroked="true" strokeweight=".5pt" strokecolor="#005da1">
                <v:stroke dashstyle="solid"/>
                <w10:wrap type="none"/>
              </v:line>
            </w:pict>
          </mc:Fallback>
        </mc:AlternateContent>
      </w:r>
      <w:bookmarkStart w:name="_bookmark19" w:id="21"/>
      <w:bookmarkEnd w:id="21"/>
      <w:r>
        <w:rPr/>
      </w:r>
      <w:hyperlink w:history="true" w:anchor="_bookmark3">
        <w:r>
          <w:rPr>
            <w:color w:val="005DA1"/>
            <w:spacing w:val="-6"/>
            <w:position w:val="5"/>
            <w:sz w:val="14"/>
          </w:rPr>
          <w:t>6</w:t>
        </w:r>
      </w:hyperlink>
      <w:r>
        <w:rPr>
          <w:spacing w:val="-6"/>
          <w:position w:val="5"/>
          <w:sz w:val="14"/>
        </w:rPr>
        <w:t>.</w:t>
      </w:r>
      <w:r>
        <w:rPr>
          <w:position w:val="5"/>
          <w:sz w:val="14"/>
        </w:rPr>
        <w:tab/>
      </w:r>
      <w:r>
        <w:rPr/>
        <w:t>Directive 2005/29 on unfair commercial practices [2005] O.J. L149/22. A useful summary of </w:t>
      </w:r>
      <w:r>
        <w:rPr/>
        <w:t>the Directive and its impact will be found in Twigg-Flesner (2005) 121 L.Q.R. 386.</w:t>
      </w:r>
    </w:p>
    <w:p>
      <w:pPr>
        <w:pStyle w:val="BodyText"/>
        <w:spacing w:before="9"/>
      </w:pPr>
    </w:p>
    <w:p>
      <w:pPr>
        <w:pStyle w:val="BodyText"/>
        <w:tabs>
          <w:tab w:pos="705" w:val="left" w:leader="none"/>
        </w:tabs>
        <w:spacing w:line="235" w:lineRule="auto" w:before="1"/>
        <w:ind w:left="705" w:right="167" w:hanging="541"/>
        <w:jc w:val="both"/>
      </w:pPr>
      <w:r>
        <w:rPr/>
        <mc:AlternateContent>
          <mc:Choice Requires="wps">
            <w:drawing>
              <wp:anchor distT="0" distB="0" distL="0" distR="0" allowOverlap="1" layoutInCell="1" locked="0" behindDoc="1" simplePos="0" relativeHeight="483870720">
                <wp:simplePos x="0" y="0"/>
                <wp:positionH relativeFrom="page">
                  <wp:posOffset>914400</wp:posOffset>
                </wp:positionH>
                <wp:positionV relativeFrom="paragraph">
                  <wp:posOffset>94981</wp:posOffset>
                </wp:positionV>
                <wp:extent cx="4953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45760" from="72pt,7.478875pt" to="75.892pt,7.478875pt" stroked="true" strokeweight=".5pt" strokecolor="#005da1">
                <v:stroke dashstyle="solid"/>
                <w10:wrap type="none"/>
              </v:line>
            </w:pict>
          </mc:Fallback>
        </mc:AlternateContent>
      </w:r>
      <w:bookmarkStart w:name="_bookmark20" w:id="22"/>
      <w:bookmarkEnd w:id="22"/>
      <w:r>
        <w:rPr/>
      </w:r>
      <w:hyperlink w:history="true" w:anchor="_bookmark4">
        <w:r>
          <w:rPr>
            <w:color w:val="005DA1"/>
            <w:spacing w:val="-6"/>
            <w:position w:val="5"/>
            <w:sz w:val="14"/>
          </w:rPr>
          <w:t>7</w:t>
        </w:r>
      </w:hyperlink>
      <w:r>
        <w:rPr>
          <w:spacing w:val="-6"/>
          <w:position w:val="5"/>
          <w:sz w:val="14"/>
        </w:rPr>
        <w:t>.</w:t>
      </w:r>
      <w:r>
        <w:rPr>
          <w:position w:val="5"/>
          <w:sz w:val="14"/>
        </w:rPr>
        <w:tab/>
      </w:r>
      <w:r>
        <w:rPr/>
        <w:t>Consumer Protection from Unfair Trading Regulations 2008 (SI 2008/1277) reg.29; </w:t>
      </w:r>
      <w:r>
        <w:rPr/>
        <w:t>Business Protection</w:t>
      </w:r>
      <w:r>
        <w:rPr>
          <w:spacing w:val="-1"/>
        </w:rPr>
        <w:t> </w:t>
      </w:r>
      <w:r>
        <w:rPr/>
        <w:t>from</w:t>
      </w:r>
      <w:r>
        <w:rPr>
          <w:spacing w:val="-1"/>
        </w:rPr>
        <w:t> </w:t>
      </w:r>
      <w:r>
        <w:rPr/>
        <w:t>Misleading</w:t>
      </w:r>
      <w:r>
        <w:rPr>
          <w:spacing w:val="-1"/>
        </w:rPr>
        <w:t> </w:t>
      </w:r>
      <w:r>
        <w:rPr/>
        <w:t>Marketing</w:t>
      </w:r>
      <w:r>
        <w:rPr>
          <w:spacing w:val="-1"/>
        </w:rPr>
        <w:t> </w:t>
      </w:r>
      <w:r>
        <w:rPr/>
        <w:t>Regulations</w:t>
      </w:r>
      <w:r>
        <w:rPr>
          <w:spacing w:val="-1"/>
        </w:rPr>
        <w:t> </w:t>
      </w:r>
      <w:r>
        <w:rPr/>
        <w:t>2008</w:t>
      </w:r>
      <w:r>
        <w:rPr>
          <w:spacing w:val="-1"/>
        </w:rPr>
        <w:t> </w:t>
      </w:r>
      <w:r>
        <w:rPr/>
        <w:t>(SI</w:t>
      </w:r>
      <w:r>
        <w:rPr>
          <w:spacing w:val="-1"/>
        </w:rPr>
        <w:t> </w:t>
      </w:r>
      <w:r>
        <w:rPr/>
        <w:t>2008/1276)</w:t>
      </w:r>
      <w:r>
        <w:rPr>
          <w:spacing w:val="-1"/>
        </w:rPr>
        <w:t> </w:t>
      </w:r>
      <w:r>
        <w:rPr/>
        <w:t>reg.29.</w:t>
      </w:r>
      <w:r>
        <w:rPr>
          <w:spacing w:val="-1"/>
        </w:rPr>
        <w:t> </w:t>
      </w:r>
      <w:r>
        <w:rPr/>
        <w:t>See</w:t>
      </w:r>
      <w:r>
        <w:rPr>
          <w:spacing w:val="-1"/>
        </w:rPr>
        <w:t> </w:t>
      </w:r>
      <w:r>
        <w:rPr/>
        <w:t>now</w:t>
      </w:r>
      <w:r>
        <w:rPr>
          <w:spacing w:val="-1"/>
        </w:rPr>
        <w:t> </w:t>
      </w:r>
      <w:r>
        <w:rPr/>
        <w:t>below, Vol.II, paras 38-145 et seq.</w:t>
      </w:r>
    </w:p>
    <w:p>
      <w:pPr>
        <w:pStyle w:val="BodyText"/>
        <w:spacing w:before="4"/>
      </w:pPr>
    </w:p>
    <w:p>
      <w:pPr>
        <w:pStyle w:val="BodyText"/>
        <w:tabs>
          <w:tab w:pos="705" w:val="left" w:leader="none"/>
        </w:tabs>
        <w:spacing w:before="1"/>
        <w:ind w:left="165"/>
      </w:pPr>
      <w:r>
        <w:rPr/>
        <mc:AlternateContent>
          <mc:Choice Requires="wps">
            <w:drawing>
              <wp:anchor distT="0" distB="0" distL="0" distR="0" allowOverlap="1" layoutInCell="1" locked="0" behindDoc="1" simplePos="0" relativeHeight="483871232">
                <wp:simplePos x="0" y="0"/>
                <wp:positionH relativeFrom="page">
                  <wp:posOffset>914400</wp:posOffset>
                </wp:positionH>
                <wp:positionV relativeFrom="paragraph">
                  <wp:posOffset>97443</wp:posOffset>
                </wp:positionV>
                <wp:extent cx="4953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45248" from="72pt,7.672723pt" to="75.892pt,7.672723pt" stroked="true" strokeweight=".5pt" strokecolor="#005da1">
                <v:stroke dashstyle="solid"/>
                <w10:wrap type="none"/>
              </v:line>
            </w:pict>
          </mc:Fallback>
        </mc:AlternateContent>
      </w:r>
      <w:bookmarkStart w:name="_bookmark21" w:id="23"/>
      <w:bookmarkEnd w:id="23"/>
      <w:r>
        <w:rPr/>
      </w:r>
      <w:hyperlink w:history="true" w:anchor="_bookmark4">
        <w:r>
          <w:rPr>
            <w:color w:val="005DA1"/>
            <w:spacing w:val="-5"/>
            <w:position w:val="5"/>
            <w:sz w:val="14"/>
          </w:rPr>
          <w:t>8</w:t>
        </w:r>
      </w:hyperlink>
      <w:r>
        <w:rPr>
          <w:spacing w:val="-5"/>
          <w:position w:val="5"/>
          <w:sz w:val="14"/>
        </w:rPr>
        <w:t>.</w:t>
      </w:r>
      <w:r>
        <w:rPr>
          <w:position w:val="5"/>
          <w:sz w:val="14"/>
        </w:rPr>
        <w:tab/>
      </w:r>
      <w:r>
        <w:rPr/>
        <w:t>Directive 2005/29 </w:t>
      </w:r>
      <w:r>
        <w:rPr>
          <w:spacing w:val="-2"/>
        </w:rPr>
        <w:t>art.7.</w:t>
      </w:r>
    </w:p>
    <w:p>
      <w:pPr>
        <w:pStyle w:val="BodyText"/>
        <w:spacing w:before="4"/>
      </w:pPr>
    </w:p>
    <w:p>
      <w:pPr>
        <w:pStyle w:val="BodyText"/>
        <w:tabs>
          <w:tab w:pos="705" w:val="left" w:leader="none"/>
        </w:tabs>
        <w:spacing w:before="1"/>
        <w:ind w:left="165"/>
      </w:pPr>
      <w:r>
        <w:rPr/>
        <mc:AlternateContent>
          <mc:Choice Requires="wps">
            <w:drawing>
              <wp:anchor distT="0" distB="0" distL="0" distR="0" allowOverlap="1" layoutInCell="1" locked="0" behindDoc="1" simplePos="0" relativeHeight="483871744">
                <wp:simplePos x="0" y="0"/>
                <wp:positionH relativeFrom="page">
                  <wp:posOffset>914400</wp:posOffset>
                </wp:positionH>
                <wp:positionV relativeFrom="paragraph">
                  <wp:posOffset>97468</wp:posOffset>
                </wp:positionV>
                <wp:extent cx="4953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44736" from="72pt,7.674676pt" to="75.892pt,7.674676pt" stroked="true" strokeweight=".5pt" strokecolor="#005da1">
                <v:stroke dashstyle="solid"/>
                <w10:wrap type="none"/>
              </v:line>
            </w:pict>
          </mc:Fallback>
        </mc:AlternateContent>
      </w:r>
      <w:bookmarkStart w:name="_bookmark22" w:id="24"/>
      <w:bookmarkEnd w:id="24"/>
      <w:r>
        <w:rPr/>
      </w:r>
      <w:hyperlink w:history="true" w:anchor="_bookmark5">
        <w:r>
          <w:rPr>
            <w:color w:val="005DA1"/>
            <w:spacing w:val="-5"/>
            <w:position w:val="5"/>
            <w:sz w:val="14"/>
          </w:rPr>
          <w:t>9</w:t>
        </w:r>
      </w:hyperlink>
      <w:r>
        <w:rPr>
          <w:spacing w:val="-5"/>
          <w:position w:val="5"/>
          <w:sz w:val="14"/>
        </w:rPr>
        <w:t>.</w:t>
      </w:r>
      <w:r>
        <w:rPr>
          <w:position w:val="5"/>
          <w:sz w:val="14"/>
        </w:rPr>
        <w:tab/>
      </w:r>
      <w:r>
        <w:rPr/>
        <w:t>Directive 2005/29 </w:t>
      </w:r>
      <w:r>
        <w:rPr>
          <w:spacing w:val="-2"/>
        </w:rPr>
        <w:t>art.3(1).</w:t>
      </w:r>
    </w:p>
    <w:p>
      <w:pPr>
        <w:pStyle w:val="BodyText"/>
        <w:spacing w:before="8"/>
      </w:pPr>
    </w:p>
    <w:p>
      <w:pPr>
        <w:pStyle w:val="BodyText"/>
        <w:tabs>
          <w:tab w:pos="705" w:val="left" w:leader="none"/>
        </w:tabs>
        <w:spacing w:line="235" w:lineRule="auto"/>
        <w:ind w:left="705" w:right="168" w:hanging="541"/>
      </w:pPr>
      <w:bookmarkStart w:name="_bookmark23" w:id="25"/>
      <w:bookmarkEnd w:id="25"/>
      <w:r>
        <w:rPr/>
      </w:r>
      <w:hyperlink w:history="true" w:anchor="_bookmark5">
        <w:r>
          <w:rPr>
            <w:color w:val="005DA1"/>
            <w:spacing w:val="-4"/>
            <w:position w:val="5"/>
            <w:sz w:val="14"/>
            <w:u w:val="single" w:color="005DA1"/>
          </w:rPr>
          <w:t>10</w:t>
        </w:r>
      </w:hyperlink>
      <w:r>
        <w:rPr>
          <w:spacing w:val="-4"/>
          <w:position w:val="5"/>
          <w:sz w:val="14"/>
        </w:rPr>
        <w:t>.</w:t>
      </w:r>
      <w:r>
        <w:rPr>
          <w:position w:val="5"/>
          <w:sz w:val="14"/>
        </w:rPr>
        <w:tab/>
      </w:r>
      <w:r>
        <w:rPr/>
        <w:t>Consumer</w:t>
      </w:r>
      <w:r>
        <w:rPr>
          <w:spacing w:val="40"/>
        </w:rPr>
        <w:t> </w:t>
      </w:r>
      <w:r>
        <w:rPr/>
        <w:t>Protection</w:t>
      </w:r>
      <w:r>
        <w:rPr>
          <w:spacing w:val="40"/>
        </w:rPr>
        <w:t> </w:t>
      </w:r>
      <w:r>
        <w:rPr/>
        <w:t>from</w:t>
      </w:r>
      <w:r>
        <w:rPr>
          <w:spacing w:val="40"/>
        </w:rPr>
        <w:t> </w:t>
      </w:r>
      <w:r>
        <w:rPr/>
        <w:t>Unfair</w:t>
      </w:r>
      <w:r>
        <w:rPr>
          <w:spacing w:val="40"/>
        </w:rPr>
        <w:t> </w:t>
      </w:r>
      <w:r>
        <w:rPr/>
        <w:t>Trading</w:t>
      </w:r>
      <w:r>
        <w:rPr>
          <w:spacing w:val="40"/>
        </w:rPr>
        <w:t> </w:t>
      </w:r>
      <w:r>
        <w:rPr/>
        <w:t>Regulations</w:t>
      </w:r>
      <w:r>
        <w:rPr>
          <w:spacing w:val="40"/>
        </w:rPr>
        <w:t> </w:t>
      </w:r>
      <w:r>
        <w:rPr/>
        <w:t>2008</w:t>
      </w:r>
      <w:r>
        <w:rPr>
          <w:spacing w:val="40"/>
        </w:rPr>
        <w:t> </w:t>
      </w:r>
      <w:r>
        <w:rPr/>
        <w:t>(SI</w:t>
      </w:r>
      <w:r>
        <w:rPr>
          <w:spacing w:val="40"/>
        </w:rPr>
        <w:t> </w:t>
      </w:r>
      <w:r>
        <w:rPr/>
        <w:t>2008/1277)</w:t>
      </w:r>
      <w:r>
        <w:rPr>
          <w:spacing w:val="40"/>
        </w:rPr>
        <w:t> </w:t>
      </w:r>
      <w:r>
        <w:rPr/>
        <w:t>and</w:t>
      </w:r>
      <w:r>
        <w:rPr>
          <w:spacing w:val="40"/>
        </w:rPr>
        <w:t> </w:t>
      </w:r>
      <w:r>
        <w:rPr/>
        <w:t>Business Protection from Misleading Marketing Regulations 2008 (SI 2008/1276).</w:t>
      </w:r>
    </w:p>
    <w:p>
      <w:pPr>
        <w:pStyle w:val="BodyText"/>
        <w:spacing w:before="10"/>
      </w:pPr>
    </w:p>
    <w:p>
      <w:pPr>
        <w:pStyle w:val="BodyText"/>
        <w:tabs>
          <w:tab w:pos="705" w:val="left" w:leader="none"/>
        </w:tabs>
        <w:spacing w:line="235" w:lineRule="auto"/>
        <w:ind w:left="705" w:right="168" w:hanging="541"/>
      </w:pPr>
      <w:bookmarkStart w:name="_bookmark24" w:id="26"/>
      <w:bookmarkEnd w:id="26"/>
      <w:r>
        <w:rPr/>
      </w:r>
      <w:hyperlink w:history="true" w:anchor="_bookmark6">
        <w:r>
          <w:rPr>
            <w:color w:val="005DA1"/>
            <w:spacing w:val="-4"/>
            <w:position w:val="5"/>
            <w:sz w:val="14"/>
            <w:u w:val="single" w:color="005DA1"/>
          </w:rPr>
          <w:t>11</w:t>
        </w:r>
      </w:hyperlink>
      <w:r>
        <w:rPr>
          <w:spacing w:val="-4"/>
          <w:position w:val="5"/>
          <w:sz w:val="14"/>
        </w:rPr>
        <w:t>.</w:t>
      </w:r>
      <w:r>
        <w:rPr>
          <w:position w:val="5"/>
          <w:sz w:val="14"/>
        </w:rPr>
        <w:tab/>
      </w:r>
      <w:r>
        <w:rPr/>
        <w:t>Law Commission and Scottish Law Commission Report: Consumer Redress for Misleading </w:t>
      </w:r>
      <w:r>
        <w:rPr/>
        <w:t>and Aggressive Practices (Law Com. No.332, Scot Law Com. No.226 (2012)).</w:t>
      </w:r>
    </w:p>
    <w:p>
      <w:pPr>
        <w:pStyle w:val="BodyText"/>
        <w:spacing w:before="5"/>
      </w:pPr>
    </w:p>
    <w:p>
      <w:pPr>
        <w:tabs>
          <w:tab w:pos="705" w:val="left" w:leader="none"/>
        </w:tabs>
        <w:spacing w:before="0"/>
        <w:ind w:left="165" w:right="0" w:firstLine="0"/>
        <w:jc w:val="left"/>
        <w:rPr>
          <w:sz w:val="20"/>
        </w:rPr>
      </w:pPr>
      <w:bookmarkStart w:name="_bookmark25" w:id="27"/>
      <w:bookmarkEnd w:id="27"/>
      <w:r>
        <w:rPr/>
      </w:r>
      <w:hyperlink w:history="true" w:anchor="_bookmark7">
        <w:r>
          <w:rPr>
            <w:color w:val="005DA1"/>
            <w:spacing w:val="-5"/>
            <w:position w:val="5"/>
            <w:sz w:val="14"/>
            <w:u w:val="single" w:color="005DA1"/>
          </w:rPr>
          <w:t>12</w:t>
        </w:r>
      </w:hyperlink>
      <w:r>
        <w:rPr>
          <w:spacing w:val="-5"/>
          <w:position w:val="5"/>
          <w:sz w:val="14"/>
        </w:rPr>
        <w:t>.</w:t>
      </w:r>
      <w:r>
        <w:rPr>
          <w:position w:val="5"/>
          <w:sz w:val="14"/>
        </w:rPr>
        <w:tab/>
      </w:r>
      <w:r>
        <w:rPr>
          <w:sz w:val="20"/>
        </w:rPr>
        <w:t>SI </w:t>
      </w:r>
      <w:r>
        <w:rPr>
          <w:spacing w:val="-2"/>
          <w:sz w:val="20"/>
        </w:rPr>
        <w:t>2014/870.</w:t>
      </w:r>
    </w:p>
    <w:p>
      <w:pPr>
        <w:pStyle w:val="BodyText"/>
        <w:spacing w:before="5"/>
      </w:pPr>
    </w:p>
    <w:p>
      <w:pPr>
        <w:pStyle w:val="BodyText"/>
        <w:tabs>
          <w:tab w:pos="705" w:val="left" w:leader="none"/>
        </w:tabs>
        <w:ind w:left="165"/>
      </w:pPr>
      <w:bookmarkStart w:name="_bookmark26" w:id="28"/>
      <w:bookmarkEnd w:id="28"/>
      <w:r>
        <w:rPr/>
      </w:r>
      <w:hyperlink w:history="true" w:anchor="_bookmark8">
        <w:r>
          <w:rPr>
            <w:color w:val="005DA1"/>
            <w:spacing w:val="-5"/>
            <w:position w:val="5"/>
            <w:sz w:val="14"/>
            <w:u w:val="single" w:color="005DA1"/>
          </w:rPr>
          <w:t>13</w:t>
        </w:r>
      </w:hyperlink>
      <w:r>
        <w:rPr>
          <w:spacing w:val="-5"/>
          <w:position w:val="5"/>
          <w:sz w:val="14"/>
        </w:rPr>
        <w:t>.</w:t>
      </w:r>
      <w:r>
        <w:rPr>
          <w:position w:val="5"/>
          <w:sz w:val="14"/>
        </w:rPr>
        <w:tab/>
      </w:r>
      <w:r>
        <w:rPr/>
        <w:t>See below, Vol.II, para.38-</w:t>
      </w:r>
      <w:r>
        <w:rPr>
          <w:spacing w:val="-4"/>
        </w:rPr>
        <w:t>160.</w:t>
      </w:r>
    </w:p>
    <w:p>
      <w:pPr>
        <w:pStyle w:val="BodyText"/>
        <w:spacing w:before="5"/>
      </w:pPr>
    </w:p>
    <w:p>
      <w:pPr>
        <w:pStyle w:val="BodyText"/>
        <w:tabs>
          <w:tab w:pos="705" w:val="left" w:leader="none"/>
        </w:tabs>
        <w:ind w:left="165"/>
      </w:pPr>
      <w:bookmarkStart w:name="_bookmark27" w:id="29"/>
      <w:bookmarkEnd w:id="29"/>
      <w:r>
        <w:rPr/>
      </w:r>
      <w:hyperlink w:history="true" w:anchor="_bookmark9">
        <w:r>
          <w:rPr>
            <w:color w:val="005DA1"/>
            <w:spacing w:val="-5"/>
            <w:position w:val="5"/>
            <w:sz w:val="14"/>
            <w:u w:val="single" w:color="005DA1"/>
          </w:rPr>
          <w:t>14</w:t>
        </w:r>
      </w:hyperlink>
      <w:r>
        <w:rPr>
          <w:spacing w:val="-5"/>
          <w:position w:val="5"/>
          <w:sz w:val="14"/>
        </w:rPr>
        <w:t>.</w:t>
      </w:r>
      <w:r>
        <w:rPr>
          <w:position w:val="5"/>
          <w:sz w:val="14"/>
        </w:rPr>
        <w:tab/>
      </w:r>
      <w:r>
        <w:rPr/>
        <w:t>See below, para.7-051 </w:t>
      </w:r>
      <w:r>
        <w:rPr>
          <w:spacing w:val="-2"/>
        </w:rPr>
        <w:t>n.25a.</w:t>
      </w:r>
    </w:p>
    <w:p>
      <w:pPr>
        <w:pStyle w:val="BodyText"/>
        <w:spacing w:before="5"/>
      </w:pPr>
    </w:p>
    <w:p>
      <w:pPr>
        <w:tabs>
          <w:tab w:pos="705" w:val="left" w:leader="none"/>
        </w:tabs>
        <w:spacing w:line="227" w:lineRule="exact" w:before="0"/>
        <w:ind w:left="165" w:right="0" w:firstLine="0"/>
        <w:jc w:val="left"/>
        <w:rPr>
          <w:sz w:val="20"/>
        </w:rPr>
      </w:pPr>
      <w:bookmarkStart w:name="_bookmark28" w:id="30"/>
      <w:bookmarkEnd w:id="30"/>
      <w:r>
        <w:rPr/>
      </w:r>
      <w:hyperlink w:history="true" w:anchor="_bookmark10">
        <w:r>
          <w:rPr>
            <w:color w:val="005DA1"/>
            <w:spacing w:val="-5"/>
            <w:position w:val="5"/>
            <w:sz w:val="14"/>
            <w:u w:val="single" w:color="005DA1"/>
          </w:rPr>
          <w:t>15</w:t>
        </w:r>
      </w:hyperlink>
      <w:r>
        <w:rPr>
          <w:spacing w:val="-5"/>
          <w:position w:val="5"/>
          <w:sz w:val="14"/>
        </w:rPr>
        <w:t>.</w:t>
      </w:r>
      <w:r>
        <w:rPr>
          <w:position w:val="5"/>
          <w:sz w:val="14"/>
        </w:rPr>
        <w:tab/>
      </w:r>
      <w:r>
        <w:rPr>
          <w:rFonts w:ascii="Arial"/>
          <w:i/>
          <w:sz w:val="20"/>
        </w:rPr>
        <w:t>Pennsylvania</w:t>
      </w:r>
      <w:r>
        <w:rPr>
          <w:rFonts w:ascii="Arial"/>
          <w:i/>
          <w:spacing w:val="6"/>
          <w:sz w:val="20"/>
        </w:rPr>
        <w:t> </w:t>
      </w:r>
      <w:r>
        <w:rPr>
          <w:rFonts w:ascii="Arial"/>
          <w:i/>
          <w:sz w:val="20"/>
        </w:rPr>
        <w:t>Shipping</w:t>
      </w:r>
      <w:r>
        <w:rPr>
          <w:rFonts w:ascii="Arial"/>
          <w:i/>
          <w:spacing w:val="8"/>
          <w:sz w:val="20"/>
        </w:rPr>
        <w:t> </w:t>
      </w:r>
      <w:r>
        <w:rPr>
          <w:rFonts w:ascii="Arial"/>
          <w:i/>
          <w:sz w:val="20"/>
        </w:rPr>
        <w:t>Co</w:t>
      </w:r>
      <w:r>
        <w:rPr>
          <w:rFonts w:ascii="Arial"/>
          <w:i/>
          <w:spacing w:val="8"/>
          <w:sz w:val="20"/>
        </w:rPr>
        <w:t> </w:t>
      </w:r>
      <w:r>
        <w:rPr>
          <w:rFonts w:ascii="Arial"/>
          <w:i/>
          <w:sz w:val="20"/>
        </w:rPr>
        <w:t>v</w:t>
      </w:r>
      <w:r>
        <w:rPr>
          <w:rFonts w:ascii="Arial"/>
          <w:i/>
          <w:spacing w:val="8"/>
          <w:sz w:val="20"/>
        </w:rPr>
        <w:t> </w:t>
      </w:r>
      <w:r>
        <w:rPr>
          <w:rFonts w:ascii="Arial"/>
          <w:i/>
          <w:sz w:val="20"/>
        </w:rPr>
        <w:t>Compagnie</w:t>
      </w:r>
      <w:r>
        <w:rPr>
          <w:rFonts w:ascii="Arial"/>
          <w:i/>
          <w:spacing w:val="8"/>
          <w:sz w:val="20"/>
        </w:rPr>
        <w:t> </w:t>
      </w:r>
      <w:r>
        <w:rPr>
          <w:rFonts w:ascii="Arial"/>
          <w:i/>
          <w:sz w:val="20"/>
        </w:rPr>
        <w:t>Nationale</w:t>
      </w:r>
      <w:r>
        <w:rPr>
          <w:rFonts w:ascii="Arial"/>
          <w:i/>
          <w:spacing w:val="8"/>
          <w:sz w:val="20"/>
        </w:rPr>
        <w:t> </w:t>
      </w:r>
      <w:r>
        <w:rPr>
          <w:rFonts w:ascii="Arial"/>
          <w:i/>
          <w:sz w:val="20"/>
        </w:rPr>
        <w:t>de</w:t>
      </w:r>
      <w:r>
        <w:rPr>
          <w:rFonts w:ascii="Arial"/>
          <w:i/>
          <w:spacing w:val="8"/>
          <w:sz w:val="20"/>
        </w:rPr>
        <w:t> </w:t>
      </w:r>
      <w:r>
        <w:rPr>
          <w:rFonts w:ascii="Arial"/>
          <w:i/>
          <w:sz w:val="20"/>
        </w:rPr>
        <w:t>Navigation</w:t>
      </w:r>
      <w:r>
        <w:rPr>
          <w:rFonts w:ascii="Arial"/>
          <w:i/>
          <w:spacing w:val="8"/>
          <w:sz w:val="20"/>
        </w:rPr>
        <w:t> </w:t>
      </w:r>
      <w:r>
        <w:rPr>
          <w:rFonts w:ascii="Arial"/>
          <w:i/>
          <w:sz w:val="20"/>
        </w:rPr>
        <w:t>[1936]</w:t>
      </w:r>
      <w:r>
        <w:rPr>
          <w:rFonts w:ascii="Arial"/>
          <w:i/>
          <w:spacing w:val="8"/>
          <w:sz w:val="20"/>
        </w:rPr>
        <w:t> </w:t>
      </w:r>
      <w:r>
        <w:rPr>
          <w:rFonts w:ascii="Arial"/>
          <w:i/>
          <w:sz w:val="20"/>
        </w:rPr>
        <w:t>2</w:t>
      </w:r>
      <w:r>
        <w:rPr>
          <w:rFonts w:ascii="Arial"/>
          <w:i/>
          <w:spacing w:val="8"/>
          <w:sz w:val="20"/>
        </w:rPr>
        <w:t> </w:t>
      </w:r>
      <w:r>
        <w:rPr>
          <w:rFonts w:ascii="Arial"/>
          <w:i/>
          <w:sz w:val="20"/>
        </w:rPr>
        <w:t>All</w:t>
      </w:r>
      <w:r>
        <w:rPr>
          <w:rFonts w:ascii="Arial"/>
          <w:i/>
          <w:spacing w:val="8"/>
          <w:sz w:val="20"/>
        </w:rPr>
        <w:t> </w:t>
      </w:r>
      <w:r>
        <w:rPr>
          <w:rFonts w:ascii="Arial"/>
          <w:i/>
          <w:sz w:val="20"/>
        </w:rPr>
        <w:t>E.R.</w:t>
      </w:r>
      <w:r>
        <w:rPr>
          <w:rFonts w:ascii="Arial"/>
          <w:i/>
          <w:spacing w:val="8"/>
          <w:sz w:val="20"/>
        </w:rPr>
        <w:t> </w:t>
      </w:r>
      <w:r>
        <w:rPr>
          <w:rFonts w:ascii="Arial"/>
          <w:i/>
          <w:sz w:val="20"/>
        </w:rPr>
        <w:t>1167,</w:t>
      </w:r>
      <w:r>
        <w:rPr>
          <w:rFonts w:ascii="Arial"/>
          <w:i/>
          <w:spacing w:val="8"/>
          <w:sz w:val="20"/>
        </w:rPr>
        <w:t> </w:t>
      </w:r>
      <w:r>
        <w:rPr>
          <w:rFonts w:ascii="Arial"/>
          <w:i/>
          <w:spacing w:val="-2"/>
          <w:sz w:val="20"/>
        </w:rPr>
        <w:t>1171</w:t>
      </w:r>
      <w:r>
        <w:rPr>
          <w:spacing w:val="-2"/>
          <w:sz w:val="20"/>
        </w:rPr>
        <w:t>;</w:t>
      </w:r>
    </w:p>
    <w:p>
      <w:pPr>
        <w:spacing w:line="227" w:lineRule="exact" w:before="0"/>
        <w:ind w:left="705" w:right="0" w:firstLine="0"/>
        <w:jc w:val="left"/>
        <w:rPr>
          <w:sz w:val="20"/>
        </w:rPr>
      </w:pPr>
      <w:r>
        <w:rPr>
          <w:rFonts w:ascii="Arial"/>
          <w:i/>
          <w:sz w:val="20"/>
        </w:rPr>
        <w:t>Leaf v International Galleries [1950] 2 K.B. </w:t>
      </w:r>
      <w:r>
        <w:rPr>
          <w:rFonts w:ascii="Arial"/>
          <w:i/>
          <w:spacing w:val="-5"/>
          <w:sz w:val="20"/>
        </w:rPr>
        <w:t>86</w:t>
      </w:r>
      <w:r>
        <w:rPr>
          <w:spacing w:val="-5"/>
          <w:sz w:val="20"/>
        </w:rPr>
        <w:t>.</w:t>
      </w:r>
    </w:p>
    <w:p>
      <w:pPr>
        <w:pStyle w:val="BodyText"/>
        <w:spacing w:before="5"/>
      </w:pPr>
    </w:p>
    <w:p>
      <w:pPr>
        <w:pStyle w:val="BodyText"/>
        <w:tabs>
          <w:tab w:pos="705" w:val="left" w:leader="none"/>
        </w:tabs>
        <w:ind w:left="165"/>
      </w:pPr>
      <w:bookmarkStart w:name="_bookmark29" w:id="31"/>
      <w:bookmarkEnd w:id="31"/>
      <w:r>
        <w:rPr/>
      </w:r>
      <w:hyperlink w:history="true" w:anchor="_bookmark11">
        <w:r>
          <w:rPr>
            <w:color w:val="005DA1"/>
            <w:spacing w:val="-5"/>
            <w:position w:val="5"/>
            <w:sz w:val="14"/>
            <w:u w:val="single" w:color="005DA1"/>
          </w:rPr>
          <w:t>16</w:t>
        </w:r>
      </w:hyperlink>
      <w:r>
        <w:rPr>
          <w:spacing w:val="-5"/>
          <w:position w:val="5"/>
          <w:sz w:val="14"/>
        </w:rPr>
        <w:t>.</w:t>
      </w:r>
      <w:r>
        <w:rPr>
          <w:position w:val="5"/>
          <w:sz w:val="14"/>
        </w:rPr>
        <w:tab/>
      </w:r>
      <w:r>
        <w:rPr/>
        <w:t>Misrepresentation Act 1967 s.1(a): see below, para.7-</w:t>
      </w:r>
      <w:r>
        <w:rPr>
          <w:spacing w:val="-4"/>
        </w:rPr>
        <w:t>112.</w:t>
      </w:r>
    </w:p>
    <w:p>
      <w:pPr>
        <w:pStyle w:val="BodyText"/>
        <w:spacing w:before="5"/>
      </w:pPr>
    </w:p>
    <w:p>
      <w:pPr>
        <w:pStyle w:val="BodyText"/>
        <w:tabs>
          <w:tab w:pos="705" w:val="left" w:leader="none"/>
        </w:tabs>
        <w:ind w:left="165"/>
      </w:pPr>
      <w:bookmarkStart w:name="_bookmark30" w:id="32"/>
      <w:bookmarkEnd w:id="32"/>
      <w:r>
        <w:rPr/>
      </w:r>
      <w:hyperlink w:history="true" w:anchor="_bookmark12">
        <w:r>
          <w:rPr>
            <w:color w:val="005DA1"/>
            <w:spacing w:val="-5"/>
            <w:position w:val="5"/>
            <w:sz w:val="14"/>
            <w:u w:val="single" w:color="005DA1"/>
          </w:rPr>
          <w:t>17</w:t>
        </w:r>
      </w:hyperlink>
      <w:r>
        <w:rPr>
          <w:spacing w:val="-5"/>
          <w:position w:val="5"/>
          <w:sz w:val="14"/>
        </w:rPr>
        <w:t>.</w:t>
      </w:r>
      <w:r>
        <w:rPr>
          <w:position w:val="5"/>
          <w:sz w:val="14"/>
        </w:rPr>
        <w:tab/>
      </w:r>
      <w:r>
        <w:rPr/>
        <w:t>Below, paras 7-116 and 7-</w:t>
      </w:r>
      <w:r>
        <w:rPr>
          <w:spacing w:val="-4"/>
        </w:rPr>
        <w:t>153.</w:t>
      </w:r>
    </w:p>
    <w:p>
      <w:pPr>
        <w:pStyle w:val="BodyText"/>
        <w:spacing w:before="5"/>
      </w:pPr>
    </w:p>
    <w:p>
      <w:pPr>
        <w:tabs>
          <w:tab w:pos="705" w:val="left" w:leader="none"/>
        </w:tabs>
        <w:spacing w:before="0"/>
        <w:ind w:left="165" w:right="0" w:firstLine="0"/>
        <w:jc w:val="left"/>
        <w:rPr>
          <w:sz w:val="20"/>
        </w:rPr>
      </w:pPr>
      <w:bookmarkStart w:name="_bookmark31" w:id="33"/>
      <w:bookmarkEnd w:id="33"/>
      <w:r>
        <w:rPr/>
      </w:r>
      <w:hyperlink w:history="true" w:anchor="_bookmark13">
        <w:r>
          <w:rPr>
            <w:color w:val="005DA1"/>
            <w:spacing w:val="-5"/>
            <w:position w:val="5"/>
            <w:sz w:val="14"/>
            <w:u w:val="single" w:color="005DA1"/>
          </w:rPr>
          <w:t>18</w:t>
        </w:r>
      </w:hyperlink>
      <w:r>
        <w:rPr>
          <w:spacing w:val="-5"/>
          <w:position w:val="5"/>
          <w:sz w:val="14"/>
        </w:rPr>
        <w:t>.</w:t>
      </w:r>
      <w:r>
        <w:rPr>
          <w:position w:val="5"/>
          <w:sz w:val="14"/>
        </w:rPr>
        <w:tab/>
      </w:r>
      <w:r>
        <w:rPr>
          <w:rFonts w:ascii="Arial"/>
          <w:i/>
          <w:sz w:val="20"/>
        </w:rPr>
        <w:t>[1964]</w:t>
      </w:r>
      <w:r>
        <w:rPr>
          <w:rFonts w:ascii="Arial"/>
          <w:i/>
          <w:spacing w:val="-2"/>
          <w:sz w:val="20"/>
        </w:rPr>
        <w:t> </w:t>
      </w:r>
      <w:r>
        <w:rPr>
          <w:rFonts w:ascii="Arial"/>
          <w:i/>
          <w:sz w:val="20"/>
        </w:rPr>
        <w:t>A.C. </w:t>
      </w:r>
      <w:r>
        <w:rPr>
          <w:rFonts w:ascii="Arial"/>
          <w:i/>
          <w:spacing w:val="-4"/>
          <w:sz w:val="20"/>
        </w:rPr>
        <w:t>465</w:t>
      </w:r>
      <w:r>
        <w:rPr>
          <w:spacing w:val="-4"/>
          <w:sz w:val="20"/>
        </w:rPr>
        <w:t>.</w:t>
      </w:r>
    </w:p>
    <w:p>
      <w:pPr>
        <w:pStyle w:val="BodyText"/>
        <w:spacing w:before="5"/>
      </w:pPr>
    </w:p>
    <w:p>
      <w:pPr>
        <w:pStyle w:val="BodyText"/>
        <w:tabs>
          <w:tab w:pos="705" w:val="left" w:leader="none"/>
        </w:tabs>
        <w:spacing w:before="1"/>
        <w:ind w:left="165"/>
      </w:pPr>
      <w:bookmarkStart w:name="_bookmark32" w:id="34"/>
      <w:bookmarkEnd w:id="34"/>
      <w:r>
        <w:rPr/>
      </w:r>
      <w:hyperlink w:history="true" w:anchor="_bookmark14">
        <w:r>
          <w:rPr>
            <w:color w:val="005DA1"/>
            <w:spacing w:val="-5"/>
            <w:position w:val="5"/>
            <w:sz w:val="14"/>
            <w:u w:val="single" w:color="005DA1"/>
          </w:rPr>
          <w:t>19</w:t>
        </w:r>
      </w:hyperlink>
      <w:r>
        <w:rPr>
          <w:spacing w:val="-5"/>
          <w:position w:val="5"/>
          <w:sz w:val="14"/>
        </w:rPr>
        <w:t>.</w:t>
      </w:r>
      <w:r>
        <w:rPr>
          <w:position w:val="5"/>
          <w:sz w:val="14"/>
        </w:rPr>
        <w:tab/>
      </w:r>
      <w:r>
        <w:rPr/>
        <w:t>See</w:t>
      </w:r>
      <w:r>
        <w:rPr>
          <w:spacing w:val="-2"/>
        </w:rPr>
        <w:t> </w:t>
      </w:r>
      <w:r>
        <w:rPr/>
        <w:t>below, para.7-</w:t>
      </w:r>
      <w:r>
        <w:rPr>
          <w:spacing w:val="-4"/>
        </w:rPr>
        <w:t>076.</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539" w:right="2543"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3872256">
                <wp:simplePos x="0" y="0"/>
                <wp:positionH relativeFrom="page">
                  <wp:posOffset>4851958</wp:posOffset>
                </wp:positionH>
                <wp:positionV relativeFrom="paragraph">
                  <wp:posOffset>377436</wp:posOffset>
                </wp:positionV>
                <wp:extent cx="4254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44224" from="382.044006pt,29.719406pt" to="385.380006pt,29.719406pt" stroked="true" strokeweight=".428pt" strokecolor="#005da1">
                <v:stroke dashstyle="solid"/>
                <w10:wrap type="none"/>
              </v:line>
            </w:pict>
          </mc:Fallback>
        </mc:AlternateContent>
      </w:r>
      <w:r>
        <w:rPr>
          <w:rFonts w:ascii="Arial"/>
          <w:b/>
          <w:sz w:val="24"/>
        </w:rPr>
        <w:t>Part 2 - Formation of Contract Chapter 7 - Misrepresentation</w:t>
      </w:r>
      <w:r>
        <w:rPr>
          <w:rFonts w:ascii="Arial"/>
          <w:b/>
          <w:spacing w:val="-1"/>
          <w:sz w:val="24"/>
        </w:rPr>
        <w:t> </w:t>
      </w:r>
      <w:r>
        <w:rPr>
          <w:rFonts w:ascii="Arial"/>
          <w:b/>
          <w:color w:val="005DA1"/>
          <w:spacing w:val="-10"/>
          <w:position w:val="11"/>
          <w:sz w:val="12"/>
        </w:rPr>
        <w:t>1</w:t>
      </w:r>
    </w:p>
    <w:p>
      <w:pPr>
        <w:spacing w:before="2"/>
        <w:ind w:left="940" w:right="943" w:firstLine="0"/>
        <w:jc w:val="center"/>
        <w:rPr>
          <w:rFonts w:ascii="Arial"/>
          <w:b/>
          <w:sz w:val="24"/>
        </w:rPr>
      </w:pPr>
      <w:r>
        <w:rPr>
          <w:rFonts w:ascii="Arial"/>
          <w:b/>
          <w:sz w:val="24"/>
        </w:rPr>
        <w:t>Section 2. - What Constitutes Effective </w:t>
      </w:r>
      <w:r>
        <w:rPr>
          <w:rFonts w:ascii="Arial"/>
          <w:b/>
          <w:spacing w:val="-2"/>
          <w:sz w:val="24"/>
        </w:rPr>
        <w:t>Misrepresentation</w:t>
      </w:r>
    </w:p>
    <w:p>
      <w:pPr>
        <w:spacing w:before="194"/>
        <w:ind w:left="3071" w:right="0" w:firstLine="0"/>
        <w:jc w:val="left"/>
        <w:rPr>
          <w:rFonts w:ascii="Arial"/>
          <w:b/>
          <w:sz w:val="24"/>
        </w:rPr>
      </w:pPr>
      <w:r>
        <w:rPr>
          <w:rFonts w:ascii="Arial"/>
          <w:b/>
          <w:sz w:val="24"/>
        </w:rPr>
        <w:t>(a) - False Statement of </w:t>
      </w:r>
      <w:r>
        <w:rPr>
          <w:rFonts w:ascii="Arial"/>
          <w:b/>
          <w:spacing w:val="-4"/>
          <w:sz w:val="24"/>
        </w:rPr>
        <w:t>Fact</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Statements of </w:t>
      </w:r>
      <w:r>
        <w:rPr>
          <w:rFonts w:ascii="Arial"/>
          <w:b/>
          <w:spacing w:val="-4"/>
          <w:sz w:val="18"/>
        </w:rPr>
        <w:t>fact</w:t>
      </w:r>
    </w:p>
    <w:p>
      <w:pPr>
        <w:pStyle w:val="BodyText"/>
        <w:spacing w:before="41"/>
        <w:rPr>
          <w:rFonts w:ascii="Arial"/>
          <w:b/>
          <w:sz w:val="18"/>
        </w:rPr>
      </w:pPr>
    </w:p>
    <w:p>
      <w:pPr>
        <w:pStyle w:val="Heading2"/>
      </w:pPr>
      <w:r>
        <w:rPr/>
        <w:t>7-</w:t>
      </w:r>
      <w:r>
        <w:rPr>
          <w:spacing w:val="-5"/>
        </w:rPr>
        <w:t>006</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33" w:id="35"/>
      <w:bookmarkEnd w:id="35"/>
      <w:r>
        <w:rPr>
          <w:rFonts w:ascii="Times New Roman" w:hAnsi="Times New Roman"/>
          <w:spacing w:val="10"/>
        </w:rPr>
      </w:r>
      <w:r>
        <w:rPr/>
        <w:t>The traditional rule is that a misrepresentation must be a false statement of fact, </w:t>
      </w:r>
      <w:r>
        <w:rPr>
          <w:color w:val="005DA1"/>
          <w:u w:val="single" w:color="005DA1"/>
          <w:vertAlign w:val="superscript"/>
        </w:rPr>
        <w:t>20</w:t>
      </w:r>
      <w:r>
        <w:rPr>
          <w:color w:val="005DA1"/>
          <w:vertAlign w:val="baseline"/>
        </w:rPr>
        <w:t> </w:t>
      </w:r>
      <w:r>
        <w:rPr>
          <w:vertAlign w:val="baseline"/>
        </w:rPr>
        <w:t>past or present, as distinct from a statement of opinion, a statement of intention or a mere commendatory statement. However, the distinction between a statement of fact on the one hand and a statement of opinion or intention on the other, is not clear cut. We shall see that a statement of opinion or of intention </w:t>
      </w:r>
      <w:r>
        <w:rPr>
          <w:vertAlign w:val="baseline"/>
        </w:rPr>
        <w:t>may itself</w:t>
      </w:r>
      <w:r>
        <w:rPr>
          <w:spacing w:val="-2"/>
          <w:vertAlign w:val="baseline"/>
        </w:rPr>
        <w:t> </w:t>
      </w:r>
      <w:r>
        <w:rPr>
          <w:vertAlign w:val="baseline"/>
        </w:rPr>
        <w:t>be</w:t>
      </w:r>
      <w:r>
        <w:rPr>
          <w:spacing w:val="-2"/>
          <w:vertAlign w:val="baseline"/>
        </w:rPr>
        <w:t> </w:t>
      </w:r>
      <w:r>
        <w:rPr>
          <w:vertAlign w:val="baseline"/>
        </w:rPr>
        <w:t>a</w:t>
      </w:r>
      <w:r>
        <w:rPr>
          <w:spacing w:val="-2"/>
          <w:vertAlign w:val="baseline"/>
        </w:rPr>
        <w:t> </w:t>
      </w:r>
      <w:r>
        <w:rPr>
          <w:vertAlign w:val="baseline"/>
        </w:rPr>
        <w:t>misrepresentation</w:t>
      </w:r>
      <w:r>
        <w:rPr>
          <w:spacing w:val="-2"/>
          <w:vertAlign w:val="baseline"/>
        </w:rPr>
        <w:t> </w:t>
      </w:r>
      <w:r>
        <w:rPr>
          <w:vertAlign w:val="baseline"/>
        </w:rPr>
        <w:t>if</w:t>
      </w:r>
      <w:r>
        <w:rPr>
          <w:spacing w:val="-2"/>
          <w:vertAlign w:val="baseline"/>
        </w:rPr>
        <w:t> </w:t>
      </w:r>
      <w:r>
        <w:rPr>
          <w:vertAlign w:val="baseline"/>
        </w:rPr>
        <w:t>the</w:t>
      </w:r>
      <w:r>
        <w:rPr>
          <w:spacing w:val="-2"/>
          <w:vertAlign w:val="baseline"/>
        </w:rPr>
        <w:t> </w:t>
      </w:r>
      <w:r>
        <w:rPr>
          <w:vertAlign w:val="baseline"/>
        </w:rPr>
        <w:t>maker</w:t>
      </w:r>
      <w:r>
        <w:rPr>
          <w:spacing w:val="-2"/>
          <w:vertAlign w:val="baseline"/>
        </w:rPr>
        <w:t> </w:t>
      </w:r>
      <w:r>
        <w:rPr>
          <w:vertAlign w:val="baseline"/>
        </w:rPr>
        <w:t>does</w:t>
      </w:r>
      <w:r>
        <w:rPr>
          <w:spacing w:val="-2"/>
          <w:vertAlign w:val="baseline"/>
        </w:rPr>
        <w:t> </w:t>
      </w:r>
      <w:r>
        <w:rPr>
          <w:vertAlign w:val="baseline"/>
        </w:rPr>
        <w:t>not</w:t>
      </w:r>
      <w:r>
        <w:rPr>
          <w:spacing w:val="-2"/>
          <w:vertAlign w:val="baseline"/>
        </w:rPr>
        <w:t> </w:t>
      </w:r>
      <w:r>
        <w:rPr>
          <w:vertAlign w:val="baseline"/>
        </w:rPr>
        <w:t>in</w:t>
      </w:r>
      <w:r>
        <w:rPr>
          <w:spacing w:val="-2"/>
          <w:vertAlign w:val="baseline"/>
        </w:rPr>
        <w:t> </w:t>
      </w:r>
      <w:r>
        <w:rPr>
          <w:vertAlign w:val="baseline"/>
        </w:rPr>
        <w:t>fact</w:t>
      </w:r>
      <w:r>
        <w:rPr>
          <w:spacing w:val="-2"/>
          <w:vertAlign w:val="baseline"/>
        </w:rPr>
        <w:t> </w:t>
      </w:r>
      <w:r>
        <w:rPr>
          <w:vertAlign w:val="baseline"/>
        </w:rPr>
        <w:t>hold</w:t>
      </w:r>
      <w:r>
        <w:rPr>
          <w:spacing w:val="-2"/>
          <w:vertAlign w:val="baseline"/>
        </w:rPr>
        <w:t> </w:t>
      </w:r>
      <w:r>
        <w:rPr>
          <w:vertAlign w:val="baseline"/>
        </w:rPr>
        <w:t>the</w:t>
      </w:r>
      <w:r>
        <w:rPr>
          <w:spacing w:val="-2"/>
          <w:vertAlign w:val="baseline"/>
        </w:rPr>
        <w:t> </w:t>
      </w:r>
      <w:r>
        <w:rPr>
          <w:vertAlign w:val="baseline"/>
        </w:rPr>
        <w:t>opinion</w:t>
      </w:r>
      <w:r>
        <w:rPr>
          <w:spacing w:val="-2"/>
          <w:vertAlign w:val="baseline"/>
        </w:rPr>
        <w:t> </w:t>
      </w:r>
      <w:r>
        <w:rPr>
          <w:vertAlign w:val="baseline"/>
        </w:rPr>
        <w:t>or</w:t>
      </w:r>
      <w:r>
        <w:rPr>
          <w:spacing w:val="-2"/>
          <w:vertAlign w:val="baseline"/>
        </w:rPr>
        <w:t> </w:t>
      </w:r>
      <w:r>
        <w:rPr>
          <w:vertAlign w:val="baseline"/>
        </w:rPr>
        <w:t>have</w:t>
      </w:r>
      <w:r>
        <w:rPr>
          <w:spacing w:val="-2"/>
          <w:vertAlign w:val="baseline"/>
        </w:rPr>
        <w:t> </w:t>
      </w:r>
      <w:r>
        <w:rPr>
          <w:vertAlign w:val="baseline"/>
        </w:rPr>
        <w:t>the</w:t>
      </w:r>
      <w:r>
        <w:rPr>
          <w:spacing w:val="-2"/>
          <w:vertAlign w:val="baseline"/>
        </w:rPr>
        <w:t> </w:t>
      </w:r>
      <w:r>
        <w:rPr>
          <w:vertAlign w:val="baseline"/>
        </w:rPr>
        <w:t>intention</w:t>
      </w:r>
      <w:r>
        <w:rPr>
          <w:spacing w:val="-2"/>
          <w:vertAlign w:val="baseline"/>
        </w:rPr>
        <w:t> </w:t>
      </w:r>
      <w:r>
        <w:rPr>
          <w:vertAlign w:val="baseline"/>
        </w:rPr>
        <w:t>stated. </w:t>
      </w:r>
      <w:bookmarkStart w:name="_bookmark34" w:id="36"/>
      <w:bookmarkEnd w:id="36"/>
      <w:r>
        <w:rPr>
          <w:vertAlign w:val="baseline"/>
        </w:rPr>
        <w:t>Also</w:t>
      </w:r>
      <w:r>
        <w:rPr>
          <w:vertAlign w:val="baseline"/>
        </w:rPr>
        <w:t> a statement of opinion may amount to a implied representation that the maker has reasonable </w:t>
      </w:r>
      <w:bookmarkStart w:name="_bookmark35" w:id="37"/>
      <w:bookmarkEnd w:id="37"/>
      <w:r>
        <w:rPr>
          <w:vertAlign w:val="baseline"/>
        </w:rPr>
        <w:t>grounds</w:t>
      </w:r>
      <w:r>
        <w:rPr>
          <w:vertAlign w:val="baseline"/>
        </w:rPr>
        <w:t> for the opinion, </w:t>
      </w:r>
      <w:r>
        <w:rPr>
          <w:color w:val="005DA1"/>
          <w:u w:val="single" w:color="005DA1"/>
          <w:vertAlign w:val="superscript"/>
        </w:rPr>
        <w:t>21</w:t>
      </w:r>
      <w:r>
        <w:rPr>
          <w:color w:val="005DA1"/>
          <w:vertAlign w:val="baseline"/>
        </w:rPr>
        <w:t> </w:t>
      </w:r>
      <w:r>
        <w:rPr>
          <w:vertAlign w:val="baseline"/>
        </w:rPr>
        <w:t>and a statement of intention that he reasonably believes that he can carry out his intentions. </w:t>
      </w:r>
      <w:r>
        <w:rPr>
          <w:color w:val="005DA1"/>
          <w:u w:val="single" w:color="005DA1"/>
          <w:vertAlign w:val="superscript"/>
        </w:rPr>
        <w:t>22</w:t>
      </w:r>
      <w:r>
        <w:rPr>
          <w:color w:val="005DA1"/>
          <w:vertAlign w:val="baseline"/>
        </w:rPr>
        <w:t> </w:t>
      </w:r>
      <w:r>
        <w:rPr>
          <w:vertAlign w:val="baseline"/>
        </w:rPr>
        <w:t>Conversely, a statement that on the face of it is one of fact may only amount to </w:t>
      </w:r>
      <w:bookmarkStart w:name="_bookmark36" w:id="38"/>
      <w:bookmarkEnd w:id="38"/>
      <w:r>
        <w:rPr>
          <w:vertAlign w:val="baseline"/>
        </w:rPr>
        <w:t>statement</w:t>
      </w:r>
      <w:r>
        <w:rPr>
          <w:spacing w:val="-1"/>
          <w:vertAlign w:val="baseline"/>
        </w:rPr>
        <w:t> </w:t>
      </w:r>
      <w:r>
        <w:rPr>
          <w:vertAlign w:val="baseline"/>
        </w:rPr>
        <w:t>of</w:t>
      </w:r>
      <w:r>
        <w:rPr>
          <w:spacing w:val="-1"/>
          <w:vertAlign w:val="baseline"/>
        </w:rPr>
        <w:t> </w:t>
      </w:r>
      <w:r>
        <w:rPr>
          <w:vertAlign w:val="baseline"/>
        </w:rPr>
        <w:t>opinion</w:t>
      </w:r>
      <w:r>
        <w:rPr>
          <w:spacing w:val="-1"/>
          <w:vertAlign w:val="baseline"/>
        </w:rPr>
        <w:t> </w:t>
      </w:r>
      <w:r>
        <w:rPr>
          <w:vertAlign w:val="baseline"/>
        </w:rPr>
        <w:t>if</w:t>
      </w:r>
      <w:r>
        <w:rPr>
          <w:spacing w:val="-1"/>
          <w:vertAlign w:val="baseline"/>
        </w:rPr>
        <w:t> </w:t>
      </w:r>
      <w:r>
        <w:rPr>
          <w:vertAlign w:val="baseline"/>
        </w:rPr>
        <w:t>the</w:t>
      </w:r>
      <w:r>
        <w:rPr>
          <w:spacing w:val="-1"/>
          <w:vertAlign w:val="baseline"/>
        </w:rPr>
        <w:t> </w:t>
      </w:r>
      <w:r>
        <w:rPr>
          <w:vertAlign w:val="baseline"/>
        </w:rPr>
        <w:t>person</w:t>
      </w:r>
      <w:r>
        <w:rPr>
          <w:spacing w:val="-1"/>
          <w:vertAlign w:val="baseline"/>
        </w:rPr>
        <w:t> </w:t>
      </w:r>
      <w:r>
        <w:rPr>
          <w:vertAlign w:val="baseline"/>
        </w:rPr>
        <w:t>to</w:t>
      </w:r>
      <w:r>
        <w:rPr>
          <w:spacing w:val="-1"/>
          <w:vertAlign w:val="baseline"/>
        </w:rPr>
        <w:t> </w:t>
      </w:r>
      <w:r>
        <w:rPr>
          <w:vertAlign w:val="baseline"/>
        </w:rPr>
        <w:t>whom</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made</w:t>
      </w:r>
      <w:r>
        <w:rPr>
          <w:spacing w:val="-1"/>
          <w:vertAlign w:val="baseline"/>
        </w:rPr>
        <w:t> </w:t>
      </w:r>
      <w:r>
        <w:rPr>
          <w:vertAlign w:val="baseline"/>
        </w:rPr>
        <w:t>knows</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maker</w:t>
      </w:r>
      <w:r>
        <w:rPr>
          <w:spacing w:val="-1"/>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in</w:t>
      </w:r>
      <w:r>
        <w:rPr>
          <w:spacing w:val="-1"/>
          <w:vertAlign w:val="baseline"/>
        </w:rPr>
        <w:t> </w:t>
      </w:r>
      <w:r>
        <w:rPr>
          <w:vertAlign w:val="baseline"/>
        </w:rPr>
        <w:t>possession</w:t>
      </w:r>
      <w:r>
        <w:rPr>
          <w:spacing w:val="-1"/>
          <w:vertAlign w:val="baseline"/>
        </w:rPr>
        <w:t> </w:t>
      </w:r>
      <w:r>
        <w:rPr>
          <w:vertAlign w:val="baseline"/>
        </w:rPr>
        <w:t>of</w:t>
      </w:r>
      <w:r>
        <w:rPr>
          <w:spacing w:val="-1"/>
          <w:vertAlign w:val="baseline"/>
        </w:rPr>
        <w:t> </w:t>
      </w:r>
      <w:r>
        <w:rPr>
          <w:vertAlign w:val="baseline"/>
        </w:rPr>
        <w:t>the </w:t>
      </w:r>
      <w:bookmarkStart w:name="_bookmark37" w:id="39"/>
      <w:bookmarkEnd w:id="39"/>
      <w:r>
        <w:rPr>
          <w:vertAlign w:val="baseline"/>
        </w:rPr>
        <w:t>facts</w:t>
      </w:r>
      <w:r>
        <w:rPr>
          <w:spacing w:val="13"/>
          <w:vertAlign w:val="baseline"/>
        </w:rPr>
        <w:t> </w:t>
      </w:r>
      <w:r>
        <w:rPr>
          <w:vertAlign w:val="baseline"/>
        </w:rPr>
        <w:t>and</w:t>
      </w:r>
      <w:r>
        <w:rPr>
          <w:spacing w:val="13"/>
          <w:vertAlign w:val="baseline"/>
        </w:rPr>
        <w:t> </w:t>
      </w:r>
      <w:r>
        <w:rPr>
          <w:vertAlign w:val="baseline"/>
        </w:rPr>
        <w:t>thus</w:t>
      </w:r>
      <w:r>
        <w:rPr>
          <w:spacing w:val="14"/>
          <w:vertAlign w:val="baseline"/>
        </w:rPr>
        <w:t> </w:t>
      </w:r>
      <w:r>
        <w:rPr>
          <w:vertAlign w:val="baseline"/>
        </w:rPr>
        <w:t>can</w:t>
      </w:r>
      <w:r>
        <w:rPr>
          <w:spacing w:val="13"/>
          <w:vertAlign w:val="baseline"/>
        </w:rPr>
        <w:t> </w:t>
      </w:r>
      <w:r>
        <w:rPr>
          <w:vertAlign w:val="baseline"/>
        </w:rPr>
        <w:t>only</w:t>
      </w:r>
      <w:r>
        <w:rPr>
          <w:spacing w:val="13"/>
          <w:vertAlign w:val="baseline"/>
        </w:rPr>
        <w:t> </w:t>
      </w:r>
      <w:r>
        <w:rPr>
          <w:vertAlign w:val="baseline"/>
        </w:rPr>
        <w:t>be</w:t>
      </w:r>
      <w:r>
        <w:rPr>
          <w:spacing w:val="14"/>
          <w:vertAlign w:val="baseline"/>
        </w:rPr>
        <w:t> </w:t>
      </w:r>
      <w:r>
        <w:rPr>
          <w:vertAlign w:val="baseline"/>
        </w:rPr>
        <w:t>giving</w:t>
      </w:r>
      <w:r>
        <w:rPr>
          <w:spacing w:val="13"/>
          <w:vertAlign w:val="baseline"/>
        </w:rPr>
        <w:t> </w:t>
      </w:r>
      <w:r>
        <w:rPr>
          <w:vertAlign w:val="baseline"/>
        </w:rPr>
        <w:t>his</w:t>
      </w:r>
      <w:r>
        <w:rPr>
          <w:spacing w:val="13"/>
          <w:vertAlign w:val="baseline"/>
        </w:rPr>
        <w:t> </w:t>
      </w:r>
      <w:r>
        <w:rPr>
          <w:vertAlign w:val="baseline"/>
        </w:rPr>
        <w:t>opinion.</w:t>
      </w:r>
      <w:r>
        <w:rPr>
          <w:spacing w:val="13"/>
          <w:vertAlign w:val="baseline"/>
        </w:rPr>
        <w:t> </w:t>
      </w:r>
      <w:r>
        <w:rPr>
          <w:color w:val="005DA1"/>
          <w:u w:val="single" w:color="005DA1"/>
          <w:vertAlign w:val="superscript"/>
        </w:rPr>
        <w:t>23</w:t>
      </w:r>
      <w:r>
        <w:rPr>
          <w:color w:val="005DA1"/>
          <w:spacing w:val="13"/>
          <w:vertAlign w:val="baseline"/>
        </w:rPr>
        <w:t> </w:t>
      </w:r>
      <w:r>
        <w:rPr>
          <w:vertAlign w:val="baseline"/>
        </w:rPr>
        <w:t>The</w:t>
      </w:r>
      <w:r>
        <w:rPr>
          <w:spacing w:val="13"/>
          <w:vertAlign w:val="baseline"/>
        </w:rPr>
        <w:t> </w:t>
      </w:r>
      <w:r>
        <w:rPr>
          <w:vertAlign w:val="baseline"/>
        </w:rPr>
        <w:t>question</w:t>
      </w:r>
      <w:r>
        <w:rPr>
          <w:spacing w:val="14"/>
          <w:vertAlign w:val="baseline"/>
        </w:rPr>
        <w:t> </w:t>
      </w:r>
      <w:r>
        <w:rPr>
          <w:vertAlign w:val="baseline"/>
        </w:rPr>
        <w:t>is</w:t>
      </w:r>
      <w:r>
        <w:rPr>
          <w:spacing w:val="13"/>
          <w:vertAlign w:val="baseline"/>
        </w:rPr>
        <w:t> </w:t>
      </w:r>
      <w:r>
        <w:rPr>
          <w:vertAlign w:val="baseline"/>
        </w:rPr>
        <w:t>whether</w:t>
      </w:r>
      <w:r>
        <w:rPr>
          <w:spacing w:val="14"/>
          <w:vertAlign w:val="baseline"/>
        </w:rPr>
        <w:t> </w:t>
      </w:r>
      <w:r>
        <w:rPr>
          <w:vertAlign w:val="baseline"/>
        </w:rPr>
        <w:t>the</w:t>
      </w:r>
      <w:r>
        <w:rPr>
          <w:spacing w:val="13"/>
          <w:vertAlign w:val="baseline"/>
        </w:rPr>
        <w:t> </w:t>
      </w:r>
      <w:r>
        <w:rPr>
          <w:vertAlign w:val="baseline"/>
        </w:rPr>
        <w:t>statement</w:t>
      </w:r>
      <w:r>
        <w:rPr>
          <w:spacing w:val="13"/>
          <w:vertAlign w:val="baseline"/>
        </w:rPr>
        <w:t> </w:t>
      </w:r>
      <w:r>
        <w:rPr>
          <w:vertAlign w:val="baseline"/>
        </w:rPr>
        <w:t>is</w:t>
      </w:r>
      <w:r>
        <w:rPr>
          <w:spacing w:val="14"/>
          <w:vertAlign w:val="baseline"/>
        </w:rPr>
        <w:t> </w:t>
      </w:r>
      <w:r>
        <w:rPr>
          <w:vertAlign w:val="baseline"/>
        </w:rPr>
        <w:t>one</w:t>
      </w:r>
      <w:r>
        <w:rPr>
          <w:spacing w:val="13"/>
          <w:vertAlign w:val="baseline"/>
        </w:rPr>
        <w:t> </w:t>
      </w:r>
      <w:r>
        <w:rPr>
          <w:spacing w:val="-2"/>
          <w:vertAlign w:val="baseline"/>
        </w:rPr>
        <w:t>“upon</w:t>
      </w:r>
    </w:p>
    <w:p>
      <w:pPr>
        <w:pStyle w:val="BodyText"/>
        <w:spacing w:line="235" w:lineRule="auto" w:before="116"/>
        <w:ind w:left="165" w:right="167"/>
        <w:jc w:val="both"/>
      </w:pPr>
      <w:r>
        <w:rPr/>
        <w:t>which the representee was intended, </w:t>
      </w:r>
      <w:r>
        <w:rPr>
          <w:color w:val="005DA1"/>
          <w:u w:val="single" w:color="005DA1"/>
          <w:vertAlign w:val="superscript"/>
        </w:rPr>
        <w:t>24</w:t>
      </w:r>
      <w:r>
        <w:rPr>
          <w:color w:val="005DA1"/>
          <w:vertAlign w:val="baseline"/>
        </w:rPr>
        <w:t> </w:t>
      </w:r>
      <w:r>
        <w:rPr>
          <w:vertAlign w:val="baseline"/>
        </w:rPr>
        <w:t>and was entitled, to rely”. </w:t>
      </w:r>
      <w:r>
        <w:rPr>
          <w:color w:val="005DA1"/>
          <w:u w:val="single" w:color="005DA1"/>
          <w:vertAlign w:val="superscript"/>
        </w:rPr>
        <w:t>25</w:t>
      </w:r>
      <w:r>
        <w:rPr>
          <w:color w:val="005DA1"/>
          <w:spacing w:val="80"/>
          <w:vertAlign w:val="baseline"/>
        </w:rPr>
        <w:t> </w:t>
      </w:r>
      <w:r>
        <w:rPr>
          <w:color w:val="005DA1"/>
          <w:spacing w:val="15"/>
          <w:position w:val="-2"/>
          <w:vertAlign w:val="baseline"/>
        </w:rPr>
        <w:drawing>
          <wp:inline distT="0" distB="0" distL="0" distR="0">
            <wp:extent cx="107988" cy="107988"/>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hAnsi="Times New Roman"/>
          <w:color w:val="005DA1"/>
          <w:spacing w:val="-7"/>
          <w:vertAlign w:val="baseline"/>
        </w:rPr>
        <w:t> </w:t>
      </w:r>
      <w:r>
        <w:rPr>
          <w:vertAlign w:val="baseline"/>
        </w:rPr>
        <w:t>“In determining whether there </w:t>
      </w:r>
      <w:bookmarkStart w:name="_bookmark38" w:id="40"/>
      <w:bookmarkEnd w:id="40"/>
      <w:r>
        <w:rPr>
          <w:vertAlign w:val="baseline"/>
        </w:rPr>
        <w:t>has</w:t>
      </w:r>
      <w:r>
        <w:rPr>
          <w:spacing w:val="8"/>
          <w:vertAlign w:val="baseline"/>
        </w:rPr>
        <w:t> </w:t>
      </w:r>
      <w:r>
        <w:rPr>
          <w:vertAlign w:val="baseline"/>
        </w:rPr>
        <w:t>been</w:t>
      </w:r>
      <w:r>
        <w:rPr>
          <w:spacing w:val="8"/>
          <w:vertAlign w:val="baseline"/>
        </w:rPr>
        <w:t> </w:t>
      </w:r>
      <w:r>
        <w:rPr>
          <w:vertAlign w:val="baseline"/>
        </w:rPr>
        <w:t>an</w:t>
      </w:r>
      <w:r>
        <w:rPr>
          <w:spacing w:val="8"/>
          <w:vertAlign w:val="baseline"/>
        </w:rPr>
        <w:t> </w:t>
      </w:r>
      <w:r>
        <w:rPr>
          <w:vertAlign w:val="baseline"/>
        </w:rPr>
        <w:t>express</w:t>
      </w:r>
      <w:r>
        <w:rPr>
          <w:spacing w:val="8"/>
          <w:vertAlign w:val="baseline"/>
        </w:rPr>
        <w:t> </w:t>
      </w:r>
      <w:r>
        <w:rPr>
          <w:vertAlign w:val="baseline"/>
        </w:rPr>
        <w:t>representation,</w:t>
      </w:r>
      <w:r>
        <w:rPr>
          <w:spacing w:val="8"/>
          <w:vertAlign w:val="baseline"/>
        </w:rPr>
        <w:t> </w:t>
      </w:r>
      <w:r>
        <w:rPr>
          <w:vertAlign w:val="baseline"/>
        </w:rPr>
        <w:t>and</w:t>
      </w:r>
      <w:r>
        <w:rPr>
          <w:spacing w:val="8"/>
          <w:vertAlign w:val="baseline"/>
        </w:rPr>
        <w:t> </w:t>
      </w:r>
      <w:r>
        <w:rPr>
          <w:vertAlign w:val="baseline"/>
        </w:rPr>
        <w:t>to</w:t>
      </w:r>
      <w:r>
        <w:rPr>
          <w:spacing w:val="8"/>
          <w:vertAlign w:val="baseline"/>
        </w:rPr>
        <w:t> </w:t>
      </w:r>
      <w:r>
        <w:rPr>
          <w:vertAlign w:val="baseline"/>
        </w:rPr>
        <w:t>what</w:t>
      </w:r>
      <w:r>
        <w:rPr>
          <w:spacing w:val="8"/>
          <w:vertAlign w:val="baseline"/>
        </w:rPr>
        <w:t> </w:t>
      </w:r>
      <w:r>
        <w:rPr>
          <w:vertAlign w:val="baseline"/>
        </w:rPr>
        <w:t>effect,</w:t>
      </w:r>
      <w:r>
        <w:rPr>
          <w:spacing w:val="8"/>
          <w:vertAlign w:val="baseline"/>
        </w:rPr>
        <w:t> </w:t>
      </w:r>
      <w:r>
        <w:rPr>
          <w:vertAlign w:val="baseline"/>
        </w:rPr>
        <w:t>the</w:t>
      </w:r>
      <w:r>
        <w:rPr>
          <w:spacing w:val="8"/>
          <w:vertAlign w:val="baseline"/>
        </w:rPr>
        <w:t> </w:t>
      </w:r>
      <w:r>
        <w:rPr>
          <w:vertAlign w:val="baseline"/>
        </w:rPr>
        <w:t>court</w:t>
      </w:r>
      <w:r>
        <w:rPr>
          <w:spacing w:val="8"/>
          <w:vertAlign w:val="baseline"/>
        </w:rPr>
        <w:t> </w:t>
      </w:r>
      <w:r>
        <w:rPr>
          <w:vertAlign w:val="baseline"/>
        </w:rPr>
        <w:t>has</w:t>
      </w:r>
      <w:r>
        <w:rPr>
          <w:spacing w:val="8"/>
          <w:vertAlign w:val="baseline"/>
        </w:rPr>
        <w:t> </w:t>
      </w:r>
      <w:r>
        <w:rPr>
          <w:vertAlign w:val="baseline"/>
        </w:rPr>
        <w:t>to</w:t>
      </w:r>
      <w:r>
        <w:rPr>
          <w:spacing w:val="8"/>
          <w:vertAlign w:val="baseline"/>
        </w:rPr>
        <w:t> </w:t>
      </w:r>
      <w:r>
        <w:rPr>
          <w:vertAlign w:val="baseline"/>
        </w:rPr>
        <w:t>consider</w:t>
      </w:r>
      <w:r>
        <w:rPr>
          <w:spacing w:val="8"/>
          <w:vertAlign w:val="baseline"/>
        </w:rPr>
        <w:t> </w:t>
      </w:r>
      <w:r>
        <w:rPr>
          <w:vertAlign w:val="baseline"/>
        </w:rPr>
        <w:t>what</w:t>
      </w:r>
      <w:r>
        <w:rPr>
          <w:spacing w:val="8"/>
          <w:vertAlign w:val="baseline"/>
        </w:rPr>
        <w:t> </w:t>
      </w:r>
      <w:r>
        <w:rPr>
          <w:vertAlign w:val="baseline"/>
        </w:rPr>
        <w:t>a</w:t>
      </w:r>
      <w:r>
        <w:rPr>
          <w:spacing w:val="8"/>
          <w:vertAlign w:val="baseline"/>
        </w:rPr>
        <w:t> </w:t>
      </w:r>
      <w:r>
        <w:rPr>
          <w:spacing w:val="-2"/>
          <w:vertAlign w:val="baseline"/>
        </w:rPr>
        <w:t>reasonable</w:t>
      </w:r>
    </w:p>
    <w:p>
      <w:pPr>
        <w:pStyle w:val="BodyText"/>
        <w:spacing w:before="115"/>
        <w:ind w:left="165"/>
        <w:jc w:val="both"/>
        <w:rPr>
          <w:position w:val="-2"/>
        </w:rPr>
      </w:pPr>
      <w:r>
        <w:rPr/>
        <w:t>person would have understood from the words used in the context in which they were used”. </w:t>
      </w:r>
      <w:r>
        <w:rPr>
          <w:color w:val="005DA1"/>
          <w:u w:val="single" w:color="005DA1"/>
          <w:vertAlign w:val="superscript"/>
        </w:rPr>
        <w:t>26</w:t>
      </w:r>
      <w:r>
        <w:rPr>
          <w:color w:val="005DA1"/>
          <w:spacing w:val="80"/>
          <w:w w:val="150"/>
          <w:vertAlign w:val="baseline"/>
        </w:rPr>
        <w:t> </w:t>
      </w:r>
      <w:r>
        <w:rPr>
          <w:color w:val="005DA1"/>
          <w:position w:val="-2"/>
          <w:vertAlign w:val="baseline"/>
        </w:rPr>
        <w:drawing>
          <wp:inline distT="0" distB="0" distL="0" distR="0">
            <wp:extent cx="107988" cy="107988"/>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4"/>
        <w:rPr>
          <w:sz w:val="18"/>
        </w:rPr>
      </w:pPr>
    </w:p>
    <w:p>
      <w:pPr>
        <w:spacing w:before="0"/>
        <w:ind w:left="165" w:right="0" w:firstLine="0"/>
        <w:jc w:val="left"/>
        <w:rPr>
          <w:rFonts w:ascii="Arial"/>
          <w:b/>
          <w:sz w:val="18"/>
        </w:rPr>
      </w:pPr>
      <w:r>
        <w:rPr>
          <w:rFonts w:ascii="Arial"/>
          <w:b/>
          <w:sz w:val="18"/>
        </w:rPr>
        <w:t>Puffs and statements of </w:t>
      </w:r>
      <w:r>
        <w:rPr>
          <w:rFonts w:ascii="Arial"/>
          <w:b/>
          <w:spacing w:val="-2"/>
          <w:sz w:val="18"/>
        </w:rPr>
        <w:t>opinion</w:t>
      </w:r>
    </w:p>
    <w:p>
      <w:pPr>
        <w:pStyle w:val="BodyText"/>
        <w:spacing w:before="41"/>
        <w:rPr>
          <w:rFonts w:ascii="Arial"/>
          <w:b/>
          <w:sz w:val="18"/>
        </w:rPr>
      </w:pPr>
    </w:p>
    <w:p>
      <w:pPr>
        <w:pStyle w:val="Heading2"/>
      </w:pPr>
      <w:r>
        <w:rPr/>
        <w:t>7-</w:t>
      </w:r>
      <w:r>
        <w:rPr>
          <w:spacing w:val="-5"/>
        </w:rPr>
        <w:t>007</w:t>
      </w:r>
    </w:p>
    <w:p>
      <w:pPr>
        <w:pStyle w:val="BodyText"/>
        <w:spacing w:line="235" w:lineRule="auto" w:before="203"/>
        <w:ind w:left="165" w:right="167"/>
        <w:jc w:val="both"/>
      </w:pPr>
      <w:bookmarkStart w:name="_bookmark39" w:id="41"/>
      <w:bookmarkEnd w:id="41"/>
      <w:r>
        <w:rPr/>
      </w:r>
      <w:bookmarkStart w:name="_bookmark40" w:id="42"/>
      <w:bookmarkEnd w:id="42"/>
      <w:r>
        <w:rPr/>
      </w:r>
      <w:r>
        <w:rPr/>
        <w:t>Mere “puffs” do not amount to representations. </w:t>
      </w:r>
      <w:r>
        <w:rPr>
          <w:color w:val="005DA1"/>
          <w:u w:val="single" w:color="005DA1"/>
          <w:vertAlign w:val="superscript"/>
        </w:rPr>
        <w:t>27</w:t>
      </w:r>
      <w:r>
        <w:rPr>
          <w:color w:val="005DA1"/>
          <w:vertAlign w:val="baseline"/>
        </w:rPr>
        <w:t> </w:t>
      </w:r>
      <w:r>
        <w:rPr>
          <w:vertAlign w:val="baseline"/>
        </w:rPr>
        <w:t>A mere statement of opinion which proves to </w:t>
      </w:r>
      <w:r>
        <w:rPr>
          <w:vertAlign w:val="baseline"/>
        </w:rPr>
        <w:t>have been unfounded, will not be treated as a misrepresentation </w:t>
      </w:r>
      <w:r>
        <w:rPr>
          <w:color w:val="005DA1"/>
          <w:u w:val="single" w:color="005DA1"/>
          <w:vertAlign w:val="superscript"/>
        </w:rPr>
        <w:t>28</w:t>
      </w:r>
      <w:r>
        <w:rPr>
          <w:vertAlign w:val="baseline"/>
        </w:rPr>
        <w:t>; for as a general rule these cannot be </w:t>
      </w:r>
      <w:bookmarkStart w:name="_bookmark41" w:id="43"/>
      <w:bookmarkEnd w:id="43"/>
      <w:r>
        <w:rPr>
          <w:vertAlign w:val="baseline"/>
        </w:rPr>
        <w:t>regarded</w:t>
      </w:r>
      <w:r>
        <w:rPr>
          <w:vertAlign w:val="baseline"/>
        </w:rPr>
        <w:t> as representations of fact, except in so far as they show that the opinion or intention is held </w:t>
      </w:r>
      <w:bookmarkStart w:name="_bookmark42" w:id="44"/>
      <w:bookmarkEnd w:id="44"/>
      <w:r>
        <w:rPr>
          <w:vertAlign w:val="baseline"/>
        </w:rPr>
        <w:t>by</w:t>
      </w:r>
      <w:r>
        <w:rPr>
          <w:vertAlign w:val="baseline"/>
        </w:rPr>
        <w:t> the person expressing it. </w:t>
      </w:r>
      <w:r>
        <w:rPr>
          <w:color w:val="005DA1"/>
          <w:u w:val="single" w:color="005DA1"/>
          <w:vertAlign w:val="superscript"/>
        </w:rPr>
        <w:t>29</w:t>
      </w:r>
      <w:r>
        <w:rPr>
          <w:color w:val="005DA1"/>
          <w:vertAlign w:val="baseline"/>
        </w:rPr>
        <w:t> </w:t>
      </w:r>
      <w:r>
        <w:rPr>
          <w:vertAlign w:val="baseline"/>
        </w:rPr>
        <w:t>The statement must be construed as it would reasonably be</w:t>
      </w:r>
      <w:r>
        <w:rPr>
          <w:spacing w:val="40"/>
          <w:vertAlign w:val="baseline"/>
        </w:rPr>
        <w:t> </w:t>
      </w:r>
      <w:r>
        <w:rPr>
          <w:vertAlign w:val="baseline"/>
        </w:rPr>
        <w:t>understood by the recipient in the context in which the statement was made. </w:t>
      </w:r>
      <w:r>
        <w:rPr>
          <w:color w:val="005DA1"/>
          <w:u w:val="single" w:color="005DA1"/>
          <w:vertAlign w:val="superscript"/>
        </w:rPr>
        <w:t>30</w:t>
      </w:r>
    </w:p>
    <w:p>
      <w:pPr>
        <w:pStyle w:val="BodyText"/>
      </w:pPr>
    </w:p>
    <w:p>
      <w:pPr>
        <w:pStyle w:val="BodyText"/>
        <w:spacing w:before="36"/>
      </w:pPr>
    </w:p>
    <w:p>
      <w:pPr>
        <w:spacing w:before="1"/>
        <w:ind w:left="165" w:right="0" w:firstLine="0"/>
        <w:jc w:val="both"/>
        <w:rPr>
          <w:rFonts w:ascii="Arial"/>
          <w:b/>
          <w:sz w:val="18"/>
        </w:rPr>
      </w:pPr>
      <w:r>
        <w:rPr>
          <w:rFonts w:ascii="Arial"/>
          <w:b/>
          <w:sz w:val="18"/>
        </w:rPr>
        <w:t>Statement of opinion amounts to statement of fact if not honestly </w:t>
      </w:r>
      <w:r>
        <w:rPr>
          <w:rFonts w:ascii="Arial"/>
          <w:b/>
          <w:spacing w:val="-4"/>
          <w:sz w:val="18"/>
        </w:rPr>
        <w:t>held</w:t>
      </w:r>
    </w:p>
    <w:p>
      <w:pPr>
        <w:pStyle w:val="BodyText"/>
        <w:spacing w:before="41"/>
        <w:rPr>
          <w:rFonts w:ascii="Arial"/>
          <w:b/>
          <w:sz w:val="18"/>
        </w:rPr>
      </w:pPr>
    </w:p>
    <w:p>
      <w:pPr>
        <w:pStyle w:val="Heading2"/>
      </w:pPr>
      <w:r>
        <w:rPr/>
        <w:t>7-</w:t>
      </w:r>
      <w:r>
        <w:rPr>
          <w:spacing w:val="-5"/>
        </w:rPr>
        <w:t>008</w:t>
      </w:r>
    </w:p>
    <w:p>
      <w:pPr>
        <w:pStyle w:val="BodyText"/>
        <w:spacing w:before="9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However, in certain circumstances a statement of opinion (or of intention) may be regarded as a statement of fact, and therefore as a ground for avoiding a contract if the statement is false. Thus, if </w:t>
      </w:r>
      <w:r>
        <w:rPr/>
        <w:t>it can be proved that the person who expressed the opinion did not hold it, or could not, as a</w:t>
      </w:r>
      <w:r>
        <w:rPr>
          <w:spacing w:val="40"/>
        </w:rPr>
        <w:t> </w:t>
      </w:r>
      <w:bookmarkStart w:name="_bookmark43" w:id="45"/>
      <w:bookmarkEnd w:id="45"/>
      <w:r>
        <w:rPr/>
        <w:t>reasonable</w:t>
      </w:r>
      <w:r>
        <w:rPr>
          <w:spacing w:val="40"/>
        </w:rPr>
        <w:t> </w:t>
      </w:r>
      <w:r>
        <w:rPr/>
        <w:t>man</w:t>
      </w:r>
      <w:r>
        <w:rPr>
          <w:spacing w:val="40"/>
        </w:rPr>
        <w:t> </w:t>
      </w:r>
      <w:r>
        <w:rPr/>
        <w:t>having</w:t>
      </w:r>
      <w:r>
        <w:rPr>
          <w:spacing w:val="40"/>
        </w:rPr>
        <w:t> </w:t>
      </w:r>
      <w:r>
        <w:rPr/>
        <w:t>his</w:t>
      </w:r>
      <w:r>
        <w:rPr>
          <w:spacing w:val="40"/>
        </w:rPr>
        <w:t> </w:t>
      </w:r>
      <w:r>
        <w:rPr/>
        <w:t>knowledge</w:t>
      </w:r>
      <w:r>
        <w:rPr>
          <w:spacing w:val="40"/>
        </w:rPr>
        <w:t> </w:t>
      </w:r>
      <w:r>
        <w:rPr/>
        <w:t>of</w:t>
      </w:r>
      <w:r>
        <w:rPr>
          <w:spacing w:val="40"/>
        </w:rPr>
        <w:t> </w:t>
      </w:r>
      <w:r>
        <w:rPr/>
        <w:t>the</w:t>
      </w:r>
      <w:r>
        <w:rPr>
          <w:spacing w:val="40"/>
        </w:rPr>
        <w:t> </w:t>
      </w:r>
      <w:r>
        <w:rPr/>
        <w:t>facts,</w:t>
      </w:r>
      <w:r>
        <w:rPr>
          <w:spacing w:val="40"/>
        </w:rPr>
        <w:t> </w:t>
      </w:r>
      <w:r>
        <w:rPr/>
        <w:t>honestly</w:t>
      </w:r>
      <w:r>
        <w:rPr>
          <w:spacing w:val="40"/>
        </w:rPr>
        <w:t> </w:t>
      </w:r>
      <w:r>
        <w:rPr/>
        <w:t>have</w:t>
      </w:r>
      <w:r>
        <w:rPr>
          <w:spacing w:val="40"/>
        </w:rPr>
        <w:t> </w:t>
      </w:r>
      <w:r>
        <w:rPr/>
        <w:t>held</w:t>
      </w:r>
      <w:r>
        <w:rPr>
          <w:spacing w:val="40"/>
        </w:rPr>
        <w:t> </w:t>
      </w:r>
      <w:r>
        <w:rPr/>
        <w:t>it,</w:t>
      </w:r>
      <w:r>
        <w:rPr>
          <w:spacing w:val="40"/>
        </w:rPr>
        <w:t> </w:t>
      </w:r>
      <w:r>
        <w:rPr/>
        <w:t>the</w:t>
      </w:r>
      <w:r>
        <w:rPr>
          <w:spacing w:val="40"/>
        </w:rPr>
        <w:t> </w:t>
      </w:r>
      <w:r>
        <w:rPr/>
        <w:t>statement</w:t>
      </w:r>
      <w:r>
        <w:rPr>
          <w:spacing w:val="40"/>
        </w:rPr>
        <w:t> </w:t>
      </w:r>
      <w:r>
        <w:rPr/>
        <w:t>may</w:t>
      </w:r>
      <w:r>
        <w:rPr>
          <w:spacing w:val="40"/>
        </w:rPr>
        <w:t> </w:t>
      </w:r>
      <w:r>
        <w:rPr>
          <w:spacing w:val="-5"/>
        </w:rPr>
        <w:t>be</w:t>
      </w:r>
    </w:p>
    <w:p>
      <w:pPr>
        <w:pStyle w:val="BodyText"/>
        <w:spacing w:line="235" w:lineRule="auto" w:before="118"/>
        <w:ind w:left="165" w:right="167"/>
        <w:jc w:val="both"/>
      </w:pPr>
      <w:r>
        <w:rPr/>
        <w:t>regarded as a statement of fact. </w:t>
      </w:r>
      <w:r>
        <w:rPr>
          <w:color w:val="005DA1"/>
          <w:u w:val="single" w:color="005DA1"/>
          <w:vertAlign w:val="superscript"/>
        </w:rPr>
        <w:t>31</w:t>
      </w:r>
      <w:r>
        <w:rPr>
          <w:color w:val="005DA1"/>
          <w:spacing w:val="80"/>
          <w:w w:val="150"/>
          <w:vertAlign w:val="baseline"/>
        </w:rPr>
        <w:t> </w:t>
      </w:r>
      <w:r>
        <w:rPr>
          <w:color w:val="005DA1"/>
          <w:spacing w:val="21"/>
          <w:position w:val="-2"/>
          <w:vertAlign w:val="baseline"/>
        </w:rPr>
        <w:drawing>
          <wp:inline distT="0" distB="0" distL="0" distR="0">
            <wp:extent cx="107988" cy="107988"/>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color w:val="005DA1"/>
          <w:spacing w:val="-10"/>
          <w:vertAlign w:val="baseline"/>
        </w:rPr>
        <w:t> </w:t>
      </w:r>
      <w:r>
        <w:rPr>
          <w:vertAlign w:val="baseline"/>
        </w:rPr>
        <w:t>If a person states as his opinion something which he does not in</w:t>
      </w:r>
      <w:r>
        <w:rPr>
          <w:spacing w:val="15"/>
          <w:vertAlign w:val="baseline"/>
        </w:rPr>
        <w:t> </w:t>
      </w:r>
      <w:r>
        <w:rPr>
          <w:vertAlign w:val="baseline"/>
        </w:rPr>
        <w:t>fact</w:t>
      </w:r>
      <w:r>
        <w:rPr>
          <w:spacing w:val="15"/>
          <w:vertAlign w:val="baseline"/>
        </w:rPr>
        <w:t> </w:t>
      </w:r>
      <w:r>
        <w:rPr>
          <w:vertAlign w:val="baseline"/>
        </w:rPr>
        <w:t>believe,</w:t>
      </w:r>
      <w:r>
        <w:rPr>
          <w:spacing w:val="15"/>
          <w:vertAlign w:val="baseline"/>
        </w:rPr>
        <w:t> </w:t>
      </w:r>
      <w:r>
        <w:rPr>
          <w:vertAlign w:val="baseline"/>
        </w:rPr>
        <w:t>or</w:t>
      </w:r>
      <w:r>
        <w:rPr>
          <w:spacing w:val="15"/>
          <w:vertAlign w:val="baseline"/>
        </w:rPr>
        <w:t> </w:t>
      </w:r>
      <w:r>
        <w:rPr>
          <w:vertAlign w:val="baseline"/>
        </w:rPr>
        <w:t>which</w:t>
      </w:r>
      <w:r>
        <w:rPr>
          <w:spacing w:val="15"/>
          <w:vertAlign w:val="baseline"/>
        </w:rPr>
        <w:t> </w:t>
      </w:r>
      <w:r>
        <w:rPr>
          <w:vertAlign w:val="baseline"/>
        </w:rPr>
        <w:t>given</w:t>
      </w:r>
      <w:r>
        <w:rPr>
          <w:spacing w:val="15"/>
          <w:vertAlign w:val="baseline"/>
        </w:rPr>
        <w:t> </w:t>
      </w:r>
      <w:r>
        <w:rPr>
          <w:vertAlign w:val="baseline"/>
        </w:rPr>
        <w:t>the</w:t>
      </w:r>
      <w:r>
        <w:rPr>
          <w:spacing w:val="15"/>
          <w:vertAlign w:val="baseline"/>
        </w:rPr>
        <w:t> </w:t>
      </w:r>
      <w:r>
        <w:rPr>
          <w:vertAlign w:val="baseline"/>
        </w:rPr>
        <w:t>facts</w:t>
      </w:r>
      <w:r>
        <w:rPr>
          <w:spacing w:val="15"/>
          <w:vertAlign w:val="baseline"/>
        </w:rPr>
        <w:t> </w:t>
      </w:r>
      <w:r>
        <w:rPr>
          <w:vertAlign w:val="baseline"/>
        </w:rPr>
        <w:t>known</w:t>
      </w:r>
      <w:r>
        <w:rPr>
          <w:spacing w:val="15"/>
          <w:vertAlign w:val="baseline"/>
        </w:rPr>
        <w:t> </w:t>
      </w:r>
      <w:r>
        <w:rPr>
          <w:vertAlign w:val="baseline"/>
        </w:rPr>
        <w:t>to</w:t>
      </w:r>
      <w:r>
        <w:rPr>
          <w:spacing w:val="15"/>
          <w:vertAlign w:val="baseline"/>
        </w:rPr>
        <w:t> </w:t>
      </w:r>
      <w:r>
        <w:rPr>
          <w:vertAlign w:val="baseline"/>
        </w:rPr>
        <w:t>him,</w:t>
      </w:r>
      <w:r>
        <w:rPr>
          <w:spacing w:val="15"/>
          <w:vertAlign w:val="baseline"/>
        </w:rPr>
        <w:t> </w:t>
      </w:r>
      <w:r>
        <w:rPr>
          <w:vertAlign w:val="baseline"/>
        </w:rPr>
        <w:t>he</w:t>
      </w:r>
      <w:r>
        <w:rPr>
          <w:spacing w:val="15"/>
          <w:vertAlign w:val="baseline"/>
        </w:rPr>
        <w:t> </w:t>
      </w:r>
      <w:r>
        <w:rPr>
          <w:vertAlign w:val="baseline"/>
        </w:rPr>
        <w:t>could</w:t>
      </w:r>
      <w:r>
        <w:rPr>
          <w:spacing w:val="15"/>
          <w:vertAlign w:val="baseline"/>
        </w:rPr>
        <w:t> </w:t>
      </w:r>
      <w:r>
        <w:rPr>
          <w:vertAlign w:val="baseline"/>
        </w:rPr>
        <w:t>not</w:t>
      </w:r>
      <w:r>
        <w:rPr>
          <w:spacing w:val="15"/>
          <w:vertAlign w:val="baseline"/>
        </w:rPr>
        <w:t> </w:t>
      </w:r>
      <w:r>
        <w:rPr>
          <w:vertAlign w:val="baseline"/>
        </w:rPr>
        <w:t>honestly</w:t>
      </w:r>
      <w:r>
        <w:rPr>
          <w:spacing w:val="15"/>
          <w:vertAlign w:val="baseline"/>
        </w:rPr>
        <w:t> </w:t>
      </w:r>
      <w:r>
        <w:rPr>
          <w:vertAlign w:val="baseline"/>
        </w:rPr>
        <w:t>hold,</w:t>
      </w:r>
      <w:r>
        <w:rPr>
          <w:spacing w:val="15"/>
          <w:vertAlign w:val="baseline"/>
        </w:rPr>
        <w:t> </w:t>
      </w:r>
      <w:r>
        <w:rPr>
          <w:vertAlign w:val="baseline"/>
        </w:rPr>
        <w:t>he</w:t>
      </w:r>
      <w:r>
        <w:rPr>
          <w:spacing w:val="15"/>
          <w:vertAlign w:val="baseline"/>
        </w:rPr>
        <w:t> </w:t>
      </w:r>
      <w:r>
        <w:rPr>
          <w:vertAlign w:val="baseline"/>
        </w:rPr>
        <w:t>makes</w:t>
      </w:r>
      <w:r>
        <w:rPr>
          <w:spacing w:val="15"/>
          <w:vertAlign w:val="baseline"/>
        </w:rPr>
        <w:t> </w:t>
      </w:r>
      <w:r>
        <w:rPr>
          <w:vertAlign w:val="baseline"/>
        </w:rPr>
        <w:t>a</w:t>
      </w:r>
      <w:r>
        <w:rPr>
          <w:spacing w:val="15"/>
          <w:vertAlign w:val="baseline"/>
        </w:rPr>
        <w:t> </w:t>
      </w:r>
      <w:r>
        <w:rPr>
          <w:spacing w:val="-2"/>
          <w:vertAlign w:val="baseline"/>
        </w:rPr>
        <w:t>false</w:t>
      </w:r>
    </w:p>
    <w:p>
      <w:pPr>
        <w:pStyle w:val="BodyText"/>
        <w:spacing w:after="0" w:line="235" w:lineRule="auto"/>
        <w:jc w:val="both"/>
        <w:sectPr>
          <w:headerReference w:type="default" r:id="rId7"/>
          <w:pgSz w:w="11900" w:h="16840"/>
          <w:pgMar w:header="971" w:footer="0" w:top="1160" w:bottom="280" w:left="1275" w:right="1275"/>
          <w:pgNumType w:start="1"/>
        </w:sectPr>
      </w:pPr>
    </w:p>
    <w:p>
      <w:pPr>
        <w:pStyle w:val="BodyText"/>
        <w:spacing w:before="24"/>
      </w:pPr>
    </w:p>
    <w:p>
      <w:pPr>
        <w:pStyle w:val="BodyText"/>
        <w:spacing w:line="235" w:lineRule="auto" w:before="1"/>
        <w:ind w:left="165" w:right="167"/>
        <w:jc w:val="both"/>
      </w:pPr>
      <w:r>
        <w:rPr/>
        <w:t>statement of fact. So where, at a sale of property, the vendor described the occupier as “a </w:t>
      </w:r>
      <w:r>
        <w:rPr/>
        <w:t>most </w:t>
      </w:r>
      <w:bookmarkStart w:name="_bookmark44" w:id="46"/>
      <w:bookmarkEnd w:id="46"/>
      <w:r>
        <w:rPr/>
        <w:t>desirable</w:t>
      </w:r>
      <w:r>
        <w:rPr/>
        <w:t> tenant”, while in fact he knew that the rent was considerably in arrear, this was held to</w:t>
      </w:r>
      <w:r>
        <w:rPr>
          <w:spacing w:val="40"/>
        </w:rPr>
        <w:t> </w:t>
      </w:r>
      <w:r>
        <w:rPr/>
        <w:t>entitle the purchaser to rescind the contract. </w:t>
      </w:r>
      <w:r>
        <w:rPr>
          <w:color w:val="005DA1"/>
          <w:u w:val="single" w:color="005DA1"/>
          <w:vertAlign w:val="superscript"/>
        </w:rPr>
        <w:t>32</w:t>
      </w:r>
    </w:p>
    <w:p>
      <w:pPr>
        <w:pStyle w:val="BodyText"/>
      </w:pPr>
    </w:p>
    <w:p>
      <w:pPr>
        <w:pStyle w:val="BodyText"/>
        <w:spacing w:before="37"/>
      </w:pPr>
    </w:p>
    <w:p>
      <w:pPr>
        <w:spacing w:before="0"/>
        <w:ind w:left="165" w:right="0" w:firstLine="0"/>
        <w:jc w:val="both"/>
        <w:rPr>
          <w:rFonts w:ascii="Arial"/>
          <w:b/>
          <w:sz w:val="18"/>
        </w:rPr>
      </w:pPr>
      <w:r>
        <w:rPr>
          <w:rFonts w:ascii="Arial"/>
          <w:b/>
          <w:sz w:val="18"/>
        </w:rPr>
        <w:t>Statement of opinion may carry implication that grounds for </w:t>
      </w:r>
      <w:r>
        <w:rPr>
          <w:rFonts w:ascii="Arial"/>
          <w:b/>
          <w:spacing w:val="-2"/>
          <w:sz w:val="18"/>
        </w:rPr>
        <w:t>belief</w:t>
      </w:r>
    </w:p>
    <w:p>
      <w:pPr>
        <w:pStyle w:val="BodyText"/>
        <w:spacing w:before="41"/>
        <w:rPr>
          <w:rFonts w:ascii="Arial"/>
          <w:b/>
          <w:sz w:val="18"/>
        </w:rPr>
      </w:pPr>
    </w:p>
    <w:p>
      <w:pPr>
        <w:pStyle w:val="Heading2"/>
        <w:spacing w:before="1"/>
      </w:pPr>
      <w:r>
        <w:rPr/>
        <w:t>7-</w:t>
      </w:r>
      <w:r>
        <w:rPr>
          <w:spacing w:val="-5"/>
        </w:rPr>
        <w:t>009</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32"/>
        </w:rPr>
        <w:t> </w:t>
      </w:r>
      <w:bookmarkStart w:name="_bookmark45" w:id="47"/>
      <w:bookmarkEnd w:id="47"/>
      <w:r>
        <w:rPr>
          <w:rFonts w:ascii="Times New Roman" w:hAnsi="Times New Roman"/>
          <w:spacing w:val="-16"/>
        </w:rPr>
      </w:r>
      <w:r>
        <w:rPr/>
        <w:t>In </w:t>
      </w:r>
      <w:r>
        <w:rPr>
          <w:rFonts w:ascii="Arial" w:hAnsi="Arial"/>
          <w:i/>
        </w:rPr>
        <w:t>Brown v Raphael</w:t>
      </w:r>
      <w:r>
        <w:rPr/>
        <w:t>, </w:t>
      </w:r>
      <w:r>
        <w:rPr>
          <w:color w:val="005DA1"/>
          <w:u w:val="single" w:color="005DA1"/>
          <w:vertAlign w:val="superscript"/>
        </w:rPr>
        <w:t>33</w:t>
      </w:r>
      <w:r>
        <w:rPr>
          <w:color w:val="005DA1"/>
          <w:vertAlign w:val="baseline"/>
        </w:rPr>
        <w:t> </w:t>
      </w:r>
      <w:r>
        <w:rPr>
          <w:vertAlign w:val="baseline"/>
        </w:rPr>
        <w:t>the purchaser of an absolute reversion in a trust fund expectant on the death of an annuitant was likewise held entitled to rescind: the particulars of sale stated that </w:t>
      </w:r>
      <w:r>
        <w:rPr>
          <w:vertAlign w:val="baseline"/>
        </w:rPr>
        <w:t>estate duty would be payable on the death of the annuitant, “who is believed to have no aggregable estate”; the vendor’s solicitors honestly believed this to be true but had no reasonable grounds for this belief. The Court of Appeal held that as the vendor was in a far stronger position than the purchaser to </w:t>
      </w:r>
      <w:bookmarkStart w:name="_bookmark46" w:id="48"/>
      <w:bookmarkEnd w:id="48"/>
      <w:r>
        <w:rPr>
          <w:vertAlign w:val="baseline"/>
        </w:rPr>
        <w:t>ascertain</w:t>
      </w:r>
      <w:r>
        <w:rPr>
          <w:spacing w:val="31"/>
          <w:vertAlign w:val="baseline"/>
        </w:rPr>
        <w:t> </w:t>
      </w:r>
      <w:r>
        <w:rPr>
          <w:vertAlign w:val="baseline"/>
        </w:rPr>
        <w:t>the</w:t>
      </w:r>
      <w:r>
        <w:rPr>
          <w:spacing w:val="31"/>
          <w:vertAlign w:val="baseline"/>
        </w:rPr>
        <w:t> </w:t>
      </w:r>
      <w:r>
        <w:rPr>
          <w:vertAlign w:val="baseline"/>
        </w:rPr>
        <w:t>facts,</w:t>
      </w:r>
      <w:r>
        <w:rPr>
          <w:spacing w:val="31"/>
          <w:vertAlign w:val="baseline"/>
        </w:rPr>
        <w:t> </w:t>
      </w:r>
      <w:r>
        <w:rPr>
          <w:vertAlign w:val="baseline"/>
        </w:rPr>
        <w:t>there</w:t>
      </w:r>
      <w:r>
        <w:rPr>
          <w:spacing w:val="31"/>
          <w:vertAlign w:val="baseline"/>
        </w:rPr>
        <w:t> </w:t>
      </w:r>
      <w:r>
        <w:rPr>
          <w:vertAlign w:val="baseline"/>
        </w:rPr>
        <w:t>must</w:t>
      </w:r>
      <w:r>
        <w:rPr>
          <w:spacing w:val="31"/>
          <w:vertAlign w:val="baseline"/>
        </w:rPr>
        <w:t> </w:t>
      </w:r>
      <w:r>
        <w:rPr>
          <w:vertAlign w:val="baseline"/>
        </w:rPr>
        <w:t>be</w:t>
      </w:r>
      <w:r>
        <w:rPr>
          <w:spacing w:val="31"/>
          <w:vertAlign w:val="baseline"/>
        </w:rPr>
        <w:t> </w:t>
      </w:r>
      <w:r>
        <w:rPr>
          <w:vertAlign w:val="baseline"/>
        </w:rPr>
        <w:t>implied</w:t>
      </w:r>
      <w:r>
        <w:rPr>
          <w:spacing w:val="31"/>
          <w:vertAlign w:val="baseline"/>
        </w:rPr>
        <w:t> </w:t>
      </w:r>
      <w:r>
        <w:rPr>
          <w:vertAlign w:val="baseline"/>
        </w:rPr>
        <w:t>a</w:t>
      </w:r>
      <w:r>
        <w:rPr>
          <w:spacing w:val="31"/>
          <w:vertAlign w:val="baseline"/>
        </w:rPr>
        <w:t> </w:t>
      </w:r>
      <w:r>
        <w:rPr>
          <w:vertAlign w:val="baseline"/>
        </w:rPr>
        <w:t>further</w:t>
      </w:r>
      <w:r>
        <w:rPr>
          <w:spacing w:val="31"/>
          <w:vertAlign w:val="baseline"/>
        </w:rPr>
        <w:t> </w:t>
      </w:r>
      <w:r>
        <w:rPr>
          <w:vertAlign w:val="baseline"/>
        </w:rPr>
        <w:t>representation</w:t>
      </w:r>
      <w:r>
        <w:rPr>
          <w:spacing w:val="31"/>
          <w:vertAlign w:val="baseline"/>
        </w:rPr>
        <w:t> </w:t>
      </w:r>
      <w:r>
        <w:rPr>
          <w:vertAlign w:val="baseline"/>
        </w:rPr>
        <w:t>that</w:t>
      </w:r>
      <w:r>
        <w:rPr>
          <w:spacing w:val="31"/>
          <w:vertAlign w:val="baseline"/>
        </w:rPr>
        <w:t> </w:t>
      </w:r>
      <w:r>
        <w:rPr>
          <w:vertAlign w:val="baseline"/>
        </w:rPr>
        <w:t>the</w:t>
      </w:r>
      <w:r>
        <w:rPr>
          <w:spacing w:val="31"/>
          <w:vertAlign w:val="baseline"/>
        </w:rPr>
        <w:t> </w:t>
      </w:r>
      <w:r>
        <w:rPr>
          <w:vertAlign w:val="baseline"/>
        </w:rPr>
        <w:t>former</w:t>
      </w:r>
      <w:r>
        <w:rPr>
          <w:spacing w:val="31"/>
          <w:vertAlign w:val="baseline"/>
        </w:rPr>
        <w:t> </w:t>
      </w:r>
      <w:r>
        <w:rPr>
          <w:vertAlign w:val="baseline"/>
        </w:rPr>
        <w:t>had</w:t>
      </w:r>
      <w:r>
        <w:rPr>
          <w:spacing w:val="31"/>
          <w:vertAlign w:val="baseline"/>
        </w:rPr>
        <w:t> </w:t>
      </w:r>
      <w:r>
        <w:rPr>
          <w:spacing w:val="-2"/>
          <w:vertAlign w:val="baseline"/>
        </w:rPr>
        <w:t>reasonable</w:t>
      </w:r>
    </w:p>
    <w:p>
      <w:pPr>
        <w:pStyle w:val="BodyText"/>
        <w:spacing w:line="235" w:lineRule="auto" w:before="118"/>
        <w:ind w:left="165" w:right="168"/>
        <w:jc w:val="both"/>
      </w:pPr>
      <w:bookmarkStart w:name="_bookmark47" w:id="49"/>
      <w:bookmarkEnd w:id="49"/>
      <w:r>
        <w:rPr/>
      </w:r>
      <w:r>
        <w:rPr/>
        <w:t>grounds</w:t>
      </w:r>
      <w:r>
        <w:rPr>
          <w:spacing w:val="-2"/>
        </w:rPr>
        <w:t> </w:t>
      </w:r>
      <w:r>
        <w:rPr/>
        <w:t>for</w:t>
      </w:r>
      <w:r>
        <w:rPr>
          <w:spacing w:val="-2"/>
        </w:rPr>
        <w:t> </w:t>
      </w:r>
      <w:r>
        <w:rPr/>
        <w:t>his</w:t>
      </w:r>
      <w:r>
        <w:rPr>
          <w:spacing w:val="-2"/>
        </w:rPr>
        <w:t> </w:t>
      </w:r>
      <w:r>
        <w:rPr/>
        <w:t>belief.</w:t>
      </w:r>
      <w:r>
        <w:rPr>
          <w:spacing w:val="-3"/>
        </w:rPr>
        <w:t> </w:t>
      </w:r>
      <w:r>
        <w:rPr>
          <w:color w:val="005DA1"/>
          <w:u w:val="single" w:color="005DA1"/>
          <w:vertAlign w:val="superscript"/>
        </w:rPr>
        <w:t>34</w:t>
      </w:r>
      <w:r>
        <w:rPr>
          <w:color w:val="005DA1"/>
          <w:spacing w:val="80"/>
          <w:vertAlign w:val="baseline"/>
        </w:rPr>
        <w:t> </w:t>
      </w:r>
      <w:r>
        <w:rPr>
          <w:color w:val="005DA1"/>
          <w:position w:val="-2"/>
          <w:vertAlign w:val="baseline"/>
        </w:rPr>
        <w:drawing>
          <wp:inline distT="0" distB="0" distL="0" distR="0">
            <wp:extent cx="107988" cy="107988"/>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vertAlign w:val="baseline"/>
        </w:rPr>
        <w:t> </w:t>
      </w:r>
      <w:r>
        <w:rPr>
          <w:vertAlign w:val="baseline"/>
        </w:rPr>
        <w:t>If,</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other</w:t>
      </w:r>
      <w:r>
        <w:rPr>
          <w:spacing w:val="-2"/>
          <w:vertAlign w:val="baseline"/>
        </w:rPr>
        <w:t> </w:t>
      </w:r>
      <w:r>
        <w:rPr>
          <w:vertAlign w:val="baseline"/>
        </w:rPr>
        <w:t>hand,</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clear</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person</w:t>
      </w:r>
      <w:r>
        <w:rPr>
          <w:spacing w:val="-2"/>
          <w:vertAlign w:val="baseline"/>
        </w:rPr>
        <w:t> </w:t>
      </w:r>
      <w:r>
        <w:rPr>
          <w:vertAlign w:val="baseline"/>
        </w:rPr>
        <w:t>who</w:t>
      </w:r>
      <w:r>
        <w:rPr>
          <w:spacing w:val="-2"/>
          <w:vertAlign w:val="baseline"/>
        </w:rPr>
        <w:t> </w:t>
      </w:r>
      <w:r>
        <w:rPr>
          <w:vertAlign w:val="baseline"/>
        </w:rPr>
        <w:t>expressed</w:t>
      </w:r>
      <w:r>
        <w:rPr>
          <w:spacing w:val="-2"/>
          <w:vertAlign w:val="baseline"/>
        </w:rPr>
        <w:t> </w:t>
      </w:r>
      <w:r>
        <w:rPr>
          <w:vertAlign w:val="baseline"/>
        </w:rPr>
        <w:t>the</w:t>
      </w:r>
      <w:r>
        <w:rPr>
          <w:spacing w:val="-2"/>
          <w:vertAlign w:val="baseline"/>
        </w:rPr>
        <w:t> </w:t>
      </w:r>
      <w:r>
        <w:rPr>
          <w:vertAlign w:val="baseline"/>
        </w:rPr>
        <w:t>opinion </w:t>
      </w:r>
      <w:bookmarkStart w:name="_bookmark48" w:id="50"/>
      <w:bookmarkEnd w:id="50"/>
      <w:r>
        <w:rPr>
          <w:vertAlign w:val="baseline"/>
        </w:rPr>
        <w:t>had</w:t>
      </w:r>
      <w:r>
        <w:rPr>
          <w:spacing w:val="26"/>
          <w:vertAlign w:val="baseline"/>
        </w:rPr>
        <w:t> </w:t>
      </w:r>
      <w:r>
        <w:rPr>
          <w:vertAlign w:val="baseline"/>
        </w:rPr>
        <w:t>no</w:t>
      </w:r>
      <w:r>
        <w:rPr>
          <w:spacing w:val="26"/>
          <w:vertAlign w:val="baseline"/>
        </w:rPr>
        <w:t> </w:t>
      </w:r>
      <w:r>
        <w:rPr>
          <w:vertAlign w:val="baseline"/>
        </w:rPr>
        <w:t>real</w:t>
      </w:r>
      <w:r>
        <w:rPr>
          <w:spacing w:val="27"/>
          <w:vertAlign w:val="baseline"/>
        </w:rPr>
        <w:t> </w:t>
      </w:r>
      <w:r>
        <w:rPr>
          <w:vertAlign w:val="baseline"/>
        </w:rPr>
        <w:t>way</w:t>
      </w:r>
      <w:r>
        <w:rPr>
          <w:spacing w:val="26"/>
          <w:vertAlign w:val="baseline"/>
        </w:rPr>
        <w:t> </w:t>
      </w:r>
      <w:r>
        <w:rPr>
          <w:vertAlign w:val="baseline"/>
        </w:rPr>
        <w:t>of</w:t>
      </w:r>
      <w:r>
        <w:rPr>
          <w:spacing w:val="26"/>
          <w:vertAlign w:val="baseline"/>
        </w:rPr>
        <w:t> </w:t>
      </w:r>
      <w:r>
        <w:rPr>
          <w:vertAlign w:val="baseline"/>
        </w:rPr>
        <w:t>knowing</w:t>
      </w:r>
      <w:r>
        <w:rPr>
          <w:spacing w:val="27"/>
          <w:vertAlign w:val="baseline"/>
        </w:rPr>
        <w:t> </w:t>
      </w:r>
      <w:r>
        <w:rPr>
          <w:vertAlign w:val="baseline"/>
        </w:rPr>
        <w:t>whether</w:t>
      </w:r>
      <w:r>
        <w:rPr>
          <w:spacing w:val="26"/>
          <w:vertAlign w:val="baseline"/>
        </w:rPr>
        <w:t> </w:t>
      </w:r>
      <w:r>
        <w:rPr>
          <w:vertAlign w:val="baseline"/>
        </w:rPr>
        <w:t>or</w:t>
      </w:r>
      <w:r>
        <w:rPr>
          <w:spacing w:val="27"/>
          <w:vertAlign w:val="baseline"/>
        </w:rPr>
        <w:t> </w:t>
      </w:r>
      <w:r>
        <w:rPr>
          <w:vertAlign w:val="baseline"/>
        </w:rPr>
        <w:t>not</w:t>
      </w:r>
      <w:r>
        <w:rPr>
          <w:spacing w:val="26"/>
          <w:vertAlign w:val="baseline"/>
        </w:rPr>
        <w:t> </w:t>
      </w:r>
      <w:r>
        <w:rPr>
          <w:vertAlign w:val="baseline"/>
        </w:rPr>
        <w:t>it</w:t>
      </w:r>
      <w:r>
        <w:rPr>
          <w:spacing w:val="26"/>
          <w:vertAlign w:val="baseline"/>
        </w:rPr>
        <w:t> </w:t>
      </w:r>
      <w:r>
        <w:rPr>
          <w:vertAlign w:val="baseline"/>
        </w:rPr>
        <w:t>was</w:t>
      </w:r>
      <w:r>
        <w:rPr>
          <w:spacing w:val="27"/>
          <w:vertAlign w:val="baseline"/>
        </w:rPr>
        <w:t> </w:t>
      </w:r>
      <w:r>
        <w:rPr>
          <w:vertAlign w:val="baseline"/>
        </w:rPr>
        <w:t>correct,</w:t>
      </w:r>
      <w:r>
        <w:rPr>
          <w:spacing w:val="26"/>
          <w:vertAlign w:val="baseline"/>
        </w:rPr>
        <w:t> </w:t>
      </w:r>
      <w:r>
        <w:rPr>
          <w:vertAlign w:val="baseline"/>
        </w:rPr>
        <w:t>no</w:t>
      </w:r>
      <w:r>
        <w:rPr>
          <w:spacing w:val="27"/>
          <w:vertAlign w:val="baseline"/>
        </w:rPr>
        <w:t> </w:t>
      </w:r>
      <w:r>
        <w:rPr>
          <w:vertAlign w:val="baseline"/>
        </w:rPr>
        <w:t>such</w:t>
      </w:r>
      <w:r>
        <w:rPr>
          <w:spacing w:val="26"/>
          <w:vertAlign w:val="baseline"/>
        </w:rPr>
        <w:t> </w:t>
      </w:r>
      <w:r>
        <w:rPr>
          <w:vertAlign w:val="baseline"/>
        </w:rPr>
        <w:t>implication</w:t>
      </w:r>
      <w:r>
        <w:rPr>
          <w:spacing w:val="26"/>
          <w:vertAlign w:val="baseline"/>
        </w:rPr>
        <w:t> </w:t>
      </w:r>
      <w:r>
        <w:rPr>
          <w:vertAlign w:val="baseline"/>
        </w:rPr>
        <w:t>can</w:t>
      </w:r>
      <w:r>
        <w:rPr>
          <w:spacing w:val="27"/>
          <w:vertAlign w:val="baseline"/>
        </w:rPr>
        <w:t> </w:t>
      </w:r>
      <w:r>
        <w:rPr>
          <w:vertAlign w:val="baseline"/>
        </w:rPr>
        <w:t>be</w:t>
      </w:r>
      <w:r>
        <w:rPr>
          <w:spacing w:val="26"/>
          <w:vertAlign w:val="baseline"/>
        </w:rPr>
        <w:t> </w:t>
      </w:r>
      <w:r>
        <w:rPr>
          <w:vertAlign w:val="baseline"/>
        </w:rPr>
        <w:t>made.</w:t>
      </w:r>
      <w:r>
        <w:rPr>
          <w:spacing w:val="26"/>
          <w:vertAlign w:val="baseline"/>
        </w:rPr>
        <w:t> </w:t>
      </w:r>
      <w:r>
        <w:rPr>
          <w:color w:val="005DA1"/>
          <w:u w:val="single" w:color="005DA1"/>
          <w:vertAlign w:val="superscript"/>
        </w:rPr>
        <w:t>35</w:t>
      </w:r>
      <w:r>
        <w:rPr>
          <w:color w:val="005DA1"/>
          <w:spacing w:val="26"/>
          <w:vertAlign w:val="baseline"/>
        </w:rPr>
        <w:t> </w:t>
      </w:r>
      <w:r>
        <w:rPr>
          <w:spacing w:val="-5"/>
          <w:vertAlign w:val="baseline"/>
        </w:rPr>
        <w:t>In</w:t>
      </w:r>
    </w:p>
    <w:p>
      <w:pPr>
        <w:pStyle w:val="BodyText"/>
        <w:spacing w:line="235" w:lineRule="auto" w:before="119"/>
        <w:ind w:left="165" w:right="167"/>
        <w:jc w:val="both"/>
      </w:pPr>
      <w:r>
        <w:rPr>
          <w:rFonts w:ascii="Arial" w:hAnsi="Arial"/>
          <w:i/>
        </w:rPr>
        <w:t>Economides v Commercial Union Assurance Co Plc </w:t>
      </w:r>
      <w:r>
        <w:rPr>
          <w:color w:val="005DA1"/>
          <w:u w:val="single" w:color="005DA1"/>
          <w:vertAlign w:val="superscript"/>
        </w:rPr>
        <w:t>36</w:t>
      </w:r>
      <w:r>
        <w:rPr>
          <w:color w:val="005DA1"/>
          <w:spacing w:val="80"/>
          <w:w w:val="150"/>
          <w:vertAlign w:val="baseline"/>
        </w:rPr>
        <w:t> </w:t>
      </w:r>
      <w:r>
        <w:rPr>
          <w:color w:val="005DA1"/>
          <w:spacing w:val="13"/>
          <w:position w:val="-2"/>
          <w:vertAlign w:val="baseline"/>
        </w:rPr>
        <w:drawing>
          <wp:inline distT="0" distB="0" distL="0" distR="0">
            <wp:extent cx="107988" cy="107988"/>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3"/>
          <w:position w:val="-2"/>
          <w:vertAlign w:val="baseline"/>
        </w:rPr>
      </w:r>
      <w:r>
        <w:rPr>
          <w:rFonts w:ascii="Times New Roman" w:hAnsi="Times New Roman"/>
          <w:color w:val="005DA1"/>
          <w:spacing w:val="-5"/>
          <w:vertAlign w:val="baseline"/>
        </w:rPr>
        <w:t> </w:t>
      </w:r>
      <w:r>
        <w:rPr>
          <w:vertAlign w:val="baseline"/>
        </w:rPr>
        <w:t>it was held that a statement by an insured, a private person with no specialist knowledge, of the value of the contents of a flat which contained</w:t>
      </w:r>
      <w:r>
        <w:rPr>
          <w:spacing w:val="40"/>
          <w:vertAlign w:val="baseline"/>
        </w:rPr>
        <w:t> </w:t>
      </w:r>
      <w:r>
        <w:rPr>
          <w:vertAlign w:val="baseline"/>
        </w:rPr>
        <w:t>his parents’ belongings as well as his own, did not carry an implication that he had an </w:t>
      </w:r>
      <w:r>
        <w:rPr>
          <w:vertAlign w:val="baseline"/>
        </w:rPr>
        <w:t>objectively reasonable</w:t>
      </w:r>
      <w:r>
        <w:rPr>
          <w:spacing w:val="-1"/>
          <w:vertAlign w:val="baseline"/>
        </w:rPr>
        <w:t> </w:t>
      </w:r>
      <w:r>
        <w:rPr>
          <w:vertAlign w:val="baseline"/>
        </w:rPr>
        <w:t>basis</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value</w:t>
      </w:r>
      <w:r>
        <w:rPr>
          <w:spacing w:val="-1"/>
          <w:vertAlign w:val="baseline"/>
        </w:rPr>
        <w:t> </w:t>
      </w:r>
      <w:r>
        <w:rPr>
          <w:vertAlign w:val="baseline"/>
        </w:rPr>
        <w:t>stated.</w:t>
      </w:r>
      <w:r>
        <w:rPr>
          <w:spacing w:val="-1"/>
          <w:vertAlign w:val="baseline"/>
        </w:rPr>
        <w:t> </w:t>
      </w:r>
      <w:r>
        <w:rPr>
          <w:vertAlign w:val="baseline"/>
        </w:rPr>
        <w:t>Thus</w:t>
      </w:r>
      <w:r>
        <w:rPr>
          <w:spacing w:val="-1"/>
          <w:vertAlign w:val="baseline"/>
        </w:rPr>
        <w:t> </w:t>
      </w:r>
      <w:r>
        <w:rPr>
          <w:vertAlign w:val="baseline"/>
        </w:rPr>
        <w:t>a</w:t>
      </w:r>
      <w:r>
        <w:rPr>
          <w:spacing w:val="-1"/>
          <w:vertAlign w:val="baseline"/>
        </w:rPr>
        <w:t> </w:t>
      </w:r>
      <w:r>
        <w:rPr>
          <w:vertAlign w:val="baseline"/>
        </w:rPr>
        <w:t>statement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value</w:t>
      </w:r>
      <w:r>
        <w:rPr>
          <w:spacing w:val="-1"/>
          <w:vertAlign w:val="baseline"/>
        </w:rPr>
        <w:t> </w:t>
      </w:r>
      <w:r>
        <w:rPr>
          <w:vertAlign w:val="baseline"/>
        </w:rPr>
        <w:t>which</w:t>
      </w:r>
      <w:r>
        <w:rPr>
          <w:spacing w:val="-1"/>
          <w:vertAlign w:val="baseline"/>
        </w:rPr>
        <w:t> </w:t>
      </w:r>
      <w:r>
        <w:rPr>
          <w:vertAlign w:val="baseline"/>
        </w:rPr>
        <w:t>the</w:t>
      </w:r>
      <w:r>
        <w:rPr>
          <w:spacing w:val="-1"/>
          <w:vertAlign w:val="baseline"/>
        </w:rPr>
        <w:t> </w:t>
      </w:r>
      <w:r>
        <w:rPr>
          <w:vertAlign w:val="baseline"/>
        </w:rPr>
        <w:t>insured</w:t>
      </w:r>
      <w:r>
        <w:rPr>
          <w:spacing w:val="-1"/>
          <w:vertAlign w:val="baseline"/>
        </w:rPr>
        <w:t> </w:t>
      </w:r>
      <w:r>
        <w:rPr>
          <w:vertAlign w:val="baseline"/>
        </w:rPr>
        <w:t>made</w:t>
      </w:r>
      <w:r>
        <w:rPr>
          <w:spacing w:val="-1"/>
          <w:vertAlign w:val="baseline"/>
        </w:rPr>
        <w:t> </w:t>
      </w:r>
      <w:r>
        <w:rPr>
          <w:vertAlign w:val="baseline"/>
        </w:rPr>
        <w:t>honestly was not a misrepresentation even though it was inaccurate. Equally, propositions put forward by parties engaged in negotiating the settlement of a dispute are likely to be treated as mere statements of opinion and, at least when the negotiations are conducted by experienced professionals in good </w:t>
      </w:r>
      <w:bookmarkStart w:name="_bookmark49" w:id="51"/>
      <w:bookmarkEnd w:id="51"/>
      <w:r>
        <w:rPr>
          <w:vertAlign w:val="baseline"/>
        </w:rPr>
        <w:t>faith,</w:t>
      </w:r>
      <w:r>
        <w:rPr>
          <w:vertAlign w:val="baseline"/>
        </w:rPr>
        <w:t> are unlikely to be treated as including a representation that they are based on reasonable </w:t>
      </w:r>
      <w:bookmarkStart w:name="_bookmark50" w:id="52"/>
      <w:bookmarkEnd w:id="52"/>
      <w:r>
        <w:rPr>
          <w:vertAlign w:val="baseline"/>
        </w:rPr>
        <w:t>grounds.</w:t>
      </w:r>
      <w:r>
        <w:rPr>
          <w:vertAlign w:val="baseline"/>
        </w:rPr>
        <w:t> </w:t>
      </w:r>
      <w:r>
        <w:rPr>
          <w:color w:val="005DA1"/>
          <w:u w:val="single" w:color="005DA1"/>
          <w:vertAlign w:val="superscript"/>
        </w:rPr>
        <w:t>37</w:t>
      </w:r>
      <w:r>
        <w:rPr>
          <w:color w:val="005DA1"/>
          <w:vertAlign w:val="baseline"/>
        </w:rPr>
        <w:t> </w:t>
      </w:r>
      <w:r>
        <w:rPr>
          <w:vertAlign w:val="baseline"/>
        </w:rPr>
        <w:t>The fact that there was a relationship between the parties is not enough, as a matter of </w:t>
      </w:r>
      <w:bookmarkStart w:name="_bookmark51" w:id="53"/>
      <w:bookmarkEnd w:id="53"/>
      <w:r>
        <w:rPr>
          <w:vertAlign w:val="baseline"/>
        </w:rPr>
        <w:t>law,</w:t>
      </w:r>
      <w:r>
        <w:rPr>
          <w:vertAlign w:val="baseline"/>
        </w:rPr>
        <w:t> to create an implied representation that there is a reasonable basis for the opinion. </w:t>
      </w:r>
      <w:r>
        <w:rPr>
          <w:color w:val="005DA1"/>
          <w:u w:val="single" w:color="005DA1"/>
          <w:vertAlign w:val="superscript"/>
        </w:rPr>
        <w:t>38</w:t>
      </w:r>
      <w:r>
        <w:rPr>
          <w:color w:val="005DA1"/>
          <w:vertAlign w:val="baseline"/>
        </w:rPr>
        <w:t> </w:t>
      </w:r>
      <w:r>
        <w:rPr>
          <w:vertAlign w:val="baseline"/>
        </w:rPr>
        <w:t>Subject to </w:t>
      </w:r>
      <w:bookmarkStart w:name="_bookmark52" w:id="54"/>
      <w:bookmarkEnd w:id="54"/>
      <w:r>
        <w:rPr>
          <w:vertAlign w:val="baseline"/>
        </w:rPr>
        <w:t>the</w:t>
      </w:r>
      <w:r>
        <w:rPr>
          <w:vertAlign w:val="baseline"/>
        </w:rPr>
        <w:t> principle illustrated by </w:t>
      </w:r>
      <w:r>
        <w:rPr>
          <w:rFonts w:ascii="Arial" w:hAnsi="Arial"/>
          <w:i/>
          <w:vertAlign w:val="baseline"/>
        </w:rPr>
        <w:t>Brown v Raphael</w:t>
      </w:r>
      <w:r>
        <w:rPr>
          <w:vertAlign w:val="baseline"/>
        </w:rPr>
        <w:t>, </w:t>
      </w:r>
      <w:r>
        <w:rPr>
          <w:color w:val="005DA1"/>
          <w:u w:val="single" w:color="005DA1"/>
          <w:vertAlign w:val="superscript"/>
        </w:rPr>
        <w:t>39</w:t>
      </w:r>
      <w:r>
        <w:rPr>
          <w:color w:val="005DA1"/>
          <w:vertAlign w:val="baseline"/>
        </w:rPr>
        <w:t> </w:t>
      </w:r>
      <w:r>
        <w:rPr>
          <w:vertAlign w:val="baseline"/>
        </w:rPr>
        <w:t>an opinion expressed in good faith is not to be held to </w:t>
      </w:r>
      <w:bookmarkStart w:name="_bookmark53" w:id="55"/>
      <w:bookmarkEnd w:id="55"/>
      <w:r>
        <w:rPr>
          <w:vertAlign w:val="baseline"/>
        </w:rPr>
        <w:t>be</w:t>
      </w:r>
      <w:r>
        <w:rPr>
          <w:spacing w:val="-3"/>
          <w:vertAlign w:val="baseline"/>
        </w:rPr>
        <w:t> </w:t>
      </w:r>
      <w:r>
        <w:rPr>
          <w:vertAlign w:val="baseline"/>
        </w:rPr>
        <w:t>a</w:t>
      </w:r>
      <w:r>
        <w:rPr>
          <w:spacing w:val="-3"/>
          <w:vertAlign w:val="baseline"/>
        </w:rPr>
        <w:t> </w:t>
      </w:r>
      <w:r>
        <w:rPr>
          <w:vertAlign w:val="baseline"/>
        </w:rPr>
        <w:t>misrepresentation</w:t>
      </w:r>
      <w:r>
        <w:rPr>
          <w:spacing w:val="-3"/>
          <w:vertAlign w:val="baseline"/>
        </w:rPr>
        <w:t> </w:t>
      </w:r>
      <w:r>
        <w:rPr>
          <w:vertAlign w:val="baseline"/>
        </w:rPr>
        <w:t>merely</w:t>
      </w:r>
      <w:r>
        <w:rPr>
          <w:spacing w:val="-3"/>
          <w:vertAlign w:val="baseline"/>
        </w:rPr>
        <w:t> </w:t>
      </w:r>
      <w:r>
        <w:rPr>
          <w:vertAlign w:val="baseline"/>
        </w:rPr>
        <w:t>because</w:t>
      </w:r>
      <w:r>
        <w:rPr>
          <w:spacing w:val="-3"/>
          <w:vertAlign w:val="baseline"/>
        </w:rPr>
        <w:t> </w:t>
      </w:r>
      <w:r>
        <w:rPr>
          <w:vertAlign w:val="baseline"/>
        </w:rPr>
        <w:t>it</w:t>
      </w:r>
      <w:r>
        <w:rPr>
          <w:spacing w:val="-3"/>
          <w:vertAlign w:val="baseline"/>
        </w:rPr>
        <w:t> </w:t>
      </w:r>
      <w:r>
        <w:rPr>
          <w:vertAlign w:val="baseline"/>
        </w:rPr>
        <w:t>turns</w:t>
      </w:r>
      <w:r>
        <w:rPr>
          <w:spacing w:val="-3"/>
          <w:vertAlign w:val="baseline"/>
        </w:rPr>
        <w:t> </w:t>
      </w:r>
      <w:r>
        <w:rPr>
          <w:vertAlign w:val="baseline"/>
        </w:rPr>
        <w:t>out</w:t>
      </w:r>
      <w:r>
        <w:rPr>
          <w:spacing w:val="-3"/>
          <w:vertAlign w:val="baseline"/>
        </w:rPr>
        <w:t> </w:t>
      </w:r>
      <w:r>
        <w:rPr>
          <w:vertAlign w:val="baseline"/>
        </w:rPr>
        <w:t>to</w:t>
      </w:r>
      <w:r>
        <w:rPr>
          <w:spacing w:val="-3"/>
          <w:vertAlign w:val="baseline"/>
        </w:rPr>
        <w:t> </w:t>
      </w:r>
      <w:r>
        <w:rPr>
          <w:vertAlign w:val="baseline"/>
        </w:rPr>
        <w:t>be</w:t>
      </w:r>
      <w:r>
        <w:rPr>
          <w:spacing w:val="-3"/>
          <w:vertAlign w:val="baseline"/>
        </w:rPr>
        <w:t> </w:t>
      </w:r>
      <w:r>
        <w:rPr>
          <w:vertAlign w:val="baseline"/>
        </w:rPr>
        <w:t>incorrect.</w:t>
      </w:r>
      <w:r>
        <w:rPr>
          <w:spacing w:val="-4"/>
          <w:vertAlign w:val="baseline"/>
        </w:rPr>
        <w:t> </w:t>
      </w:r>
      <w:r>
        <w:rPr>
          <w:color w:val="005DA1"/>
          <w:u w:val="single" w:color="005DA1"/>
          <w:vertAlign w:val="superscript"/>
        </w:rPr>
        <w:t>40</w:t>
      </w:r>
      <w:r>
        <w:rPr>
          <w:color w:val="005DA1"/>
          <w:spacing w:val="-3"/>
          <w:vertAlign w:val="baseline"/>
        </w:rPr>
        <w:t> </w:t>
      </w:r>
      <w:r>
        <w:rPr>
          <w:vertAlign w:val="baseline"/>
        </w:rPr>
        <w:t>But</w:t>
      </w:r>
      <w:r>
        <w:rPr>
          <w:spacing w:val="-3"/>
          <w:vertAlign w:val="baseline"/>
        </w:rPr>
        <w:t> </w:t>
      </w:r>
      <w:r>
        <w:rPr>
          <w:vertAlign w:val="baseline"/>
        </w:rPr>
        <w:t>a</w:t>
      </w:r>
      <w:r>
        <w:rPr>
          <w:spacing w:val="-3"/>
          <w:vertAlign w:val="baseline"/>
        </w:rPr>
        <w:t> </w:t>
      </w:r>
      <w:r>
        <w:rPr>
          <w:vertAlign w:val="baseline"/>
        </w:rPr>
        <w:t>statement</w:t>
      </w:r>
      <w:r>
        <w:rPr>
          <w:spacing w:val="-3"/>
          <w:vertAlign w:val="baseline"/>
        </w:rPr>
        <w:t> </w:t>
      </w:r>
      <w:r>
        <w:rPr>
          <w:vertAlign w:val="baseline"/>
        </w:rPr>
        <w:t>of</w:t>
      </w:r>
      <w:r>
        <w:rPr>
          <w:spacing w:val="-3"/>
          <w:vertAlign w:val="baseline"/>
        </w:rPr>
        <w:t> </w:t>
      </w:r>
      <w:r>
        <w:rPr>
          <w:vertAlign w:val="baseline"/>
        </w:rPr>
        <w:t>opinion</w:t>
      </w:r>
      <w:r>
        <w:rPr>
          <w:spacing w:val="-3"/>
          <w:vertAlign w:val="baseline"/>
        </w:rPr>
        <w:t> </w:t>
      </w:r>
      <w:r>
        <w:rPr>
          <w:vertAlign w:val="baseline"/>
        </w:rPr>
        <w:t>which is published as if it were a fact may be regarded as a statement of fact. </w:t>
      </w:r>
      <w:r>
        <w:rPr>
          <w:color w:val="005DA1"/>
          <w:u w:val="single" w:color="005DA1"/>
          <w:vertAlign w:val="superscript"/>
        </w:rPr>
        <w:t>41</w:t>
      </w:r>
    </w:p>
    <w:p>
      <w:pPr>
        <w:pStyle w:val="BodyText"/>
      </w:pPr>
    </w:p>
    <w:p>
      <w:pPr>
        <w:pStyle w:val="BodyText"/>
        <w:spacing w:before="34"/>
      </w:pPr>
    </w:p>
    <w:p>
      <w:pPr>
        <w:spacing w:before="0"/>
        <w:ind w:left="165" w:right="0" w:firstLine="0"/>
        <w:jc w:val="both"/>
        <w:rPr>
          <w:rFonts w:ascii="Arial"/>
          <w:b/>
          <w:sz w:val="18"/>
        </w:rPr>
      </w:pPr>
      <w:r>
        <w:rPr>
          <w:rFonts w:ascii="Arial"/>
          <w:b/>
          <w:sz w:val="18"/>
        </w:rPr>
        <w:t>Apparent statement of fact may be no more than expression of </w:t>
      </w:r>
      <w:r>
        <w:rPr>
          <w:rFonts w:ascii="Arial"/>
          <w:b/>
          <w:spacing w:val="-2"/>
          <w:sz w:val="18"/>
        </w:rPr>
        <w:t>opinion</w:t>
      </w:r>
    </w:p>
    <w:p>
      <w:pPr>
        <w:pStyle w:val="BodyText"/>
        <w:spacing w:before="41"/>
        <w:rPr>
          <w:rFonts w:ascii="Arial"/>
          <w:b/>
          <w:sz w:val="18"/>
        </w:rPr>
      </w:pPr>
    </w:p>
    <w:p>
      <w:pPr>
        <w:pStyle w:val="Heading2"/>
      </w:pPr>
      <w:r>
        <w:rPr/>
        <w:t>7-</w:t>
      </w:r>
      <w:r>
        <w:rPr>
          <w:spacing w:val="-5"/>
        </w:rPr>
        <w:t>010</w:t>
      </w:r>
    </w:p>
    <w:p>
      <w:pPr>
        <w:pStyle w:val="BodyText"/>
        <w:spacing w:line="235" w:lineRule="auto" w:before="203"/>
        <w:ind w:left="164" w:right="167"/>
        <w:jc w:val="both"/>
      </w:pPr>
      <w:r>
        <w:rPr/>
        <w:t>Conversely,</w:t>
      </w:r>
      <w:r>
        <w:rPr>
          <w:spacing w:val="-1"/>
        </w:rPr>
        <w:t> </w:t>
      </w:r>
      <w:r>
        <w:rPr/>
        <w:t>a</w:t>
      </w:r>
      <w:r>
        <w:rPr>
          <w:spacing w:val="-1"/>
        </w:rPr>
        <w:t> </w:t>
      </w:r>
      <w:r>
        <w:rPr/>
        <w:t>statement</w:t>
      </w:r>
      <w:r>
        <w:rPr>
          <w:spacing w:val="-1"/>
        </w:rPr>
        <w:t> </w:t>
      </w:r>
      <w:r>
        <w:rPr/>
        <w:t>that</w:t>
      </w:r>
      <w:r>
        <w:rPr>
          <w:spacing w:val="-1"/>
        </w:rPr>
        <w:t> </w:t>
      </w:r>
      <w:r>
        <w:rPr/>
        <w:t>taken</w:t>
      </w:r>
      <w:r>
        <w:rPr>
          <w:spacing w:val="-1"/>
        </w:rPr>
        <w:t> </w:t>
      </w:r>
      <w:r>
        <w:rPr/>
        <w:t>in</w:t>
      </w:r>
      <w:r>
        <w:rPr>
          <w:spacing w:val="-1"/>
        </w:rPr>
        <w:t> </w:t>
      </w:r>
      <w:r>
        <w:rPr/>
        <w:t>isolation</w:t>
      </w:r>
      <w:r>
        <w:rPr>
          <w:spacing w:val="-1"/>
        </w:rPr>
        <w:t> </w:t>
      </w:r>
      <w:r>
        <w:rPr/>
        <w:t>might</w:t>
      </w:r>
      <w:r>
        <w:rPr>
          <w:spacing w:val="-1"/>
        </w:rPr>
        <w:t> </w:t>
      </w:r>
      <w:r>
        <w:rPr/>
        <w:t>seem</w:t>
      </w:r>
      <w:r>
        <w:rPr>
          <w:spacing w:val="-1"/>
        </w:rPr>
        <w:t> </w:t>
      </w:r>
      <w:r>
        <w:rPr/>
        <w:t>to</w:t>
      </w:r>
      <w:r>
        <w:rPr>
          <w:spacing w:val="-1"/>
        </w:rPr>
        <w:t> </w:t>
      </w:r>
      <w:r>
        <w:rPr/>
        <w:t>be</w:t>
      </w:r>
      <w:r>
        <w:rPr>
          <w:spacing w:val="-1"/>
        </w:rPr>
        <w:t> </w:t>
      </w:r>
      <w:r>
        <w:rPr/>
        <w:t>one</w:t>
      </w:r>
      <w:r>
        <w:rPr>
          <w:spacing w:val="-1"/>
        </w:rPr>
        <w:t> </w:t>
      </w:r>
      <w:r>
        <w:rPr/>
        <w:t>of</w:t>
      </w:r>
      <w:r>
        <w:rPr>
          <w:spacing w:val="-1"/>
        </w:rPr>
        <w:t> </w:t>
      </w:r>
      <w:r>
        <w:rPr/>
        <w:t>fact</w:t>
      </w:r>
      <w:r>
        <w:rPr>
          <w:spacing w:val="-1"/>
        </w:rPr>
        <w:t> </w:t>
      </w:r>
      <w:r>
        <w:rPr/>
        <w:t>may</w:t>
      </w:r>
      <w:r>
        <w:rPr>
          <w:spacing w:val="-1"/>
        </w:rPr>
        <w:t> </w:t>
      </w:r>
      <w:r>
        <w:rPr/>
        <w:t>in</w:t>
      </w:r>
      <w:r>
        <w:rPr>
          <w:spacing w:val="-1"/>
        </w:rPr>
        <w:t> </w:t>
      </w:r>
      <w:r>
        <w:rPr/>
        <w:t>the</w:t>
      </w:r>
      <w:r>
        <w:rPr>
          <w:spacing w:val="-1"/>
        </w:rPr>
        <w:t> </w:t>
      </w:r>
      <w:r>
        <w:rPr/>
        <w:t>circumstances only amount to an expression of opinion, and one without any implied representation that the maker</w:t>
      </w:r>
      <w:r>
        <w:rPr>
          <w:spacing w:val="80"/>
        </w:rPr>
        <w:t> </w:t>
      </w:r>
      <w:bookmarkStart w:name="_bookmark54" w:id="56"/>
      <w:bookmarkEnd w:id="56"/>
      <w:r>
        <w:rPr/>
        <w:t>of</w:t>
      </w:r>
      <w:r>
        <w:rPr/>
        <w:t> the statement has facts to back it up. The statement must be construed as it would reasonably be understood</w:t>
      </w:r>
      <w:r>
        <w:rPr>
          <w:spacing w:val="-3"/>
        </w:rPr>
        <w:t> </w:t>
      </w:r>
      <w:r>
        <w:rPr/>
        <w:t>by</w:t>
      </w:r>
      <w:r>
        <w:rPr>
          <w:spacing w:val="-3"/>
        </w:rPr>
        <w:t> </w:t>
      </w:r>
      <w:r>
        <w:rPr/>
        <w:t>the</w:t>
      </w:r>
      <w:r>
        <w:rPr>
          <w:spacing w:val="-3"/>
        </w:rPr>
        <w:t> </w:t>
      </w:r>
      <w:r>
        <w:rPr/>
        <w:t>recipient</w:t>
      </w:r>
      <w:r>
        <w:rPr>
          <w:spacing w:val="-3"/>
        </w:rPr>
        <w:t> </w:t>
      </w:r>
      <w:r>
        <w:rPr/>
        <w:t>in</w:t>
      </w:r>
      <w:r>
        <w:rPr>
          <w:spacing w:val="-3"/>
        </w:rPr>
        <w:t> </w:t>
      </w:r>
      <w:r>
        <w:rPr/>
        <w:t>the</w:t>
      </w:r>
      <w:r>
        <w:rPr>
          <w:spacing w:val="-3"/>
        </w:rPr>
        <w:t> </w:t>
      </w:r>
      <w:r>
        <w:rPr/>
        <w:t>context</w:t>
      </w:r>
      <w:r>
        <w:rPr>
          <w:spacing w:val="-3"/>
        </w:rPr>
        <w:t> </w:t>
      </w:r>
      <w:r>
        <w:rPr/>
        <w:t>in</w:t>
      </w:r>
      <w:r>
        <w:rPr>
          <w:spacing w:val="-3"/>
        </w:rPr>
        <w:t> </w:t>
      </w:r>
      <w:r>
        <w:rPr/>
        <w:t>which</w:t>
      </w:r>
      <w:r>
        <w:rPr>
          <w:spacing w:val="-3"/>
        </w:rPr>
        <w:t> </w:t>
      </w:r>
      <w:r>
        <w:rPr/>
        <w:t>the</w:t>
      </w:r>
      <w:r>
        <w:rPr>
          <w:spacing w:val="-3"/>
        </w:rPr>
        <w:t> </w:t>
      </w:r>
      <w:r>
        <w:rPr/>
        <w:t>statement</w:t>
      </w:r>
      <w:r>
        <w:rPr>
          <w:spacing w:val="-3"/>
        </w:rPr>
        <w:t> </w:t>
      </w:r>
      <w:r>
        <w:rPr/>
        <w:t>was</w:t>
      </w:r>
      <w:r>
        <w:rPr>
          <w:spacing w:val="-3"/>
        </w:rPr>
        <w:t> </w:t>
      </w:r>
      <w:r>
        <w:rPr/>
        <w:t>made.</w:t>
      </w:r>
      <w:r>
        <w:rPr>
          <w:spacing w:val="-3"/>
        </w:rPr>
        <w:t> </w:t>
      </w:r>
      <w:r>
        <w:rPr>
          <w:color w:val="005DA1"/>
          <w:u w:val="single" w:color="005DA1"/>
          <w:vertAlign w:val="superscript"/>
        </w:rPr>
        <w:t>42</w:t>
      </w:r>
      <w:r>
        <w:rPr>
          <w:color w:val="005DA1"/>
          <w:spacing w:val="-3"/>
          <w:vertAlign w:val="baseline"/>
        </w:rPr>
        <w:t> </w:t>
      </w:r>
      <w:r>
        <w:rPr>
          <w:vertAlign w:val="baseline"/>
        </w:rPr>
        <w:t>Thus</w:t>
      </w:r>
      <w:r>
        <w:rPr>
          <w:spacing w:val="-3"/>
          <w:vertAlign w:val="baseline"/>
        </w:rPr>
        <w:t> </w:t>
      </w:r>
      <w:r>
        <w:rPr>
          <w:vertAlign w:val="baseline"/>
        </w:rPr>
        <w:t>a</w:t>
      </w:r>
      <w:r>
        <w:rPr>
          <w:spacing w:val="-3"/>
          <w:vertAlign w:val="baseline"/>
        </w:rPr>
        <w:t> </w:t>
      </w:r>
      <w:r>
        <w:rPr>
          <w:vertAlign w:val="baseline"/>
        </w:rPr>
        <w:t>statement</w:t>
      </w:r>
      <w:r>
        <w:rPr>
          <w:spacing w:val="-3"/>
          <w:vertAlign w:val="baseline"/>
        </w:rPr>
        <w:t> </w:t>
      </w:r>
      <w:r>
        <w:rPr>
          <w:vertAlign w:val="baseline"/>
        </w:rPr>
        <w:t>as</w:t>
      </w:r>
      <w:r>
        <w:rPr>
          <w:spacing w:val="-3"/>
          <w:vertAlign w:val="baseline"/>
        </w:rPr>
        <w:t> </w:t>
      </w:r>
      <w:r>
        <w:rPr>
          <w:vertAlign w:val="baseline"/>
        </w:rPr>
        <w:t>to the nature of a policy made to an experienced loss adjuster who had a copy of the policy </w:t>
      </w:r>
      <w:r>
        <w:rPr>
          <w:vertAlign w:val="baseline"/>
        </w:rPr>
        <w:t>schedule </w:t>
      </w:r>
      <w:bookmarkStart w:name="_bookmark55" w:id="57"/>
      <w:bookmarkEnd w:id="57"/>
      <w:r>
        <w:rPr>
          <w:vertAlign w:val="baseline"/>
        </w:rPr>
        <w:t>that</w:t>
      </w:r>
      <w:r>
        <w:rPr>
          <w:spacing w:val="-1"/>
          <w:vertAlign w:val="baseline"/>
        </w:rPr>
        <w:t> </w:t>
      </w:r>
      <w:r>
        <w:rPr>
          <w:vertAlign w:val="baseline"/>
        </w:rPr>
        <w:t>described</w:t>
      </w:r>
      <w:r>
        <w:rPr>
          <w:spacing w:val="-1"/>
          <w:vertAlign w:val="baseline"/>
        </w:rPr>
        <w:t> </w:t>
      </w:r>
      <w:r>
        <w:rPr>
          <w:vertAlign w:val="baseline"/>
        </w:rPr>
        <w:t>it</w:t>
      </w:r>
      <w:r>
        <w:rPr>
          <w:spacing w:val="-1"/>
          <w:vertAlign w:val="baseline"/>
        </w:rPr>
        <w:t> </w:t>
      </w:r>
      <w:r>
        <w:rPr>
          <w:vertAlign w:val="baseline"/>
        </w:rPr>
        <w:t>correctly,</w:t>
      </w:r>
      <w:r>
        <w:rPr>
          <w:spacing w:val="-1"/>
          <w:vertAlign w:val="baseline"/>
        </w:rPr>
        <w:t> </w:t>
      </w:r>
      <w:r>
        <w:rPr>
          <w:vertAlign w:val="baseline"/>
        </w:rPr>
        <w:t>and</w:t>
      </w:r>
      <w:r>
        <w:rPr>
          <w:spacing w:val="-1"/>
          <w:vertAlign w:val="baseline"/>
        </w:rPr>
        <w:t> </w:t>
      </w:r>
      <w:r>
        <w:rPr>
          <w:vertAlign w:val="baseline"/>
        </w:rPr>
        <w:t>who</w:t>
      </w:r>
      <w:r>
        <w:rPr>
          <w:spacing w:val="-1"/>
          <w:vertAlign w:val="baseline"/>
        </w:rPr>
        <w:t> </w:t>
      </w:r>
      <w:r>
        <w:rPr>
          <w:vertAlign w:val="baseline"/>
        </w:rPr>
        <w:t>was</w:t>
      </w:r>
      <w:r>
        <w:rPr>
          <w:spacing w:val="-1"/>
          <w:vertAlign w:val="baseline"/>
        </w:rPr>
        <w:t> </w:t>
      </w:r>
      <w:r>
        <w:rPr>
          <w:vertAlign w:val="baseline"/>
        </w:rPr>
        <w:t>thought</w:t>
      </w:r>
      <w:r>
        <w:rPr>
          <w:spacing w:val="-1"/>
          <w:vertAlign w:val="baseline"/>
        </w:rPr>
        <w:t> </w:t>
      </w:r>
      <w:r>
        <w:rPr>
          <w:vertAlign w:val="baseline"/>
        </w:rPr>
        <w:t>to</w:t>
      </w:r>
      <w:r>
        <w:rPr>
          <w:spacing w:val="-1"/>
          <w:vertAlign w:val="baseline"/>
        </w:rPr>
        <w:t> </w:t>
      </w:r>
      <w:r>
        <w:rPr>
          <w:vertAlign w:val="baseline"/>
        </w:rPr>
        <w:t>have</w:t>
      </w:r>
      <w:r>
        <w:rPr>
          <w:spacing w:val="-1"/>
          <w:vertAlign w:val="baseline"/>
        </w:rPr>
        <w:t> </w:t>
      </w:r>
      <w:r>
        <w:rPr>
          <w:vertAlign w:val="baseline"/>
        </w:rPr>
        <w:t>a</w:t>
      </w:r>
      <w:r>
        <w:rPr>
          <w:spacing w:val="-1"/>
          <w:vertAlign w:val="baseline"/>
        </w:rPr>
        <w:t> </w:t>
      </w:r>
      <w:r>
        <w:rPr>
          <w:vertAlign w:val="baseline"/>
        </w:rPr>
        <w:t>copy</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policy</w:t>
      </w:r>
      <w:r>
        <w:rPr>
          <w:spacing w:val="-1"/>
          <w:vertAlign w:val="baseline"/>
        </w:rPr>
        <w:t> </w:t>
      </w:r>
      <w:r>
        <w:rPr>
          <w:vertAlign w:val="baseline"/>
        </w:rPr>
        <w:t>itself,</w:t>
      </w:r>
      <w:r>
        <w:rPr>
          <w:spacing w:val="-1"/>
          <w:vertAlign w:val="baseline"/>
        </w:rPr>
        <w:t> </w:t>
      </w:r>
      <w:r>
        <w:rPr>
          <w:vertAlign w:val="baseline"/>
        </w:rPr>
        <w:t>was</w:t>
      </w:r>
      <w:r>
        <w:rPr>
          <w:spacing w:val="-1"/>
          <w:vertAlign w:val="baseline"/>
        </w:rPr>
        <w:t> </w:t>
      </w:r>
      <w:r>
        <w:rPr>
          <w:vertAlign w:val="baseline"/>
        </w:rPr>
        <w:t>regarded</w:t>
      </w:r>
      <w:r>
        <w:rPr>
          <w:spacing w:val="-1"/>
          <w:vertAlign w:val="baseline"/>
        </w:rPr>
        <w:t> </w:t>
      </w:r>
      <w:r>
        <w:rPr>
          <w:vertAlign w:val="baseline"/>
        </w:rPr>
        <w:t>as</w:t>
      </w:r>
      <w:r>
        <w:rPr>
          <w:spacing w:val="-1"/>
          <w:vertAlign w:val="baseline"/>
        </w:rPr>
        <w:t> </w:t>
      </w:r>
      <w:r>
        <w:rPr>
          <w:vertAlign w:val="baseline"/>
        </w:rPr>
        <w:t>“a contention, not as a representation” </w:t>
      </w:r>
      <w:r>
        <w:rPr>
          <w:color w:val="005DA1"/>
          <w:u w:val="single" w:color="005DA1"/>
          <w:vertAlign w:val="superscript"/>
        </w:rPr>
        <w:t>43</w:t>
      </w:r>
      <w:r>
        <w:rPr>
          <w:vertAlign w:val="baseline"/>
        </w:rPr>
        <w:t>—in other words, it was merely an expression of opinion. The </w:t>
      </w:r>
      <w:bookmarkStart w:name="_bookmark56" w:id="58"/>
      <w:bookmarkEnd w:id="58"/>
      <w:r>
        <w:rPr>
          <w:vertAlign w:val="baseline"/>
        </w:rPr>
        <w:t>terms</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may</w:t>
      </w:r>
      <w:r>
        <w:rPr>
          <w:spacing w:val="-2"/>
          <w:vertAlign w:val="baseline"/>
        </w:rPr>
        <w:t> </w:t>
      </w:r>
      <w:r>
        <w:rPr>
          <w:vertAlign w:val="baseline"/>
        </w:rPr>
        <w:t>also</w:t>
      </w:r>
      <w:r>
        <w:rPr>
          <w:spacing w:val="-2"/>
          <w:vertAlign w:val="baseline"/>
        </w:rPr>
        <w:t> </w:t>
      </w:r>
      <w:r>
        <w:rPr>
          <w:vertAlign w:val="baseline"/>
        </w:rPr>
        <w:t>create</w:t>
      </w:r>
      <w:r>
        <w:rPr>
          <w:spacing w:val="-2"/>
          <w:vertAlign w:val="baseline"/>
        </w:rPr>
        <w:t> </w:t>
      </w:r>
      <w:r>
        <w:rPr>
          <w:vertAlign w:val="baseline"/>
        </w:rPr>
        <w:t>a</w:t>
      </w:r>
      <w:r>
        <w:rPr>
          <w:spacing w:val="-2"/>
          <w:vertAlign w:val="baseline"/>
        </w:rPr>
        <w:t> </w:t>
      </w:r>
      <w:r>
        <w:rPr>
          <w:vertAlign w:val="baseline"/>
        </w:rPr>
        <w:t>contractual</w:t>
      </w:r>
      <w:r>
        <w:rPr>
          <w:spacing w:val="-2"/>
          <w:vertAlign w:val="baseline"/>
        </w:rPr>
        <w:t> </w:t>
      </w:r>
      <w:r>
        <w:rPr>
          <w:vertAlign w:val="baseline"/>
        </w:rPr>
        <w:t>estoppel</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effect</w:t>
      </w:r>
      <w:r>
        <w:rPr>
          <w:spacing w:val="-2"/>
          <w:vertAlign w:val="baseline"/>
        </w:rPr>
        <w:t> </w:t>
      </w:r>
      <w:r>
        <w:rPr>
          <w:vertAlign w:val="baseline"/>
        </w:rPr>
        <w:t>that</w:t>
      </w:r>
      <w:r>
        <w:rPr>
          <w:spacing w:val="-2"/>
          <w:vertAlign w:val="baseline"/>
        </w:rPr>
        <w:t> </w:t>
      </w:r>
      <w:r>
        <w:rPr>
          <w:vertAlign w:val="baseline"/>
        </w:rPr>
        <w:t>a</w:t>
      </w:r>
      <w:r>
        <w:rPr>
          <w:spacing w:val="-2"/>
          <w:vertAlign w:val="baseline"/>
        </w:rPr>
        <w:t> </w:t>
      </w:r>
      <w:r>
        <w:rPr>
          <w:vertAlign w:val="baseline"/>
        </w:rPr>
        <w:t>statement</w:t>
      </w:r>
      <w:r>
        <w:rPr>
          <w:spacing w:val="-2"/>
          <w:vertAlign w:val="baseline"/>
        </w:rPr>
        <w:t> </w:t>
      </w:r>
      <w:r>
        <w:rPr>
          <w:vertAlign w:val="baseline"/>
        </w:rPr>
        <w:t>which</w:t>
      </w:r>
      <w:r>
        <w:rPr>
          <w:spacing w:val="-2"/>
          <w:vertAlign w:val="baseline"/>
        </w:rPr>
        <w:t> </w:t>
      </w:r>
      <w:r>
        <w:rPr>
          <w:vertAlign w:val="baseline"/>
        </w:rPr>
        <w:t>might otherwise</w:t>
      </w:r>
      <w:r>
        <w:rPr>
          <w:spacing w:val="-2"/>
          <w:vertAlign w:val="baseline"/>
        </w:rPr>
        <w:t> </w:t>
      </w:r>
      <w:r>
        <w:rPr>
          <w:vertAlign w:val="baseline"/>
        </w:rPr>
        <w:t>amount</w:t>
      </w:r>
      <w:r>
        <w:rPr>
          <w:spacing w:val="-2"/>
          <w:vertAlign w:val="baseline"/>
        </w:rPr>
        <w:t> </w:t>
      </w:r>
      <w:r>
        <w:rPr>
          <w:vertAlign w:val="baseline"/>
        </w:rPr>
        <w:t>to</w:t>
      </w:r>
      <w:r>
        <w:rPr>
          <w:spacing w:val="-2"/>
          <w:vertAlign w:val="baseline"/>
        </w:rPr>
        <w:t> </w:t>
      </w:r>
      <w:r>
        <w:rPr>
          <w:vertAlign w:val="baseline"/>
        </w:rPr>
        <w:t>one</w:t>
      </w:r>
      <w:r>
        <w:rPr>
          <w:spacing w:val="-2"/>
          <w:vertAlign w:val="baseline"/>
        </w:rPr>
        <w:t> </w:t>
      </w:r>
      <w:r>
        <w:rPr>
          <w:vertAlign w:val="baseline"/>
        </w:rPr>
        <w:t>of</w:t>
      </w:r>
      <w:r>
        <w:rPr>
          <w:spacing w:val="-2"/>
          <w:vertAlign w:val="baseline"/>
        </w:rPr>
        <w:t> </w:t>
      </w:r>
      <w:r>
        <w:rPr>
          <w:vertAlign w:val="baseline"/>
        </w:rPr>
        <w:t>fact</w:t>
      </w:r>
      <w:r>
        <w:rPr>
          <w:spacing w:val="-2"/>
          <w:vertAlign w:val="baseline"/>
        </w:rPr>
        <w:t> </w:t>
      </w:r>
      <w:r>
        <w:rPr>
          <w:vertAlign w:val="baseline"/>
        </w:rPr>
        <w:t>will</w:t>
      </w:r>
      <w:r>
        <w:rPr>
          <w:spacing w:val="-2"/>
          <w:vertAlign w:val="baseline"/>
        </w:rPr>
        <w:t> </w:t>
      </w:r>
      <w:r>
        <w:rPr>
          <w:vertAlign w:val="baseline"/>
        </w:rPr>
        <w:t>be</w:t>
      </w:r>
      <w:r>
        <w:rPr>
          <w:spacing w:val="-2"/>
          <w:vertAlign w:val="baseline"/>
        </w:rPr>
        <w:t> </w:t>
      </w:r>
      <w:r>
        <w:rPr>
          <w:vertAlign w:val="baseline"/>
        </w:rPr>
        <w:t>treated</w:t>
      </w:r>
      <w:r>
        <w:rPr>
          <w:spacing w:val="-2"/>
          <w:vertAlign w:val="baseline"/>
        </w:rPr>
        <w:t> </w:t>
      </w:r>
      <w:r>
        <w:rPr>
          <w:vertAlign w:val="baseline"/>
        </w:rPr>
        <w:t>as</w:t>
      </w:r>
      <w:r>
        <w:rPr>
          <w:spacing w:val="-2"/>
          <w:vertAlign w:val="baseline"/>
        </w:rPr>
        <w:t> </w:t>
      </w:r>
      <w:r>
        <w:rPr>
          <w:vertAlign w:val="baseline"/>
        </w:rPr>
        <w:t>merely</w:t>
      </w:r>
      <w:r>
        <w:rPr>
          <w:spacing w:val="-2"/>
          <w:vertAlign w:val="baseline"/>
        </w:rPr>
        <w:t> </w:t>
      </w:r>
      <w:r>
        <w:rPr>
          <w:vertAlign w:val="baseline"/>
        </w:rPr>
        <w:t>one</w:t>
      </w:r>
      <w:r>
        <w:rPr>
          <w:spacing w:val="-2"/>
          <w:vertAlign w:val="baseline"/>
        </w:rPr>
        <w:t> </w:t>
      </w:r>
      <w:r>
        <w:rPr>
          <w:vertAlign w:val="baseline"/>
        </w:rPr>
        <w:t>of</w:t>
      </w:r>
      <w:r>
        <w:rPr>
          <w:spacing w:val="-2"/>
          <w:vertAlign w:val="baseline"/>
        </w:rPr>
        <w:t> </w:t>
      </w:r>
      <w:r>
        <w:rPr>
          <w:vertAlign w:val="baseline"/>
        </w:rPr>
        <w:t>opinion.</w:t>
      </w:r>
      <w:r>
        <w:rPr>
          <w:spacing w:val="-3"/>
          <w:vertAlign w:val="baseline"/>
        </w:rPr>
        <w:t> </w:t>
      </w:r>
      <w:r>
        <w:rPr>
          <w:color w:val="005DA1"/>
          <w:u w:val="single" w:color="005DA1"/>
          <w:vertAlign w:val="superscript"/>
        </w:rPr>
        <w:t>44</w:t>
      </w:r>
      <w:r>
        <w:rPr>
          <w:color w:val="005DA1"/>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other</w:t>
      </w:r>
      <w:r>
        <w:rPr>
          <w:spacing w:val="-2"/>
          <w:vertAlign w:val="baseline"/>
        </w:rPr>
        <w:t> </w:t>
      </w:r>
      <w:r>
        <w:rPr>
          <w:vertAlign w:val="baseline"/>
        </w:rPr>
        <w:t>hand,</w:t>
      </w:r>
      <w:r>
        <w:rPr>
          <w:spacing w:val="-2"/>
          <w:vertAlign w:val="baseline"/>
        </w:rPr>
        <w:t> </w:t>
      </w:r>
      <w:r>
        <w:rPr>
          <w:vertAlign w:val="baseline"/>
        </w:rPr>
        <w:t>the</w:t>
      </w:r>
      <w:r>
        <w:rPr>
          <w:spacing w:val="-2"/>
          <w:vertAlign w:val="baseline"/>
        </w:rPr>
        <w:t> </w:t>
      </w:r>
      <w:r>
        <w:rPr>
          <w:vertAlign w:val="baseline"/>
        </w:rPr>
        <w:t>fact that the party who makes a statement is known not to have personal knowledge does not prevent the </w:t>
      </w:r>
      <w:bookmarkStart w:name="_bookmark57" w:id="59"/>
      <w:bookmarkEnd w:id="59"/>
      <w:r>
        <w:rPr>
          <w:vertAlign w:val="baseline"/>
        </w:rPr>
        <w:t>statement</w:t>
      </w:r>
      <w:r>
        <w:rPr>
          <w:vertAlign w:val="baseline"/>
        </w:rPr>
        <w:t> from being one of fact if he can reasonably be expected to obtain the information and to pass it on. </w:t>
      </w:r>
      <w:r>
        <w:rPr>
          <w:color w:val="005DA1"/>
          <w:u w:val="single" w:color="005DA1"/>
          <w:vertAlign w:val="superscript"/>
        </w:rPr>
        <w:t>45</w:t>
      </w:r>
    </w:p>
    <w:p>
      <w:pPr>
        <w:pStyle w:val="BodyText"/>
      </w:pPr>
    </w:p>
    <w:p>
      <w:pPr>
        <w:pStyle w:val="BodyText"/>
        <w:spacing w:before="34"/>
      </w:pPr>
    </w:p>
    <w:p>
      <w:pPr>
        <w:spacing w:before="0"/>
        <w:ind w:left="165" w:right="0" w:firstLine="0"/>
        <w:jc w:val="left"/>
        <w:rPr>
          <w:rFonts w:ascii="Arial"/>
          <w:b/>
          <w:sz w:val="18"/>
        </w:rPr>
      </w:pPr>
      <w:r>
        <w:rPr>
          <w:rFonts w:ascii="Arial"/>
          <w:b/>
          <w:sz w:val="18"/>
        </w:rPr>
        <w:t>Information passed </w:t>
      </w:r>
      <w:r>
        <w:rPr>
          <w:rFonts w:ascii="Arial"/>
          <w:b/>
          <w:spacing w:val="-5"/>
          <w:sz w:val="18"/>
        </w:rPr>
        <w:t>on</w:t>
      </w:r>
    </w:p>
    <w:p>
      <w:pPr>
        <w:pStyle w:val="BodyText"/>
        <w:spacing w:before="41"/>
        <w:rPr>
          <w:rFonts w:ascii="Arial"/>
          <w:b/>
          <w:sz w:val="18"/>
        </w:rPr>
      </w:pPr>
    </w:p>
    <w:p>
      <w:pPr>
        <w:pStyle w:val="Heading2"/>
      </w:pPr>
      <w:r>
        <w:rPr/>
        <w:t>7-</w:t>
      </w:r>
      <w:r>
        <w:rPr>
          <w:spacing w:val="-5"/>
        </w:rPr>
        <w:t>011</w:t>
      </w:r>
    </w:p>
    <w:p>
      <w:pPr>
        <w:pStyle w:val="BodyText"/>
        <w:spacing w:before="199"/>
        <w:ind w:left="165"/>
        <w:jc w:val="both"/>
      </w:pPr>
      <w:r>
        <w:rPr/>
        <w:t>If a person passes on information which has been supplied to </w:t>
      </w:r>
      <w:r>
        <w:rPr>
          <w:spacing w:val="-4"/>
        </w:rPr>
        <w:t>him,</w:t>
      </w:r>
    </w:p>
    <w:p>
      <w:pPr>
        <w:pStyle w:val="BodyText"/>
      </w:pPr>
    </w:p>
    <w:p>
      <w:pPr>
        <w:pStyle w:val="BodyText"/>
        <w:spacing w:before="122"/>
      </w:pPr>
    </w:p>
    <w:p>
      <w:pPr>
        <w:pStyle w:val="BodyText"/>
        <w:ind w:left="1245"/>
      </w:pPr>
      <w:r>
        <w:rPr/>
        <w:t>“he</w:t>
      </w:r>
      <w:r>
        <w:rPr>
          <w:spacing w:val="3"/>
        </w:rPr>
        <w:t> </w:t>
      </w:r>
      <w:r>
        <w:rPr/>
        <w:t>may</w:t>
      </w:r>
      <w:r>
        <w:rPr>
          <w:spacing w:val="3"/>
        </w:rPr>
        <w:t> </w:t>
      </w:r>
      <w:r>
        <w:rPr/>
        <w:t>simply</w:t>
      </w:r>
      <w:r>
        <w:rPr>
          <w:spacing w:val="3"/>
        </w:rPr>
        <w:t> </w:t>
      </w:r>
      <w:r>
        <w:rPr/>
        <w:t>pass</w:t>
      </w:r>
      <w:r>
        <w:rPr>
          <w:spacing w:val="3"/>
        </w:rPr>
        <w:t> </w:t>
      </w:r>
      <w:r>
        <w:rPr/>
        <w:t>it</w:t>
      </w:r>
      <w:r>
        <w:rPr>
          <w:spacing w:val="3"/>
        </w:rPr>
        <w:t> </w:t>
      </w:r>
      <w:r>
        <w:rPr/>
        <w:t>on</w:t>
      </w:r>
      <w:r>
        <w:rPr>
          <w:spacing w:val="3"/>
        </w:rPr>
        <w:t> </w:t>
      </w:r>
      <w:r>
        <w:rPr/>
        <w:t>as</w:t>
      </w:r>
      <w:r>
        <w:rPr>
          <w:spacing w:val="3"/>
        </w:rPr>
        <w:t> </w:t>
      </w:r>
      <w:r>
        <w:rPr/>
        <w:t>information,</w:t>
      </w:r>
      <w:r>
        <w:rPr>
          <w:spacing w:val="3"/>
        </w:rPr>
        <w:t> </w:t>
      </w:r>
      <w:r>
        <w:rPr/>
        <w:t>or</w:t>
      </w:r>
      <w:r>
        <w:rPr>
          <w:spacing w:val="3"/>
        </w:rPr>
        <w:t> </w:t>
      </w:r>
      <w:r>
        <w:rPr/>
        <w:t>he</w:t>
      </w:r>
      <w:r>
        <w:rPr>
          <w:spacing w:val="3"/>
        </w:rPr>
        <w:t> </w:t>
      </w:r>
      <w:r>
        <w:rPr/>
        <w:t>may</w:t>
      </w:r>
      <w:r>
        <w:rPr>
          <w:spacing w:val="3"/>
        </w:rPr>
        <w:t> </w:t>
      </w:r>
      <w:r>
        <w:rPr/>
        <w:t>adopt</w:t>
      </w:r>
      <w:r>
        <w:rPr>
          <w:spacing w:val="3"/>
        </w:rPr>
        <w:t> </w:t>
      </w:r>
      <w:r>
        <w:rPr/>
        <w:t>it</w:t>
      </w:r>
      <w:r>
        <w:rPr>
          <w:spacing w:val="3"/>
        </w:rPr>
        <w:t> </w:t>
      </w:r>
      <w:r>
        <w:rPr/>
        <w:t>as</w:t>
      </w:r>
      <w:r>
        <w:rPr>
          <w:spacing w:val="3"/>
        </w:rPr>
        <w:t> </w:t>
      </w:r>
      <w:r>
        <w:rPr/>
        <w:t>his</w:t>
      </w:r>
      <w:r>
        <w:rPr>
          <w:spacing w:val="3"/>
        </w:rPr>
        <w:t> </w:t>
      </w:r>
      <w:r>
        <w:rPr/>
        <w:t>own</w:t>
      </w:r>
      <w:r>
        <w:rPr>
          <w:spacing w:val="3"/>
        </w:rPr>
        <w:t> </w:t>
      </w:r>
      <w:r>
        <w:rPr/>
        <w:t>statement</w:t>
      </w:r>
      <w:r>
        <w:rPr>
          <w:spacing w:val="3"/>
        </w:rPr>
        <w:t> </w:t>
      </w:r>
      <w:r>
        <w:rPr/>
        <w:t>of</w:t>
      </w:r>
      <w:r>
        <w:rPr>
          <w:spacing w:val="3"/>
        </w:rPr>
        <w:t> </w:t>
      </w:r>
      <w:r>
        <w:rPr>
          <w:spacing w:val="-2"/>
        </w:rPr>
        <w:t>fact.</w:t>
      </w:r>
    </w:p>
    <w:p>
      <w:pPr>
        <w:pStyle w:val="BodyText"/>
        <w:spacing w:after="0"/>
        <w:sectPr>
          <w:pgSz w:w="11900" w:h="16840"/>
          <w:pgMar w:header="971" w:footer="0" w:top="1160" w:bottom="280" w:left="1275" w:right="1275"/>
        </w:sectPr>
      </w:pPr>
    </w:p>
    <w:p>
      <w:pPr>
        <w:pStyle w:val="BodyText"/>
      </w:pPr>
    </w:p>
    <w:p>
      <w:pPr>
        <w:pStyle w:val="BodyText"/>
        <w:spacing w:before="81"/>
      </w:pPr>
    </w:p>
    <w:p>
      <w:pPr>
        <w:pStyle w:val="BodyText"/>
        <w:spacing w:line="235" w:lineRule="auto"/>
        <w:ind w:left="1245" w:right="167"/>
        <w:jc w:val="both"/>
      </w:pPr>
      <w:r>
        <w:rPr/>
        <w:t>If he passes it on merely as information, he may be guilty of a misrepresentation if </w:t>
      </w:r>
      <w:r>
        <w:rPr/>
        <w:t>he does not fairly set out the information (e.g. where he passes on parts of a surveyor’s report but omits qualifications to the surveyor’s opinion). But otherwise he does not adopt it as his own. He may also make implicit representations by passing on the information”,</w:t>
      </w:r>
    </w:p>
    <w:p>
      <w:pPr>
        <w:pStyle w:val="BodyText"/>
        <w:spacing w:before="116"/>
      </w:pPr>
    </w:p>
    <w:p>
      <w:pPr>
        <w:pStyle w:val="BodyText"/>
        <w:spacing w:line="235" w:lineRule="auto"/>
        <w:ind w:left="165"/>
      </w:pPr>
      <w:bookmarkStart w:name="_bookmark58" w:id="60"/>
      <w:bookmarkEnd w:id="60"/>
      <w:r>
        <w:rPr/>
      </w:r>
      <w:bookmarkStart w:name="_bookmark59" w:id="61"/>
      <w:bookmarkEnd w:id="61"/>
      <w:r>
        <w:rPr/>
      </w:r>
      <w:r>
        <w:rPr/>
        <w:t>such as that he is not aware of anything that prevented it from being accurate. </w:t>
      </w:r>
      <w:r>
        <w:rPr>
          <w:color w:val="005DA1"/>
          <w:u w:val="single" w:color="005DA1"/>
          <w:vertAlign w:val="superscript"/>
        </w:rPr>
        <w:t>46</w:t>
      </w:r>
      <w:r>
        <w:rPr>
          <w:color w:val="005DA1"/>
          <w:vertAlign w:val="baseline"/>
        </w:rPr>
        <w:t> </w:t>
      </w:r>
      <w:r>
        <w:rPr>
          <w:vertAlign w:val="baseline"/>
        </w:rPr>
        <w:t>Whether the party is passing the information on or adopting it is a question of interpretation on the facts. </w:t>
      </w:r>
      <w:r>
        <w:rPr>
          <w:color w:val="005DA1"/>
          <w:u w:val="single" w:color="005DA1"/>
          <w:vertAlign w:val="superscript"/>
        </w:rPr>
        <w:t>47</w:t>
      </w:r>
    </w:p>
    <w:p>
      <w:pPr>
        <w:pStyle w:val="BodyText"/>
      </w:pPr>
    </w:p>
    <w:p>
      <w:pPr>
        <w:pStyle w:val="BodyText"/>
        <w:spacing w:before="37"/>
      </w:pPr>
    </w:p>
    <w:p>
      <w:pPr>
        <w:spacing w:before="1"/>
        <w:ind w:left="165" w:right="0" w:firstLine="0"/>
        <w:jc w:val="left"/>
        <w:rPr>
          <w:rFonts w:ascii="Arial"/>
          <w:b/>
          <w:sz w:val="18"/>
        </w:rPr>
      </w:pPr>
      <w:r>
        <w:rPr>
          <w:rFonts w:ascii="Arial"/>
          <w:b/>
          <w:sz w:val="18"/>
        </w:rPr>
        <w:t>Statement of intention not honestly </w:t>
      </w:r>
      <w:r>
        <w:rPr>
          <w:rFonts w:ascii="Arial"/>
          <w:b/>
          <w:spacing w:val="-4"/>
          <w:sz w:val="18"/>
        </w:rPr>
        <w:t>held</w:t>
      </w:r>
    </w:p>
    <w:p>
      <w:pPr>
        <w:pStyle w:val="BodyText"/>
        <w:spacing w:before="41"/>
        <w:rPr>
          <w:rFonts w:ascii="Arial"/>
          <w:b/>
          <w:sz w:val="18"/>
        </w:rPr>
      </w:pPr>
    </w:p>
    <w:p>
      <w:pPr>
        <w:pStyle w:val="Heading2"/>
      </w:pPr>
      <w:r>
        <w:rPr/>
        <w:t>7-</w:t>
      </w:r>
      <w:r>
        <w:rPr>
          <w:spacing w:val="-5"/>
        </w:rPr>
        <w:t>012</w:t>
      </w:r>
    </w:p>
    <w:p>
      <w:pPr>
        <w:pStyle w:val="BodyText"/>
        <w:spacing w:before="9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A statement of intention may be looked upon as a misrepresentation of existing fact if, at the </w:t>
      </w:r>
      <w:r>
        <w:rPr/>
        <w:t>time when it was made, the person making the statement did not in fact intend to do what he said or knew </w:t>
      </w:r>
      <w:bookmarkStart w:name="_bookmark60" w:id="62"/>
      <w:bookmarkEnd w:id="62"/>
      <w:r>
        <w:rPr/>
        <w:t>that</w:t>
      </w:r>
      <w:r>
        <w:rPr>
          <w:spacing w:val="6"/>
        </w:rPr>
        <w:t> </w:t>
      </w:r>
      <w:r>
        <w:rPr/>
        <w:t>he</w:t>
      </w:r>
      <w:r>
        <w:rPr>
          <w:spacing w:val="6"/>
        </w:rPr>
        <w:t> </w:t>
      </w:r>
      <w:r>
        <w:rPr/>
        <w:t>did</w:t>
      </w:r>
      <w:r>
        <w:rPr>
          <w:spacing w:val="6"/>
        </w:rPr>
        <w:t> </w:t>
      </w:r>
      <w:r>
        <w:rPr/>
        <w:t>not</w:t>
      </w:r>
      <w:r>
        <w:rPr>
          <w:spacing w:val="6"/>
        </w:rPr>
        <w:t> </w:t>
      </w:r>
      <w:r>
        <w:rPr/>
        <w:t>have</w:t>
      </w:r>
      <w:r>
        <w:rPr>
          <w:spacing w:val="6"/>
        </w:rPr>
        <w:t> </w:t>
      </w:r>
      <w:r>
        <w:rPr/>
        <w:t>the</w:t>
      </w:r>
      <w:r>
        <w:rPr>
          <w:spacing w:val="6"/>
        </w:rPr>
        <w:t> </w:t>
      </w:r>
      <w:r>
        <w:rPr/>
        <w:t>ability</w:t>
      </w:r>
      <w:r>
        <w:rPr>
          <w:spacing w:val="6"/>
        </w:rPr>
        <w:t> </w:t>
      </w:r>
      <w:r>
        <w:rPr/>
        <w:t>to</w:t>
      </w:r>
      <w:r>
        <w:rPr>
          <w:spacing w:val="6"/>
        </w:rPr>
        <w:t> </w:t>
      </w:r>
      <w:r>
        <w:rPr/>
        <w:t>put</w:t>
      </w:r>
      <w:r>
        <w:rPr>
          <w:spacing w:val="6"/>
        </w:rPr>
        <w:t> </w:t>
      </w:r>
      <w:r>
        <w:rPr/>
        <w:t>the</w:t>
      </w:r>
      <w:r>
        <w:rPr>
          <w:spacing w:val="6"/>
        </w:rPr>
        <w:t> </w:t>
      </w:r>
      <w:r>
        <w:rPr/>
        <w:t>intention</w:t>
      </w:r>
      <w:r>
        <w:rPr>
          <w:spacing w:val="6"/>
        </w:rPr>
        <w:t> </w:t>
      </w:r>
      <w:r>
        <w:rPr/>
        <w:t>into</w:t>
      </w:r>
      <w:r>
        <w:rPr>
          <w:spacing w:val="6"/>
        </w:rPr>
        <w:t> </w:t>
      </w:r>
      <w:r>
        <w:rPr/>
        <w:t>effect;</w:t>
      </w:r>
      <w:r>
        <w:rPr>
          <w:spacing w:val="6"/>
        </w:rPr>
        <w:t> </w:t>
      </w:r>
      <w:r>
        <w:rPr/>
        <w:t>for</w:t>
      </w:r>
      <w:r>
        <w:rPr>
          <w:spacing w:val="6"/>
        </w:rPr>
        <w:t> </w:t>
      </w:r>
      <w:r>
        <w:rPr/>
        <w:t>the</w:t>
      </w:r>
      <w:r>
        <w:rPr>
          <w:spacing w:val="6"/>
        </w:rPr>
        <w:t> </w:t>
      </w:r>
      <w:r>
        <w:rPr/>
        <w:t>promisor’s</w:t>
      </w:r>
      <w:r>
        <w:rPr>
          <w:spacing w:val="6"/>
        </w:rPr>
        <w:t> </w:t>
      </w:r>
      <w:r>
        <w:rPr/>
        <w:t>state</w:t>
      </w:r>
      <w:r>
        <w:rPr>
          <w:spacing w:val="6"/>
        </w:rPr>
        <w:t> </w:t>
      </w:r>
      <w:r>
        <w:rPr/>
        <w:t>of</w:t>
      </w:r>
      <w:r>
        <w:rPr>
          <w:spacing w:val="6"/>
        </w:rPr>
        <w:t> </w:t>
      </w:r>
      <w:r>
        <w:rPr/>
        <w:t>mind</w:t>
      </w:r>
      <w:r>
        <w:rPr>
          <w:spacing w:val="6"/>
        </w:rPr>
        <w:t> </w:t>
      </w:r>
      <w:r>
        <w:rPr/>
        <w:t>was</w:t>
      </w:r>
      <w:r>
        <w:rPr>
          <w:spacing w:val="6"/>
        </w:rPr>
        <w:t> </w:t>
      </w:r>
      <w:r>
        <w:rPr>
          <w:spacing w:val="-5"/>
        </w:rPr>
        <w:t>not</w:t>
      </w:r>
    </w:p>
    <w:p>
      <w:pPr>
        <w:pStyle w:val="BodyText"/>
        <w:spacing w:line="235" w:lineRule="auto" w:before="118"/>
        <w:ind w:left="164" w:right="167"/>
        <w:jc w:val="both"/>
      </w:pPr>
      <w:bookmarkStart w:name="_bookmark61" w:id="63"/>
      <w:bookmarkEnd w:id="63"/>
      <w:r>
        <w:rPr/>
      </w:r>
      <w:r>
        <w:rPr/>
        <w:t>what he led the other party to believe it to be. </w:t>
      </w:r>
      <w:r>
        <w:rPr>
          <w:color w:val="005DA1"/>
          <w:u w:val="single" w:color="005DA1"/>
          <w:vertAlign w:val="superscript"/>
        </w:rPr>
        <w:t>48</w:t>
      </w:r>
      <w:r>
        <w:rPr>
          <w:color w:val="005DA1"/>
          <w:spacing w:val="80"/>
          <w:vertAlign w:val="baseline"/>
        </w:rPr>
        <w:t> </w:t>
      </w:r>
      <w:r>
        <w:rPr>
          <w:color w:val="005DA1"/>
          <w:spacing w:val="24"/>
          <w:position w:val="-2"/>
          <w:vertAlign w:val="baseline"/>
        </w:rPr>
        <w:drawing>
          <wp:inline distT="0" distB="0" distL="0" distR="0">
            <wp:extent cx="107988" cy="107988"/>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r>
        <w:rPr>
          <w:rFonts w:ascii="Times New Roman"/>
          <w:color w:val="005DA1"/>
          <w:spacing w:val="-12"/>
          <w:vertAlign w:val="baseline"/>
        </w:rPr>
        <w:t> </w:t>
      </w:r>
      <w:r>
        <w:rPr>
          <w:vertAlign w:val="baseline"/>
        </w:rPr>
        <w:t>Thus, where a man ordered goods having at the time the intention not to pay for them, he was held to have made a fraudulent misrepresentation. </w:t>
      </w:r>
      <w:r>
        <w:rPr>
          <w:color w:val="005DA1"/>
          <w:u w:val="single" w:color="005DA1"/>
          <w:vertAlign w:val="superscript"/>
        </w:rPr>
        <w:t>49</w:t>
      </w:r>
      <w:r>
        <w:rPr>
          <w:color w:val="005DA1"/>
          <w:vertAlign w:val="baseline"/>
        </w:rPr>
        <w:t> </w:t>
      </w:r>
      <w:r>
        <w:rPr>
          <w:vertAlign w:val="baseline"/>
        </w:rPr>
        <w:t>Equally, if a person makes a statement of an intention that he should have known he was not able to </w:t>
      </w:r>
      <w:bookmarkStart w:name="_bookmark62" w:id="64"/>
      <w:bookmarkEnd w:id="64"/>
      <w:r>
        <w:rPr>
          <w:vertAlign w:val="baseline"/>
        </w:rPr>
        <w:t>carry</w:t>
      </w:r>
      <w:r>
        <w:rPr>
          <w:vertAlign w:val="baseline"/>
        </w:rPr>
        <w:t> out, in appropriate circumstances he may be held to have made an implied representation that </w:t>
      </w:r>
      <w:bookmarkStart w:name="_bookmark63" w:id="65"/>
      <w:bookmarkEnd w:id="65"/>
      <w:r>
        <w:rPr>
          <w:vertAlign w:val="baseline"/>
        </w:rPr>
        <w:t>he</w:t>
      </w:r>
      <w:r>
        <w:rPr>
          <w:vertAlign w:val="baseline"/>
        </w:rPr>
        <w:t> did have that ability. </w:t>
      </w:r>
      <w:r>
        <w:rPr>
          <w:color w:val="005DA1"/>
          <w:u w:val="single" w:color="005DA1"/>
          <w:vertAlign w:val="superscript"/>
        </w:rPr>
        <w:t>50</w:t>
      </w:r>
      <w:r>
        <w:rPr>
          <w:color w:val="005DA1"/>
          <w:vertAlign w:val="baseline"/>
        </w:rPr>
        <w:t> </w:t>
      </w:r>
      <w:r>
        <w:rPr>
          <w:vertAlign w:val="baseline"/>
        </w:rPr>
        <w:t>There is no doubt that a statement as to the intentions of a third party is </w:t>
      </w:r>
      <w:r>
        <w:rPr>
          <w:vertAlign w:val="baseline"/>
        </w:rPr>
        <w:t>a statement of fact and can constitute a misrepresentation in the ordinary way. </w:t>
      </w:r>
      <w:r>
        <w:rPr>
          <w:color w:val="005DA1"/>
          <w:u w:val="single" w:color="005DA1"/>
          <w:vertAlign w:val="superscript"/>
        </w:rPr>
        <w:t>51</w:t>
      </w:r>
    </w:p>
    <w:p>
      <w:pPr>
        <w:pStyle w:val="BodyText"/>
      </w:pPr>
    </w:p>
    <w:p>
      <w:pPr>
        <w:pStyle w:val="BodyText"/>
        <w:spacing w:before="37"/>
      </w:pPr>
    </w:p>
    <w:p>
      <w:pPr>
        <w:spacing w:before="0"/>
        <w:ind w:left="165" w:right="0" w:firstLine="0"/>
        <w:jc w:val="both"/>
        <w:rPr>
          <w:rFonts w:ascii="Arial"/>
          <w:b/>
          <w:sz w:val="18"/>
        </w:rPr>
      </w:pPr>
      <w:r>
        <w:rPr>
          <w:rFonts w:ascii="Arial"/>
          <w:b/>
          <w:sz w:val="18"/>
        </w:rPr>
        <w:t>Statement as to future may carry implication of </w:t>
      </w:r>
      <w:r>
        <w:rPr>
          <w:rFonts w:ascii="Arial"/>
          <w:b/>
          <w:spacing w:val="-4"/>
          <w:sz w:val="18"/>
        </w:rPr>
        <w:t>fact</w:t>
      </w:r>
    </w:p>
    <w:p>
      <w:pPr>
        <w:pStyle w:val="BodyText"/>
        <w:spacing w:before="41"/>
        <w:rPr>
          <w:rFonts w:ascii="Arial"/>
          <w:b/>
          <w:sz w:val="18"/>
        </w:rPr>
      </w:pPr>
    </w:p>
    <w:p>
      <w:pPr>
        <w:pStyle w:val="Heading2"/>
      </w:pPr>
      <w:r>
        <w:rPr/>
        <w:t>7-</w:t>
      </w:r>
      <w:r>
        <w:rPr>
          <w:spacing w:val="-5"/>
        </w:rPr>
        <w:t>013</w:t>
      </w:r>
    </w:p>
    <w:p>
      <w:pPr>
        <w:pStyle w:val="BodyText"/>
        <w:spacing w:line="235" w:lineRule="auto" w:before="203"/>
        <w:ind w:left="164" w:right="167"/>
        <w:jc w:val="both"/>
      </w:pPr>
      <w:bookmarkStart w:name="_bookmark64" w:id="66"/>
      <w:bookmarkEnd w:id="66"/>
      <w:r>
        <w:rPr/>
      </w:r>
      <w:r>
        <w:rPr/>
        <w:t>A statement of intention or as to the future may carry the implication that the party making it does not know of facts that will make it impossible to carry out the intention. </w:t>
      </w:r>
      <w:r>
        <w:rPr>
          <w:color w:val="005DA1"/>
          <w:u w:val="single" w:color="005DA1"/>
          <w:vertAlign w:val="superscript"/>
        </w:rPr>
        <w:t>52</w:t>
      </w:r>
      <w:r>
        <w:rPr>
          <w:color w:val="005DA1"/>
          <w:vertAlign w:val="baseline"/>
        </w:rPr>
        <w:t> </w:t>
      </w:r>
      <w:r>
        <w:rPr>
          <w:vertAlign w:val="baseline"/>
        </w:rPr>
        <w:t>But “there is no rule of law </w:t>
      </w:r>
      <w:r>
        <w:rPr>
          <w:vertAlign w:val="baseline"/>
        </w:rPr>
        <w:t>that </w:t>
      </w:r>
      <w:bookmarkStart w:name="_bookmark65" w:id="67"/>
      <w:bookmarkEnd w:id="67"/>
      <w:r>
        <w:rPr>
          <w:vertAlign w:val="baseline"/>
        </w:rPr>
        <w:t>any</w:t>
      </w:r>
      <w:r>
        <w:rPr>
          <w:vertAlign w:val="baseline"/>
        </w:rPr>
        <w:t> particular statement carries with it any particular implication. All depends upon the particular statement in its particular context”. </w:t>
      </w:r>
      <w:r>
        <w:rPr>
          <w:color w:val="005DA1"/>
          <w:u w:val="single" w:color="005DA1"/>
          <w:vertAlign w:val="superscript"/>
        </w:rPr>
        <w:t>53</w:t>
      </w:r>
    </w:p>
    <w:p>
      <w:pPr>
        <w:pStyle w:val="BodyText"/>
      </w:pPr>
    </w:p>
    <w:p>
      <w:pPr>
        <w:pStyle w:val="BodyText"/>
        <w:spacing w:before="37"/>
      </w:pPr>
    </w:p>
    <w:p>
      <w:pPr>
        <w:spacing w:before="0"/>
        <w:ind w:left="165" w:right="0" w:firstLine="0"/>
        <w:jc w:val="left"/>
        <w:rPr>
          <w:rFonts w:ascii="Arial"/>
          <w:b/>
          <w:sz w:val="18"/>
        </w:rPr>
      </w:pPr>
      <w:r>
        <w:rPr>
          <w:rFonts w:ascii="Arial"/>
          <w:b/>
          <w:sz w:val="18"/>
        </w:rPr>
        <w:t>Implied </w:t>
      </w:r>
      <w:r>
        <w:rPr>
          <w:rFonts w:ascii="Arial"/>
          <w:b/>
          <w:spacing w:val="-2"/>
          <w:sz w:val="18"/>
        </w:rPr>
        <w:t>representations</w:t>
      </w:r>
    </w:p>
    <w:p>
      <w:pPr>
        <w:pStyle w:val="BodyText"/>
        <w:spacing w:before="41"/>
        <w:rPr>
          <w:rFonts w:ascii="Arial"/>
          <w:b/>
          <w:sz w:val="18"/>
        </w:rPr>
      </w:pPr>
    </w:p>
    <w:p>
      <w:pPr>
        <w:pStyle w:val="Heading2"/>
      </w:pPr>
      <w:r>
        <w:rPr/>
        <w:t>7-</w:t>
      </w:r>
      <w:r>
        <w:rPr>
          <w:spacing w:val="-5"/>
        </w:rPr>
        <w:t>014</w:t>
      </w:r>
    </w:p>
    <w:p>
      <w:pPr>
        <w:pStyle w:val="BodyText"/>
        <w:spacing w:line="235" w:lineRule="auto" w:before="203"/>
        <w:ind w:left="165" w:right="167"/>
        <w:jc w:val="both"/>
        <w:rPr>
          <w:rFonts w:ascii="Arial"/>
          <w:i/>
        </w:rPr>
      </w:pPr>
      <w:bookmarkStart w:name="_bookmark66" w:id="68"/>
      <w:bookmarkEnd w:id="68"/>
      <w:r>
        <w:rPr/>
      </w:r>
      <w:r>
        <w:rPr>
          <w:rFonts w:ascii="Arial"/>
          <w:i/>
        </w:rPr>
        <w:t>Brown v Raphael </w:t>
      </w:r>
      <w:r>
        <w:rPr>
          <w:color w:val="005DA1"/>
          <w:u w:val="single" w:color="005DA1"/>
          <w:vertAlign w:val="superscript"/>
        </w:rPr>
        <w:t>54</w:t>
      </w:r>
      <w:r>
        <w:rPr>
          <w:color w:val="005DA1"/>
          <w:vertAlign w:val="baseline"/>
        </w:rPr>
        <w:t> </w:t>
      </w:r>
      <w:r>
        <w:rPr>
          <w:vertAlign w:val="baseline"/>
        </w:rPr>
        <w:t>could be regarded as a case of an implied representation; there are a number </w:t>
      </w:r>
      <w:r>
        <w:rPr>
          <w:vertAlign w:val="baseline"/>
        </w:rPr>
        <w:t>of </w:t>
      </w:r>
      <w:bookmarkStart w:name="_bookmark67" w:id="69"/>
      <w:bookmarkEnd w:id="69"/>
      <w:r>
        <w:rPr>
          <w:vertAlign w:val="baseline"/>
        </w:rPr>
        <w:t>other</w:t>
      </w:r>
      <w:r>
        <w:rPr>
          <w:vertAlign w:val="baseline"/>
        </w:rPr>
        <w:t> cases which can also be regarded as instances of implied representations, though this category overlaps</w:t>
      </w:r>
      <w:r>
        <w:rPr>
          <w:spacing w:val="3"/>
          <w:vertAlign w:val="baseline"/>
        </w:rPr>
        <w:t> </w:t>
      </w:r>
      <w:r>
        <w:rPr>
          <w:vertAlign w:val="baseline"/>
        </w:rPr>
        <w:t>with</w:t>
      </w:r>
      <w:r>
        <w:rPr>
          <w:spacing w:val="3"/>
          <w:vertAlign w:val="baseline"/>
        </w:rPr>
        <w:t> </w:t>
      </w:r>
      <w:r>
        <w:rPr>
          <w:vertAlign w:val="baseline"/>
        </w:rPr>
        <w:t>that</w:t>
      </w:r>
      <w:r>
        <w:rPr>
          <w:spacing w:val="3"/>
          <w:vertAlign w:val="baseline"/>
        </w:rPr>
        <w:t> </w:t>
      </w:r>
      <w:r>
        <w:rPr>
          <w:vertAlign w:val="baseline"/>
        </w:rPr>
        <w:t>of</w:t>
      </w:r>
      <w:r>
        <w:rPr>
          <w:spacing w:val="4"/>
          <w:vertAlign w:val="baseline"/>
        </w:rPr>
        <w:t> </w:t>
      </w:r>
      <w:r>
        <w:rPr>
          <w:vertAlign w:val="baseline"/>
        </w:rPr>
        <w:t>representations</w:t>
      </w:r>
      <w:r>
        <w:rPr>
          <w:spacing w:val="3"/>
          <w:vertAlign w:val="baseline"/>
        </w:rPr>
        <w:t> </w:t>
      </w:r>
      <w:r>
        <w:rPr>
          <w:vertAlign w:val="baseline"/>
        </w:rPr>
        <w:t>by</w:t>
      </w:r>
      <w:r>
        <w:rPr>
          <w:spacing w:val="3"/>
          <w:vertAlign w:val="baseline"/>
        </w:rPr>
        <w:t> </w:t>
      </w:r>
      <w:r>
        <w:rPr>
          <w:vertAlign w:val="baseline"/>
        </w:rPr>
        <w:t>conduct.</w:t>
      </w:r>
      <w:r>
        <w:rPr>
          <w:spacing w:val="4"/>
          <w:vertAlign w:val="baseline"/>
        </w:rPr>
        <w:t> </w:t>
      </w:r>
      <w:r>
        <w:rPr>
          <w:color w:val="005DA1"/>
          <w:u w:val="single" w:color="005DA1"/>
          <w:vertAlign w:val="superscript"/>
        </w:rPr>
        <w:t>55</w:t>
      </w:r>
      <w:r>
        <w:rPr>
          <w:color w:val="005DA1"/>
          <w:spacing w:val="3"/>
          <w:vertAlign w:val="baseline"/>
        </w:rPr>
        <w:t> </w:t>
      </w:r>
      <w:r>
        <w:rPr>
          <w:vertAlign w:val="baseline"/>
        </w:rPr>
        <w:t>Thus</w:t>
      </w:r>
      <w:r>
        <w:rPr>
          <w:spacing w:val="3"/>
          <w:vertAlign w:val="baseline"/>
        </w:rPr>
        <w:t> </w:t>
      </w:r>
      <w:r>
        <w:rPr>
          <w:vertAlign w:val="baseline"/>
        </w:rPr>
        <w:t>in</w:t>
      </w:r>
      <w:r>
        <w:rPr>
          <w:spacing w:val="4"/>
          <w:vertAlign w:val="baseline"/>
        </w:rPr>
        <w:t> </w:t>
      </w:r>
      <w:r>
        <w:rPr>
          <w:rFonts w:ascii="Arial"/>
          <w:i/>
          <w:vertAlign w:val="baseline"/>
        </w:rPr>
        <w:t>Spice</w:t>
      </w:r>
      <w:r>
        <w:rPr>
          <w:rFonts w:ascii="Arial"/>
          <w:i/>
          <w:spacing w:val="3"/>
          <w:vertAlign w:val="baseline"/>
        </w:rPr>
        <w:t> </w:t>
      </w:r>
      <w:r>
        <w:rPr>
          <w:rFonts w:ascii="Arial"/>
          <w:i/>
          <w:vertAlign w:val="baseline"/>
        </w:rPr>
        <w:t>Girls</w:t>
      </w:r>
      <w:r>
        <w:rPr>
          <w:rFonts w:ascii="Arial"/>
          <w:i/>
          <w:spacing w:val="3"/>
          <w:vertAlign w:val="baseline"/>
        </w:rPr>
        <w:t> </w:t>
      </w:r>
      <w:r>
        <w:rPr>
          <w:rFonts w:ascii="Arial"/>
          <w:i/>
          <w:vertAlign w:val="baseline"/>
        </w:rPr>
        <w:t>Ltd</w:t>
      </w:r>
      <w:r>
        <w:rPr>
          <w:rFonts w:ascii="Arial"/>
          <w:i/>
          <w:spacing w:val="4"/>
          <w:vertAlign w:val="baseline"/>
        </w:rPr>
        <w:t> </w:t>
      </w:r>
      <w:r>
        <w:rPr>
          <w:rFonts w:ascii="Arial"/>
          <w:i/>
          <w:vertAlign w:val="baseline"/>
        </w:rPr>
        <w:t>v</w:t>
      </w:r>
      <w:r>
        <w:rPr>
          <w:rFonts w:ascii="Arial"/>
          <w:i/>
          <w:spacing w:val="3"/>
          <w:vertAlign w:val="baseline"/>
        </w:rPr>
        <w:t> </w:t>
      </w:r>
      <w:r>
        <w:rPr>
          <w:rFonts w:ascii="Arial"/>
          <w:i/>
          <w:vertAlign w:val="baseline"/>
        </w:rPr>
        <w:t>Aprilia</w:t>
      </w:r>
      <w:r>
        <w:rPr>
          <w:rFonts w:ascii="Arial"/>
          <w:i/>
          <w:spacing w:val="3"/>
          <w:vertAlign w:val="baseline"/>
        </w:rPr>
        <w:t> </w:t>
      </w:r>
      <w:r>
        <w:rPr>
          <w:rFonts w:ascii="Arial"/>
          <w:i/>
          <w:vertAlign w:val="baseline"/>
        </w:rPr>
        <w:t>World</w:t>
      </w:r>
      <w:r>
        <w:rPr>
          <w:rFonts w:ascii="Arial"/>
          <w:i/>
          <w:spacing w:val="4"/>
          <w:vertAlign w:val="baseline"/>
        </w:rPr>
        <w:t> </w:t>
      </w:r>
      <w:r>
        <w:rPr>
          <w:rFonts w:ascii="Arial"/>
          <w:i/>
          <w:vertAlign w:val="baseline"/>
        </w:rPr>
        <w:t>Service</w:t>
      </w:r>
      <w:r>
        <w:rPr>
          <w:rFonts w:ascii="Arial"/>
          <w:i/>
          <w:spacing w:val="3"/>
          <w:vertAlign w:val="baseline"/>
        </w:rPr>
        <w:t> </w:t>
      </w:r>
      <w:r>
        <w:rPr>
          <w:rFonts w:ascii="Arial"/>
          <w:i/>
          <w:spacing w:val="-5"/>
          <w:vertAlign w:val="baseline"/>
        </w:rPr>
        <w:t>BV</w:t>
      </w:r>
    </w:p>
    <w:p>
      <w:pPr>
        <w:pStyle w:val="BodyText"/>
        <w:spacing w:line="235" w:lineRule="auto"/>
        <w:ind w:left="165" w:right="167"/>
        <w:jc w:val="both"/>
      </w:pPr>
      <w:r>
        <w:rPr>
          <w:color w:val="005DA1"/>
          <w:u w:val="single" w:color="005DA1"/>
          <w:vertAlign w:val="superscript"/>
        </w:rPr>
        <w:t>56</w:t>
      </w:r>
      <w:r>
        <w:rPr>
          <w:color w:val="005DA1"/>
          <w:vertAlign w:val="baseline"/>
        </w:rPr>
        <w:t> </w:t>
      </w:r>
      <w:r>
        <w:rPr>
          <w:vertAlign w:val="baseline"/>
        </w:rPr>
        <w:t>it was held that a pop group had made an implied misrepresentation when they continued </w:t>
      </w:r>
      <w:r>
        <w:rPr>
          <w:vertAlign w:val="baseline"/>
        </w:rPr>
        <w:t>with arrangements to publicise the defendant’s products when they knew that one member of the group was intending to leave the group shortly, which would prevent the contract being carried out and the defendants deriving any benefit from the arrangement. It has been held that a description of premises </w:t>
      </w:r>
      <w:bookmarkStart w:name="_bookmark68" w:id="70"/>
      <w:bookmarkEnd w:id="70"/>
      <w:r>
        <w:rPr>
          <w:vertAlign w:val="baseline"/>
        </w:rPr>
        <w:t>as</w:t>
      </w:r>
      <w:r>
        <w:rPr>
          <w:vertAlign w:val="baseline"/>
        </w:rPr>
        <w:t> “offices” may amount to an implied representation as to the availability of the appropriate planning consents. </w:t>
      </w:r>
      <w:r>
        <w:rPr>
          <w:color w:val="005DA1"/>
          <w:u w:val="single" w:color="005DA1"/>
          <w:vertAlign w:val="superscript"/>
        </w:rPr>
        <w:t>57</w:t>
      </w:r>
      <w:r>
        <w:rPr>
          <w:color w:val="005DA1"/>
          <w:vertAlign w:val="baseline"/>
        </w:rPr>
        <w:t> </w:t>
      </w:r>
      <w:r>
        <w:rPr>
          <w:vertAlign w:val="baseline"/>
        </w:rPr>
        <w:t>The essential issue is whether in all the circumstances it has been impliedly represented that there exists some state of facts different from the truth. In the case of an implied statement,</w:t>
      </w:r>
    </w:p>
    <w:p>
      <w:pPr>
        <w:pStyle w:val="BodyText"/>
      </w:pPr>
    </w:p>
    <w:p>
      <w:pPr>
        <w:pStyle w:val="BodyText"/>
        <w:spacing w:before="123"/>
      </w:pPr>
    </w:p>
    <w:p>
      <w:pPr>
        <w:pStyle w:val="BodyText"/>
        <w:spacing w:line="235" w:lineRule="auto"/>
        <w:ind w:left="1245"/>
      </w:pPr>
      <w:bookmarkStart w:name="_bookmark69" w:id="71"/>
      <w:bookmarkEnd w:id="71"/>
      <w:r>
        <w:rPr/>
      </w:r>
      <w:r>
        <w:rPr/>
        <w:t>“the court has to … consider what a reasonable person would have inferred was </w:t>
      </w:r>
      <w:r>
        <w:rPr/>
        <w:t>being</w:t>
      </w:r>
      <w:r>
        <w:rPr>
          <w:spacing w:val="80"/>
        </w:rPr>
        <w:t> </w:t>
      </w:r>
      <w:r>
        <w:rPr/>
        <w:t>implicitly represented by the representor’s words and conduct in their context.” </w:t>
      </w:r>
      <w:r>
        <w:rPr>
          <w:color w:val="005DA1"/>
          <w:u w:val="single" w:color="005DA1"/>
          <w:vertAlign w:val="superscript"/>
        </w:rPr>
        <w:t>58</w:t>
      </w:r>
    </w:p>
    <w:p>
      <w:pPr>
        <w:pStyle w:val="BodyText"/>
        <w:spacing w:before="116"/>
      </w:pPr>
    </w:p>
    <w:p>
      <w:pPr>
        <w:pStyle w:val="BodyText"/>
        <w:spacing w:line="235" w:lineRule="auto"/>
        <w:ind w:left="165" w:right="167"/>
        <w:jc w:val="both"/>
      </w:pPr>
      <w:r>
        <w:rPr/>
        <w:t>In</w:t>
      </w:r>
      <w:r>
        <w:rPr>
          <w:spacing w:val="-1"/>
        </w:rPr>
        <w:t> </w:t>
      </w:r>
      <w:r>
        <w:rPr/>
        <w:t>evaluating</w:t>
      </w:r>
      <w:r>
        <w:rPr>
          <w:spacing w:val="-1"/>
        </w:rPr>
        <w:t> </w:t>
      </w:r>
      <w:r>
        <w:rPr/>
        <w:t>the</w:t>
      </w:r>
      <w:r>
        <w:rPr>
          <w:spacing w:val="-1"/>
        </w:rPr>
        <w:t> </w:t>
      </w:r>
      <w:r>
        <w:rPr/>
        <w:t>effects</w:t>
      </w:r>
      <w:r>
        <w:rPr>
          <w:spacing w:val="-1"/>
        </w:rPr>
        <w:t> </w:t>
      </w:r>
      <w:r>
        <w:rPr/>
        <w:t>of</w:t>
      </w:r>
      <w:r>
        <w:rPr>
          <w:spacing w:val="-1"/>
        </w:rPr>
        <w:t> </w:t>
      </w:r>
      <w:r>
        <w:rPr/>
        <w:t>the</w:t>
      </w:r>
      <w:r>
        <w:rPr>
          <w:spacing w:val="-1"/>
        </w:rPr>
        <w:t> </w:t>
      </w:r>
      <w:r>
        <w:rPr/>
        <w:t>statement</w:t>
      </w:r>
      <w:r>
        <w:rPr>
          <w:spacing w:val="-1"/>
        </w:rPr>
        <w:t> </w:t>
      </w:r>
      <w:r>
        <w:rPr/>
        <w:t>or</w:t>
      </w:r>
      <w:r>
        <w:rPr>
          <w:spacing w:val="-1"/>
        </w:rPr>
        <w:t> </w:t>
      </w:r>
      <w:r>
        <w:rPr/>
        <w:t>conduct</w:t>
      </w:r>
      <w:r>
        <w:rPr>
          <w:spacing w:val="-1"/>
        </w:rPr>
        <w:t> </w:t>
      </w:r>
      <w:r>
        <w:rPr/>
        <w:t>in</w:t>
      </w:r>
      <w:r>
        <w:rPr>
          <w:spacing w:val="-1"/>
        </w:rPr>
        <w:t> </w:t>
      </w:r>
      <w:r>
        <w:rPr/>
        <w:t>such</w:t>
      </w:r>
      <w:r>
        <w:rPr>
          <w:spacing w:val="-1"/>
        </w:rPr>
        <w:t> </w:t>
      </w:r>
      <w:r>
        <w:rPr/>
        <w:t>circumstances,</w:t>
      </w:r>
      <w:r>
        <w:rPr>
          <w:spacing w:val="-1"/>
        </w:rPr>
        <w:t> </w:t>
      </w:r>
      <w:r>
        <w:rPr/>
        <w:t>a</w:t>
      </w:r>
      <w:r>
        <w:rPr>
          <w:spacing w:val="-1"/>
        </w:rPr>
        <w:t> </w:t>
      </w:r>
      <w:r>
        <w:rPr/>
        <w:t>helpful</w:t>
      </w:r>
      <w:r>
        <w:rPr>
          <w:spacing w:val="-1"/>
        </w:rPr>
        <w:t> </w:t>
      </w:r>
      <w:r>
        <w:rPr/>
        <w:t>test</w:t>
      </w:r>
      <w:r>
        <w:rPr>
          <w:spacing w:val="-1"/>
        </w:rPr>
        <w:t> </w:t>
      </w:r>
      <w:r>
        <w:rPr/>
        <w:t>is</w:t>
      </w:r>
      <w:r>
        <w:rPr>
          <w:spacing w:val="-1"/>
        </w:rPr>
        <w:t> </w:t>
      </w:r>
      <w:r>
        <w:rPr/>
        <w:t>whether</w:t>
      </w:r>
      <w:r>
        <w:rPr>
          <w:spacing w:val="-1"/>
        </w:rPr>
        <w:t> </w:t>
      </w:r>
      <w:r>
        <w:rPr/>
        <w:t>a </w:t>
      </w:r>
      <w:bookmarkStart w:name="_bookmark70" w:id="72"/>
      <w:bookmarkEnd w:id="72"/>
      <w:r>
        <w:rPr/>
        <w:t>reasonable</w:t>
      </w:r>
      <w:r>
        <w:rPr/>
        <w:t> representee would naturally assume that the true state of facts did not exist and that, had it existed, he would in all circumstances necessarily have been informed of it. </w:t>
      </w:r>
      <w:r>
        <w:rPr>
          <w:color w:val="005DA1"/>
          <w:u w:val="single" w:color="005DA1"/>
          <w:vertAlign w:val="superscript"/>
        </w:rPr>
        <w:t>59</w:t>
      </w:r>
    </w:p>
    <w:p>
      <w:pPr>
        <w:pStyle w:val="BodyText"/>
        <w:spacing w:after="0" w:line="235" w:lineRule="auto"/>
        <w:jc w:val="both"/>
        <w:sectPr>
          <w:pgSz w:w="11900" w:h="16840"/>
          <w:pgMar w:header="971" w:footer="0" w:top="1160" w:bottom="280" w:left="1275" w:right="1275"/>
        </w:sectPr>
      </w:pPr>
    </w:p>
    <w:p>
      <w:pPr>
        <w:pStyle w:val="BodyText"/>
        <w:rPr>
          <w:sz w:val="18"/>
        </w:rPr>
      </w:pPr>
    </w:p>
    <w:p>
      <w:pPr>
        <w:pStyle w:val="BodyText"/>
        <w:spacing w:before="179"/>
        <w:rPr>
          <w:sz w:val="18"/>
        </w:rPr>
      </w:pPr>
    </w:p>
    <w:p>
      <w:pPr>
        <w:spacing w:before="0"/>
        <w:ind w:left="165" w:right="0" w:firstLine="0"/>
        <w:jc w:val="left"/>
        <w:rPr>
          <w:rFonts w:ascii="Arial"/>
          <w:b/>
          <w:sz w:val="18"/>
        </w:rPr>
      </w:pPr>
      <w:r>
        <w:rPr>
          <w:rFonts w:ascii="Arial"/>
          <w:b/>
          <w:sz w:val="18"/>
        </w:rPr>
        <w:t>Liability in tort for incorrect opinions and </w:t>
      </w:r>
      <w:r>
        <w:rPr>
          <w:rFonts w:ascii="Arial"/>
          <w:b/>
          <w:spacing w:val="-2"/>
          <w:sz w:val="18"/>
        </w:rPr>
        <w:t>forecasts</w:t>
      </w:r>
    </w:p>
    <w:p>
      <w:pPr>
        <w:pStyle w:val="BodyText"/>
        <w:spacing w:before="41"/>
        <w:rPr>
          <w:rFonts w:ascii="Arial"/>
          <w:b/>
          <w:sz w:val="18"/>
        </w:rPr>
      </w:pPr>
    </w:p>
    <w:p>
      <w:pPr>
        <w:pStyle w:val="Heading2"/>
        <w:spacing w:before="1"/>
      </w:pPr>
      <w:r>
        <w:rPr/>
        <w:t>7-</w:t>
      </w:r>
      <w:r>
        <w:rPr>
          <w:spacing w:val="-5"/>
        </w:rPr>
        <w:t>015</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71" w:id="73"/>
      <w:bookmarkEnd w:id="73"/>
      <w:r>
        <w:rPr>
          <w:rFonts w:ascii="Times New Roman" w:hAnsi="Times New Roman"/>
          <w:spacing w:val="5"/>
        </w:rPr>
      </w:r>
      <w:r>
        <w:rPr/>
        <w:t>This</w:t>
      </w:r>
      <w:r>
        <w:rPr>
          <w:spacing w:val="-2"/>
        </w:rPr>
        <w:t> </w:t>
      </w:r>
      <w:r>
        <w:rPr/>
        <w:t>form</w:t>
      </w:r>
      <w:r>
        <w:rPr>
          <w:spacing w:val="-2"/>
        </w:rPr>
        <w:t> </w:t>
      </w:r>
      <w:r>
        <w:rPr/>
        <w:t>of</w:t>
      </w:r>
      <w:r>
        <w:rPr>
          <w:spacing w:val="-2"/>
        </w:rPr>
        <w:t> </w:t>
      </w:r>
      <w:r>
        <w:rPr/>
        <w:t>liability</w:t>
      </w:r>
      <w:r>
        <w:rPr>
          <w:spacing w:val="-2"/>
        </w:rPr>
        <w:t> </w:t>
      </w:r>
      <w:r>
        <w:rPr/>
        <w:t>is</w:t>
      </w:r>
      <w:r>
        <w:rPr>
          <w:spacing w:val="-2"/>
        </w:rPr>
        <w:t> </w:t>
      </w:r>
      <w:r>
        <w:rPr/>
        <w:t>considered</w:t>
      </w:r>
      <w:r>
        <w:rPr>
          <w:spacing w:val="-2"/>
        </w:rPr>
        <w:t> </w:t>
      </w:r>
      <w:r>
        <w:rPr/>
        <w:t>later,</w:t>
      </w:r>
      <w:r>
        <w:rPr>
          <w:spacing w:val="-3"/>
        </w:rPr>
        <w:t> </w:t>
      </w:r>
      <w:r>
        <w:rPr>
          <w:color w:val="005DA1"/>
          <w:u w:val="single" w:color="005DA1"/>
          <w:vertAlign w:val="superscript"/>
        </w:rPr>
        <w:t>60</w:t>
      </w:r>
      <w:r>
        <w:rPr>
          <w:color w:val="005DA1"/>
          <w:spacing w:val="-2"/>
          <w:vertAlign w:val="baseline"/>
        </w:rPr>
        <w:t> </w:t>
      </w:r>
      <w:r>
        <w:rPr>
          <w:vertAlign w:val="baseline"/>
        </w:rPr>
        <w:t>but</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mentioned</w:t>
      </w:r>
      <w:r>
        <w:rPr>
          <w:spacing w:val="-2"/>
          <w:vertAlign w:val="baseline"/>
        </w:rPr>
        <w:t> </w:t>
      </w:r>
      <w:r>
        <w:rPr>
          <w:vertAlign w:val="baseline"/>
        </w:rPr>
        <w:t>here</w:t>
      </w:r>
      <w:r>
        <w:rPr>
          <w:spacing w:val="-2"/>
          <w:vertAlign w:val="baseline"/>
        </w:rPr>
        <w:t> </w:t>
      </w:r>
      <w:r>
        <w:rPr>
          <w:vertAlign w:val="baseline"/>
        </w:rPr>
        <w:t>in</w:t>
      </w:r>
      <w:r>
        <w:rPr>
          <w:spacing w:val="-2"/>
          <w:vertAlign w:val="baseline"/>
        </w:rPr>
        <w:t> </w:t>
      </w:r>
      <w:r>
        <w:rPr>
          <w:vertAlign w:val="baseline"/>
        </w:rPr>
        <w:t>order</w:t>
      </w:r>
      <w:r>
        <w:rPr>
          <w:spacing w:val="-2"/>
          <w:vertAlign w:val="baseline"/>
        </w:rPr>
        <w:t> </w:t>
      </w:r>
      <w:r>
        <w:rPr>
          <w:vertAlign w:val="baseline"/>
        </w:rPr>
        <w:t>to</w:t>
      </w:r>
      <w:r>
        <w:rPr>
          <w:spacing w:val="-2"/>
          <w:vertAlign w:val="baseline"/>
        </w:rPr>
        <w:t> </w:t>
      </w:r>
      <w:r>
        <w:rPr>
          <w:vertAlign w:val="baseline"/>
        </w:rPr>
        <w:t>stress</w:t>
      </w:r>
      <w:r>
        <w:rPr>
          <w:spacing w:val="-2"/>
          <w:vertAlign w:val="baseline"/>
        </w:rPr>
        <w:t> </w:t>
      </w:r>
      <w:r>
        <w:rPr>
          <w:vertAlign w:val="baseline"/>
        </w:rPr>
        <w:t>that</w:t>
      </w:r>
      <w:r>
        <w:rPr>
          <w:spacing w:val="-2"/>
          <w:vertAlign w:val="baseline"/>
        </w:rPr>
        <w:t> </w:t>
      </w:r>
      <w:r>
        <w:rPr>
          <w:vertAlign w:val="baseline"/>
        </w:rPr>
        <w:t>in</w:t>
      </w:r>
      <w:r>
        <w:rPr>
          <w:spacing w:val="-2"/>
          <w:vertAlign w:val="baseline"/>
        </w:rPr>
        <w:t> </w:t>
      </w:r>
      <w:r>
        <w:rPr>
          <w:vertAlign w:val="baseline"/>
        </w:rPr>
        <w:t>an</w:t>
      </w:r>
      <w:r>
        <w:rPr>
          <w:spacing w:val="-2"/>
          <w:vertAlign w:val="baseline"/>
        </w:rPr>
        <w:t> </w:t>
      </w:r>
      <w:r>
        <w:rPr>
          <w:vertAlign w:val="baseline"/>
        </w:rPr>
        <w:t>action in tort it is not necessary to show that the statement complained of was a representation in the </w:t>
      </w:r>
      <w:r>
        <w:rPr>
          <w:vertAlign w:val="baseline"/>
        </w:rPr>
        <w:t>sense </w:t>
      </w:r>
      <w:bookmarkStart w:name="_bookmark72" w:id="74"/>
      <w:bookmarkEnd w:id="74"/>
      <w:r>
        <w:rPr>
          <w:vertAlign w:val="baseline"/>
        </w:rPr>
        <w:t>which</w:t>
      </w:r>
      <w:r>
        <w:rPr>
          <w:vertAlign w:val="baseline"/>
        </w:rPr>
        <w:t> this term has traditionally borne in the law of contract. Thus, where there is a sufficient “special relationship” to give rise to liability in tort under </w:t>
      </w:r>
      <w:r>
        <w:rPr>
          <w:rFonts w:ascii="Arial" w:hAnsi="Arial"/>
          <w:i/>
          <w:vertAlign w:val="baseline"/>
        </w:rPr>
        <w:t>Hedley Byrne &amp; Co Ltd v Heller &amp; Partners Ltd</w:t>
      </w:r>
      <w:r>
        <w:rPr>
          <w:vertAlign w:val="baseline"/>
        </w:rPr>
        <w:t>, </w:t>
      </w:r>
      <w:r>
        <w:rPr>
          <w:color w:val="005DA1"/>
          <w:u w:val="single" w:color="005DA1"/>
          <w:vertAlign w:val="superscript"/>
        </w:rPr>
        <w:t>61</w:t>
      </w:r>
      <w:r>
        <w:rPr>
          <w:color w:val="005DA1"/>
          <w:vertAlign w:val="baseline"/>
        </w:rPr>
        <w:t> </w:t>
      </w:r>
      <w:r>
        <w:rPr>
          <w:vertAlign w:val="baseline"/>
        </w:rPr>
        <w:t>it </w:t>
      </w:r>
      <w:bookmarkStart w:name="_bookmark73" w:id="75"/>
      <w:bookmarkEnd w:id="75"/>
      <w:r>
        <w:rPr>
          <w:vertAlign w:val="baseline"/>
        </w:rPr>
        <w:t>would</w:t>
      </w:r>
      <w:r>
        <w:rPr>
          <w:vertAlign w:val="baseline"/>
        </w:rPr>
        <w:t> seem immaterial that the statement consists of mere opinion or even of a proposition of</w:t>
      </w:r>
      <w:r>
        <w:rPr>
          <w:spacing w:val="40"/>
          <w:vertAlign w:val="baseline"/>
        </w:rPr>
        <w:t> </w:t>
      </w:r>
      <w:bookmarkStart w:name="_bookmark74" w:id="76"/>
      <w:bookmarkEnd w:id="76"/>
      <w:r>
        <w:rPr>
          <w:vertAlign w:val="baseline"/>
        </w:rPr>
        <w:t>abstract</w:t>
      </w:r>
      <w:r>
        <w:rPr>
          <w:vertAlign w:val="baseline"/>
        </w:rPr>
        <w:t> law. </w:t>
      </w:r>
      <w:r>
        <w:rPr>
          <w:color w:val="005DA1"/>
          <w:u w:val="single" w:color="005DA1"/>
          <w:vertAlign w:val="superscript"/>
        </w:rPr>
        <w:t>62</w:t>
      </w:r>
      <w:r>
        <w:rPr>
          <w:color w:val="005DA1"/>
          <w:vertAlign w:val="baseline"/>
        </w:rPr>
        <w:t> </w:t>
      </w:r>
      <w:r>
        <w:rPr>
          <w:vertAlign w:val="baseline"/>
        </w:rPr>
        <w:t>Certainly the distinction between statements of existing facts and predictions seems less important in tort cases. For instance, in </w:t>
      </w:r>
      <w:r>
        <w:rPr>
          <w:rFonts w:ascii="Arial" w:hAnsi="Arial"/>
          <w:i/>
          <w:vertAlign w:val="baseline"/>
        </w:rPr>
        <w:t>Esso Petroleum Co v Mardon </w:t>
      </w:r>
      <w:r>
        <w:rPr>
          <w:color w:val="005DA1"/>
          <w:u w:val="single" w:color="005DA1"/>
          <w:vertAlign w:val="superscript"/>
        </w:rPr>
        <w:t>63</w:t>
      </w:r>
      <w:r>
        <w:rPr>
          <w:color w:val="005DA1"/>
          <w:vertAlign w:val="baseline"/>
        </w:rPr>
        <w:t> </w:t>
      </w:r>
      <w:r>
        <w:rPr>
          <w:vertAlign w:val="baseline"/>
        </w:rPr>
        <w:t>an action for damages</w:t>
      </w:r>
      <w:r>
        <w:rPr>
          <w:spacing w:val="40"/>
          <w:vertAlign w:val="baseline"/>
        </w:rPr>
        <w:t> </w:t>
      </w:r>
      <w:r>
        <w:rPr>
          <w:vertAlign w:val="baseline"/>
        </w:rPr>
        <w:t>for negligent misrepresentation succeeded where a petrol company, negotiating with a prospective </w:t>
      </w:r>
      <w:bookmarkStart w:name="_bookmark75" w:id="77"/>
      <w:bookmarkEnd w:id="77"/>
      <w:r>
        <w:rPr>
          <w:vertAlign w:val="baseline"/>
        </w:rPr>
        <w:t>tenant</w:t>
      </w:r>
      <w:r>
        <w:rPr>
          <w:vertAlign w:val="baseline"/>
        </w:rPr>
        <w:t> about a lease of a filling station, had offered a forecast of the probable sales potential of the filling station. In </w:t>
      </w:r>
      <w:r>
        <w:rPr>
          <w:rFonts w:ascii="Arial" w:hAnsi="Arial"/>
          <w:i/>
          <w:vertAlign w:val="baseline"/>
        </w:rPr>
        <w:t>McNally v Welltrade International Ltd </w:t>
      </w:r>
      <w:r>
        <w:rPr>
          <w:color w:val="005DA1"/>
          <w:u w:val="single" w:color="005DA1"/>
          <w:vertAlign w:val="superscript"/>
        </w:rPr>
        <w:t>64</w:t>
      </w:r>
      <w:r>
        <w:rPr>
          <w:color w:val="005DA1"/>
          <w:vertAlign w:val="baseline"/>
        </w:rPr>
        <w:t> </w:t>
      </w:r>
      <w:r>
        <w:rPr>
          <w:vertAlign w:val="baseline"/>
        </w:rPr>
        <w:t>an employment agency was held liable to an </w:t>
      </w:r>
      <w:bookmarkStart w:name="_bookmark76" w:id="78"/>
      <w:bookmarkEnd w:id="78"/>
      <w:r>
        <w:rPr>
          <w:vertAlign w:val="baseline"/>
        </w:rPr>
        <w:t>employee</w:t>
      </w:r>
      <w:r>
        <w:rPr>
          <w:vertAlign w:val="baseline"/>
        </w:rPr>
        <w:t> for implied representations as to the plaintiff’s suitability for a job from which he was dismissed. And in </w:t>
      </w:r>
      <w:r>
        <w:rPr>
          <w:rFonts w:ascii="Arial" w:hAnsi="Arial"/>
          <w:i/>
          <w:vertAlign w:val="baseline"/>
        </w:rPr>
        <w:t>Box v Midland Bank Ltd </w:t>
      </w:r>
      <w:r>
        <w:rPr>
          <w:color w:val="005DA1"/>
          <w:u w:val="single" w:color="005DA1"/>
          <w:vertAlign w:val="superscript"/>
        </w:rPr>
        <w:t>65</w:t>
      </w:r>
      <w:r>
        <w:rPr>
          <w:color w:val="005DA1"/>
          <w:vertAlign w:val="baseline"/>
        </w:rPr>
        <w:t> </w:t>
      </w:r>
      <w:r>
        <w:rPr>
          <w:vertAlign w:val="baseline"/>
        </w:rPr>
        <w:t>it was said that the distinction between fact and opinion had</w:t>
      </w:r>
      <w:r>
        <w:rPr>
          <w:spacing w:val="-1"/>
          <w:vertAlign w:val="baseline"/>
        </w:rPr>
        <w:t> </w:t>
      </w:r>
      <w:r>
        <w:rPr>
          <w:vertAlign w:val="baseline"/>
        </w:rPr>
        <w:t>become</w:t>
      </w:r>
      <w:r>
        <w:rPr>
          <w:spacing w:val="-1"/>
          <w:vertAlign w:val="baseline"/>
        </w:rPr>
        <w:t> </w:t>
      </w:r>
      <w:r>
        <w:rPr>
          <w:vertAlign w:val="baseline"/>
        </w:rPr>
        <w:t>much</w:t>
      </w:r>
      <w:r>
        <w:rPr>
          <w:spacing w:val="-1"/>
          <w:vertAlign w:val="baseline"/>
        </w:rPr>
        <w:t> </w:t>
      </w:r>
      <w:r>
        <w:rPr>
          <w:vertAlign w:val="baseline"/>
        </w:rPr>
        <w:t>less</w:t>
      </w:r>
      <w:r>
        <w:rPr>
          <w:spacing w:val="-1"/>
          <w:vertAlign w:val="baseline"/>
        </w:rPr>
        <w:t> </w:t>
      </w:r>
      <w:r>
        <w:rPr>
          <w:vertAlign w:val="baseline"/>
        </w:rPr>
        <w:t>important</w:t>
      </w:r>
      <w:r>
        <w:rPr>
          <w:spacing w:val="-1"/>
          <w:vertAlign w:val="baseline"/>
        </w:rPr>
        <w:t> </w:t>
      </w:r>
      <w:r>
        <w:rPr>
          <w:vertAlign w:val="baseline"/>
        </w:rPr>
        <w:t>since</w:t>
      </w:r>
      <w:r>
        <w:rPr>
          <w:spacing w:val="-2"/>
          <w:vertAlign w:val="baseline"/>
        </w:rPr>
        <w:t> </w:t>
      </w:r>
      <w:r>
        <w:rPr>
          <w:rFonts w:ascii="Arial" w:hAnsi="Arial"/>
          <w:i/>
          <w:vertAlign w:val="baseline"/>
        </w:rPr>
        <w:t>Esso</w:t>
      </w:r>
      <w:r>
        <w:rPr>
          <w:rFonts w:ascii="Arial" w:hAnsi="Arial"/>
          <w:i/>
          <w:spacing w:val="-1"/>
          <w:vertAlign w:val="baseline"/>
        </w:rPr>
        <w:t> </w:t>
      </w:r>
      <w:r>
        <w:rPr>
          <w:rFonts w:ascii="Arial" w:hAnsi="Arial"/>
          <w:i/>
          <w:vertAlign w:val="baseline"/>
        </w:rPr>
        <w:t>Petroleum</w:t>
      </w:r>
      <w:r>
        <w:rPr>
          <w:rFonts w:ascii="Arial" w:hAnsi="Arial"/>
          <w:i/>
          <w:spacing w:val="-1"/>
          <w:vertAlign w:val="baseline"/>
        </w:rPr>
        <w:t> </w:t>
      </w:r>
      <w:r>
        <w:rPr>
          <w:rFonts w:ascii="Arial" w:hAnsi="Arial"/>
          <w:i/>
          <w:vertAlign w:val="baseline"/>
        </w:rPr>
        <w:t>Ltd</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vertAlign w:val="baseline"/>
        </w:rPr>
        <w:t>Mardon</w:t>
      </w:r>
      <w:r>
        <w:rPr>
          <w:vertAlign w:val="baseline"/>
        </w:rPr>
        <w:t>.</w:t>
      </w:r>
      <w:r>
        <w:rPr>
          <w:spacing w:val="-1"/>
          <w:vertAlign w:val="baseline"/>
        </w:rPr>
        <w:t> </w:t>
      </w:r>
      <w:r>
        <w:rPr>
          <w:vertAlign w:val="baseline"/>
        </w:rPr>
        <w:t>However,</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submitted</w:t>
      </w:r>
      <w:r>
        <w:rPr>
          <w:spacing w:val="-1"/>
          <w:vertAlign w:val="baseline"/>
        </w:rPr>
        <w:t> </w:t>
      </w:r>
      <w:r>
        <w:rPr>
          <w:vertAlign w:val="baseline"/>
        </w:rPr>
        <w:t>that</w:t>
      </w:r>
      <w:r>
        <w:rPr>
          <w:spacing w:val="-1"/>
          <w:vertAlign w:val="baseline"/>
        </w:rPr>
        <w:t> </w:t>
      </w:r>
      <w:r>
        <w:rPr>
          <w:vertAlign w:val="baseline"/>
        </w:rPr>
        <w:t>in these cases liability is based on an assumption of responsibility to take reasonable care and failure to </w:t>
      </w:r>
      <w:bookmarkStart w:name="_bookmark77" w:id="79"/>
      <w:bookmarkEnd w:id="79"/>
      <w:r>
        <w:rPr>
          <w:vertAlign w:val="baseline"/>
        </w:rPr>
        <w:t>do</w:t>
      </w:r>
      <w:r>
        <w:rPr>
          <w:spacing w:val="22"/>
          <w:vertAlign w:val="baseline"/>
        </w:rPr>
        <w:t> </w:t>
      </w:r>
      <w:r>
        <w:rPr>
          <w:vertAlign w:val="baseline"/>
        </w:rPr>
        <w:t>so;</w:t>
      </w:r>
      <w:r>
        <w:rPr>
          <w:spacing w:val="22"/>
          <w:vertAlign w:val="baseline"/>
        </w:rPr>
        <w:t> </w:t>
      </w:r>
      <w:r>
        <w:rPr>
          <w:vertAlign w:val="baseline"/>
        </w:rPr>
        <w:t>whether</w:t>
      </w:r>
      <w:r>
        <w:rPr>
          <w:spacing w:val="22"/>
          <w:vertAlign w:val="baseline"/>
        </w:rPr>
        <w:t> </w:t>
      </w:r>
      <w:r>
        <w:rPr>
          <w:vertAlign w:val="baseline"/>
        </w:rPr>
        <w:t>the</w:t>
      </w:r>
      <w:r>
        <w:rPr>
          <w:spacing w:val="22"/>
          <w:vertAlign w:val="baseline"/>
        </w:rPr>
        <w:t> </w:t>
      </w:r>
      <w:r>
        <w:rPr>
          <w:vertAlign w:val="baseline"/>
        </w:rPr>
        <w:t>defendant</w:t>
      </w:r>
      <w:r>
        <w:rPr>
          <w:spacing w:val="22"/>
          <w:vertAlign w:val="baseline"/>
        </w:rPr>
        <w:t> </w:t>
      </w:r>
      <w:r>
        <w:rPr>
          <w:vertAlign w:val="baseline"/>
        </w:rPr>
        <w:t>assumed</w:t>
      </w:r>
      <w:r>
        <w:rPr>
          <w:spacing w:val="22"/>
          <w:vertAlign w:val="baseline"/>
        </w:rPr>
        <w:t> </w:t>
      </w:r>
      <w:r>
        <w:rPr>
          <w:vertAlign w:val="baseline"/>
        </w:rPr>
        <w:t>responsibility</w:t>
      </w:r>
      <w:r>
        <w:rPr>
          <w:spacing w:val="22"/>
          <w:vertAlign w:val="baseline"/>
        </w:rPr>
        <w:t> </w:t>
      </w:r>
      <w:r>
        <w:rPr>
          <w:vertAlign w:val="baseline"/>
        </w:rPr>
        <w:t>to</w:t>
      </w:r>
      <w:r>
        <w:rPr>
          <w:spacing w:val="22"/>
          <w:vertAlign w:val="baseline"/>
        </w:rPr>
        <w:t> </w:t>
      </w:r>
      <w:r>
        <w:rPr>
          <w:vertAlign w:val="baseline"/>
        </w:rPr>
        <w:t>give</w:t>
      </w:r>
      <w:r>
        <w:rPr>
          <w:spacing w:val="22"/>
          <w:vertAlign w:val="baseline"/>
        </w:rPr>
        <w:t> </w:t>
      </w:r>
      <w:r>
        <w:rPr>
          <w:vertAlign w:val="baseline"/>
        </w:rPr>
        <w:t>factual</w:t>
      </w:r>
      <w:r>
        <w:rPr>
          <w:spacing w:val="22"/>
          <w:vertAlign w:val="baseline"/>
        </w:rPr>
        <w:t> </w:t>
      </w:r>
      <w:r>
        <w:rPr>
          <w:vertAlign w:val="baseline"/>
        </w:rPr>
        <w:t>information</w:t>
      </w:r>
      <w:r>
        <w:rPr>
          <w:spacing w:val="22"/>
          <w:vertAlign w:val="baseline"/>
        </w:rPr>
        <w:t> </w:t>
      </w:r>
      <w:r>
        <w:rPr>
          <w:vertAlign w:val="baseline"/>
        </w:rPr>
        <w:t>or</w:t>
      </w:r>
      <w:r>
        <w:rPr>
          <w:spacing w:val="22"/>
          <w:vertAlign w:val="baseline"/>
        </w:rPr>
        <w:t> </w:t>
      </w:r>
      <w:r>
        <w:rPr>
          <w:vertAlign w:val="baseline"/>
        </w:rPr>
        <w:t>an</w:t>
      </w:r>
      <w:r>
        <w:rPr>
          <w:spacing w:val="22"/>
          <w:vertAlign w:val="baseline"/>
        </w:rPr>
        <w:t> </w:t>
      </w:r>
      <w:r>
        <w:rPr>
          <w:vertAlign w:val="baseline"/>
        </w:rPr>
        <w:t>opinion</w:t>
      </w:r>
      <w:r>
        <w:rPr>
          <w:spacing w:val="22"/>
          <w:vertAlign w:val="baseline"/>
        </w:rPr>
        <w:t> </w:t>
      </w:r>
      <w:r>
        <w:rPr>
          <w:spacing w:val="-4"/>
          <w:vertAlign w:val="baseline"/>
        </w:rPr>
        <w:t>does</w:t>
      </w:r>
    </w:p>
    <w:p>
      <w:pPr>
        <w:pStyle w:val="BodyText"/>
        <w:spacing w:line="235" w:lineRule="auto" w:before="115"/>
        <w:ind w:left="165" w:right="167"/>
        <w:jc w:val="both"/>
      </w:pPr>
      <w:r>
        <w:rPr/>
        <w:t>not matter. </w:t>
      </w:r>
      <w:r>
        <w:rPr>
          <w:color w:val="005DA1"/>
          <w:u w:val="single" w:color="005DA1"/>
          <w:vertAlign w:val="superscript"/>
        </w:rPr>
        <w:t>66</w:t>
      </w:r>
      <w:r>
        <w:rPr>
          <w:color w:val="005DA1"/>
          <w:spacing w:val="80"/>
          <w:w w:val="150"/>
          <w:vertAlign w:val="baseline"/>
        </w:rPr>
        <w:t> </w:t>
      </w:r>
      <w:r>
        <w:rPr>
          <w:color w:val="005DA1"/>
          <w:spacing w:val="-16"/>
          <w:position w:val="-2"/>
          <w:vertAlign w:val="baseline"/>
        </w:rPr>
        <w:drawing>
          <wp:inline distT="0" distB="0" distL="0" distR="0">
            <wp:extent cx="107988" cy="107988"/>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color w:val="005DA1"/>
          <w:spacing w:val="40"/>
          <w:vertAlign w:val="baseline"/>
        </w:rPr>
        <w:t> </w:t>
      </w:r>
      <w:r>
        <w:rPr>
          <w:vertAlign w:val="baseline"/>
        </w:rPr>
        <w:t>Cases in which an incorrect forecast has given rise to a remedy </w:t>
      </w:r>
      <w:r>
        <w:rPr>
          <w:vertAlign w:val="baseline"/>
        </w:rPr>
        <w:t>for misrepresentation, as opposed to negligent misstatement on the </w:t>
      </w:r>
      <w:r>
        <w:rPr>
          <w:rFonts w:ascii="Arial"/>
          <w:i/>
          <w:vertAlign w:val="baseline"/>
        </w:rPr>
        <w:t>Hedley Byrne </w:t>
      </w:r>
      <w:r>
        <w:rPr>
          <w:vertAlign w:val="baseline"/>
        </w:rPr>
        <w:t>principle, can be </w:t>
      </w:r>
      <w:bookmarkStart w:name="_bookmark78" w:id="80"/>
      <w:bookmarkEnd w:id="80"/>
      <w:r>
        <w:rPr>
          <w:vertAlign w:val="baseline"/>
        </w:rPr>
        <w:t>explained</w:t>
      </w:r>
      <w:r>
        <w:rPr>
          <w:vertAlign w:val="baseline"/>
        </w:rPr>
        <w:t> as involving implicit representations of existing fact, such as that the speaker has taken reasonable care in making the forecast. </w:t>
      </w:r>
      <w:r>
        <w:rPr>
          <w:color w:val="005DA1"/>
          <w:u w:val="single" w:color="005DA1"/>
          <w:vertAlign w:val="superscript"/>
        </w:rPr>
        <w:t>67</w:t>
      </w:r>
    </w:p>
    <w:p>
      <w:pPr>
        <w:pStyle w:val="BodyText"/>
      </w:pPr>
    </w:p>
    <w:p>
      <w:pPr>
        <w:pStyle w:val="BodyText"/>
        <w:spacing w:before="37"/>
      </w:pPr>
    </w:p>
    <w:p>
      <w:pPr>
        <w:spacing w:before="0"/>
        <w:ind w:left="165" w:right="0" w:firstLine="0"/>
        <w:jc w:val="both"/>
        <w:rPr>
          <w:rFonts w:ascii="Arial"/>
          <w:b/>
          <w:sz w:val="18"/>
        </w:rPr>
      </w:pPr>
      <w:r>
        <w:rPr>
          <w:rFonts w:ascii="Arial"/>
          <w:b/>
          <w:sz w:val="18"/>
        </w:rPr>
        <w:t>Statements of </w:t>
      </w:r>
      <w:r>
        <w:rPr>
          <w:rFonts w:ascii="Arial"/>
          <w:b/>
          <w:spacing w:val="-5"/>
          <w:sz w:val="18"/>
        </w:rPr>
        <w:t>law</w:t>
      </w:r>
    </w:p>
    <w:p>
      <w:pPr>
        <w:pStyle w:val="BodyText"/>
        <w:spacing w:before="41"/>
        <w:rPr>
          <w:rFonts w:ascii="Arial"/>
          <w:b/>
          <w:sz w:val="18"/>
        </w:rPr>
      </w:pPr>
    </w:p>
    <w:p>
      <w:pPr>
        <w:pStyle w:val="Heading2"/>
      </w:pPr>
      <w:r>
        <w:rPr/>
        <w:t>7-</w:t>
      </w:r>
      <w:r>
        <w:rPr>
          <w:spacing w:val="-5"/>
        </w:rPr>
        <w:t>016</w:t>
      </w:r>
    </w:p>
    <w:p>
      <w:pPr>
        <w:pStyle w:val="BodyText"/>
        <w:spacing w:before="9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79" w:id="81"/>
      <w:bookmarkEnd w:id="81"/>
      <w:r>
        <w:rPr>
          <w:rFonts w:ascii="Times New Roman" w:hAnsi="Times New Roman"/>
          <w:spacing w:val="22"/>
        </w:rPr>
      </w:r>
      <w:r>
        <w:rPr/>
        <w:t>It used commonly to be said that a statement of law cannot be treated as a misrepresentation. </w:t>
      </w:r>
      <w:r>
        <w:rPr>
          <w:color w:val="005DA1"/>
          <w:u w:val="single" w:color="005DA1"/>
          <w:vertAlign w:val="superscript"/>
        </w:rPr>
        <w:t>68</w:t>
      </w:r>
      <w:r>
        <w:rPr>
          <w:color w:val="005DA1"/>
          <w:vertAlign w:val="baseline"/>
        </w:rPr>
        <w:t> </w:t>
      </w:r>
      <w:r>
        <w:rPr>
          <w:vertAlign w:val="baseline"/>
        </w:rPr>
        <w:t>But the proposition was always in need of qualification and it is now more accurate to say that a statement of law will amount to a misrepresentation unless, in the circumstances, it reasonably appeared that the statement was put forward as nothing more than an opinion on which it would </w:t>
      </w:r>
      <w:r>
        <w:rPr>
          <w:vertAlign w:val="baseline"/>
        </w:rPr>
        <w:t>not be</w:t>
      </w:r>
      <w:r>
        <w:rPr>
          <w:spacing w:val="-1"/>
          <w:vertAlign w:val="baseline"/>
        </w:rPr>
        <w:t> </w:t>
      </w:r>
      <w:r>
        <w:rPr>
          <w:vertAlign w:val="baseline"/>
        </w:rPr>
        <w:t>reasonable</w:t>
      </w:r>
      <w:r>
        <w:rPr>
          <w:spacing w:val="-1"/>
          <w:vertAlign w:val="baseline"/>
        </w:rPr>
        <w:t> </w:t>
      </w:r>
      <w:r>
        <w:rPr>
          <w:vertAlign w:val="baseline"/>
        </w:rPr>
        <w:t>to</w:t>
      </w:r>
      <w:r>
        <w:rPr>
          <w:spacing w:val="-1"/>
          <w:vertAlign w:val="baseline"/>
        </w:rPr>
        <w:t> </w:t>
      </w:r>
      <w:r>
        <w:rPr>
          <w:vertAlign w:val="baseline"/>
        </w:rPr>
        <w:t>rely.</w:t>
      </w:r>
      <w:r>
        <w:rPr>
          <w:spacing w:val="-1"/>
          <w:vertAlign w:val="baseline"/>
        </w:rPr>
        <w:t> </w:t>
      </w:r>
      <w:r>
        <w:rPr>
          <w:vertAlign w:val="baseline"/>
        </w:rPr>
        <w:t>First,</w:t>
      </w:r>
      <w:r>
        <w:rPr>
          <w:spacing w:val="-1"/>
          <w:vertAlign w:val="baseline"/>
        </w:rPr>
        <w:t> </w:t>
      </w:r>
      <w:r>
        <w:rPr>
          <w:vertAlign w:val="baseline"/>
        </w:rPr>
        <w:t>a</w:t>
      </w:r>
      <w:r>
        <w:rPr>
          <w:spacing w:val="-1"/>
          <w:vertAlign w:val="baseline"/>
        </w:rPr>
        <w:t> </w:t>
      </w:r>
      <w:r>
        <w:rPr>
          <w:vertAlign w:val="baseline"/>
        </w:rPr>
        <w:t>statement</w:t>
      </w:r>
      <w:r>
        <w:rPr>
          <w:spacing w:val="-1"/>
          <w:vertAlign w:val="baseline"/>
        </w:rPr>
        <w:t> </w:t>
      </w:r>
      <w:r>
        <w:rPr>
          <w:vertAlign w:val="baseline"/>
        </w:rPr>
        <w:t>of</w:t>
      </w:r>
      <w:r>
        <w:rPr>
          <w:spacing w:val="-1"/>
          <w:vertAlign w:val="baseline"/>
        </w:rPr>
        <w:t> </w:t>
      </w:r>
      <w:r>
        <w:rPr>
          <w:vertAlign w:val="baseline"/>
        </w:rPr>
        <w:t>law</w:t>
      </w:r>
      <w:r>
        <w:rPr>
          <w:spacing w:val="-1"/>
          <w:vertAlign w:val="baseline"/>
        </w:rPr>
        <w:t> </w:t>
      </w:r>
      <w:r>
        <w:rPr>
          <w:vertAlign w:val="baseline"/>
        </w:rPr>
        <w:t>may</w:t>
      </w:r>
      <w:r>
        <w:rPr>
          <w:spacing w:val="-1"/>
          <w:vertAlign w:val="baseline"/>
        </w:rPr>
        <w:t> </w:t>
      </w:r>
      <w:r>
        <w:rPr>
          <w:vertAlign w:val="baseline"/>
        </w:rPr>
        <w:t>be</w:t>
      </w:r>
      <w:r>
        <w:rPr>
          <w:spacing w:val="-1"/>
          <w:vertAlign w:val="baseline"/>
        </w:rPr>
        <w:t> </w:t>
      </w:r>
      <w:r>
        <w:rPr>
          <w:vertAlign w:val="baseline"/>
        </w:rPr>
        <w:t>regarded</w:t>
      </w:r>
      <w:r>
        <w:rPr>
          <w:spacing w:val="-1"/>
          <w:vertAlign w:val="baseline"/>
        </w:rPr>
        <w:t> </w:t>
      </w:r>
      <w:r>
        <w:rPr>
          <w:vertAlign w:val="baseline"/>
        </w:rPr>
        <w:t>as</w:t>
      </w:r>
      <w:r>
        <w:rPr>
          <w:spacing w:val="-1"/>
          <w:vertAlign w:val="baseline"/>
        </w:rPr>
        <w:t> </w:t>
      </w:r>
      <w:r>
        <w:rPr>
          <w:vertAlign w:val="baseline"/>
        </w:rPr>
        <w:t>a</w:t>
      </w:r>
      <w:r>
        <w:rPr>
          <w:spacing w:val="-1"/>
          <w:vertAlign w:val="baseline"/>
        </w:rPr>
        <w:t> </w:t>
      </w:r>
      <w:r>
        <w:rPr>
          <w:vertAlign w:val="baseline"/>
        </w:rPr>
        <w:t>statement</w:t>
      </w:r>
      <w:r>
        <w:rPr>
          <w:spacing w:val="-1"/>
          <w:vertAlign w:val="baseline"/>
        </w:rPr>
        <w:t> </w:t>
      </w:r>
      <w:r>
        <w:rPr>
          <w:vertAlign w:val="baseline"/>
        </w:rPr>
        <w:t>of</w:t>
      </w:r>
      <w:r>
        <w:rPr>
          <w:spacing w:val="-1"/>
          <w:vertAlign w:val="baseline"/>
        </w:rPr>
        <w:t> </w:t>
      </w:r>
      <w:r>
        <w:rPr>
          <w:vertAlign w:val="baseline"/>
        </w:rPr>
        <w:t>opinion,</w:t>
      </w:r>
      <w:r>
        <w:rPr>
          <w:spacing w:val="-1"/>
          <w:vertAlign w:val="baseline"/>
        </w:rPr>
        <w:t> </w:t>
      </w:r>
      <w:r>
        <w:rPr>
          <w:vertAlign w:val="baseline"/>
        </w:rPr>
        <w:t>but</w:t>
      </w:r>
      <w:r>
        <w:rPr>
          <w:spacing w:val="-1"/>
          <w:vertAlign w:val="baseline"/>
        </w:rPr>
        <w:t> </w:t>
      </w:r>
      <w:r>
        <w:rPr>
          <w:vertAlign w:val="baseline"/>
        </w:rPr>
        <w:t>just</w:t>
      </w:r>
      <w:r>
        <w:rPr>
          <w:spacing w:val="-1"/>
          <w:vertAlign w:val="baseline"/>
        </w:rPr>
        <w:t> </w:t>
      </w:r>
      <w:r>
        <w:rPr>
          <w:vertAlign w:val="baseline"/>
        </w:rPr>
        <w:t>as a statement of opinion may be a representation of fact, so too a statement of law may amount to a </w:t>
      </w:r>
      <w:bookmarkStart w:name="_bookmark80" w:id="82"/>
      <w:bookmarkEnd w:id="82"/>
      <w:r>
        <w:rPr>
          <w:vertAlign w:val="baseline"/>
        </w:rPr>
        <w:t>representation,</w:t>
      </w:r>
      <w:r>
        <w:rPr>
          <w:vertAlign w:val="baseline"/>
        </w:rPr>
        <w:t> or misrepresentation, as the case may be. So a wilful misstatement of law would always amount to a misrepresentation </w:t>
      </w:r>
      <w:r>
        <w:rPr>
          <w:color w:val="005DA1"/>
          <w:u w:val="single" w:color="005DA1"/>
          <w:vertAlign w:val="superscript"/>
        </w:rPr>
        <w:t>69</w:t>
      </w:r>
      <w:r>
        <w:rPr>
          <w:color w:val="005DA1"/>
          <w:vertAlign w:val="baseline"/>
        </w:rPr>
        <w:t> </w:t>
      </w:r>
      <w:r>
        <w:rPr>
          <w:vertAlign w:val="baseline"/>
        </w:rPr>
        <w:t>and even an innocent misstatement of law may do so where </w:t>
      </w:r>
      <w:bookmarkStart w:name="_bookmark81" w:id="83"/>
      <w:bookmarkEnd w:id="83"/>
      <w:r>
        <w:rPr>
          <w:vertAlign w:val="baseline"/>
        </w:rPr>
        <w:t>it</w:t>
      </w:r>
      <w:r>
        <w:rPr>
          <w:vertAlign w:val="baseline"/>
        </w:rPr>
        <w:t> carries an implication of fact which is itself untrue. Secondly, the question whether a statement is one of law or fact gives rise to no small difficulty, </w:t>
      </w:r>
      <w:r>
        <w:rPr>
          <w:color w:val="005DA1"/>
          <w:u w:val="single" w:color="005DA1"/>
          <w:vertAlign w:val="superscript"/>
        </w:rPr>
        <w:t>70</w:t>
      </w:r>
      <w:r>
        <w:rPr>
          <w:color w:val="005DA1"/>
          <w:vertAlign w:val="baseline"/>
        </w:rPr>
        <w:t> </w:t>
      </w:r>
      <w:r>
        <w:rPr>
          <w:vertAlign w:val="baseline"/>
        </w:rPr>
        <w:t>especially as statements of law and of fact are so </w:t>
      </w:r>
      <w:bookmarkStart w:name="_bookmark82" w:id="84"/>
      <w:bookmarkEnd w:id="84"/>
      <w:r>
        <w:rPr>
          <w:vertAlign w:val="baseline"/>
        </w:rPr>
        <w:t>frequently</w:t>
      </w:r>
      <w:r>
        <w:rPr>
          <w:vertAlign w:val="baseline"/>
        </w:rPr>
        <w:t> intermingled. It has been said that the dichotomy between statements of fact and statements of law is too neat, and is apt to mislead. </w:t>
      </w:r>
      <w:r>
        <w:rPr>
          <w:color w:val="005DA1"/>
          <w:u w:val="single" w:color="005DA1"/>
          <w:vertAlign w:val="superscript"/>
        </w:rPr>
        <w:t>71</w:t>
      </w:r>
      <w:r>
        <w:rPr>
          <w:color w:val="005DA1"/>
          <w:vertAlign w:val="baseline"/>
        </w:rPr>
        <w:t> </w:t>
      </w:r>
      <w:r>
        <w:rPr>
          <w:vertAlign w:val="baseline"/>
        </w:rPr>
        <w:t>It seems that the courts tend to regard </w:t>
      </w:r>
      <w:bookmarkStart w:name="_bookmark83" w:id="85"/>
      <w:bookmarkEnd w:id="85"/>
      <w:r>
        <w:rPr>
          <w:vertAlign w:val="baseline"/>
        </w:rPr>
        <w:t>statements</w:t>
      </w:r>
      <w:r>
        <w:rPr>
          <w:vertAlign w:val="baseline"/>
        </w:rPr>
        <w:t> of mixed law and fact, and statements capable of having either meaning, as statements of </w:t>
      </w:r>
      <w:bookmarkStart w:name="_bookmark84" w:id="86"/>
      <w:bookmarkEnd w:id="86"/>
      <w:r>
        <w:rPr>
          <w:vertAlign w:val="baseline"/>
        </w:rPr>
        <w:t>fact,</w:t>
      </w:r>
      <w:r>
        <w:rPr>
          <w:spacing w:val="-1"/>
          <w:vertAlign w:val="baseline"/>
        </w:rPr>
        <w:t> </w:t>
      </w:r>
      <w:r>
        <w:rPr>
          <w:color w:val="005DA1"/>
          <w:u w:val="single" w:color="005DA1"/>
          <w:vertAlign w:val="superscript"/>
        </w:rPr>
        <w:t>72</w:t>
      </w:r>
      <w:r>
        <w:rPr>
          <w:color w:val="005DA1"/>
          <w:spacing w:val="-2"/>
          <w:vertAlign w:val="baseline"/>
        </w:rPr>
        <w:t> </w:t>
      </w:r>
      <w:r>
        <w:rPr>
          <w:vertAlign w:val="baseline"/>
        </w:rPr>
        <w:t>and</w:t>
      </w:r>
      <w:r>
        <w:rPr>
          <w:spacing w:val="-1"/>
          <w:vertAlign w:val="baseline"/>
        </w:rPr>
        <w:t> </w:t>
      </w:r>
      <w:r>
        <w:rPr>
          <w:vertAlign w:val="baseline"/>
        </w:rPr>
        <w:t>therefore</w:t>
      </w:r>
      <w:r>
        <w:rPr>
          <w:spacing w:val="-1"/>
          <w:vertAlign w:val="baseline"/>
        </w:rPr>
        <w:t> </w:t>
      </w:r>
      <w:r>
        <w:rPr>
          <w:vertAlign w:val="baseline"/>
        </w:rPr>
        <w:t>as</w:t>
      </w:r>
      <w:r>
        <w:rPr>
          <w:spacing w:val="-1"/>
          <w:vertAlign w:val="baseline"/>
        </w:rPr>
        <w:t> </w:t>
      </w:r>
      <w:r>
        <w:rPr>
          <w:vertAlign w:val="baseline"/>
        </w:rPr>
        <w:t>representations;</w:t>
      </w:r>
      <w:r>
        <w:rPr>
          <w:spacing w:val="-1"/>
          <w:vertAlign w:val="baseline"/>
        </w:rPr>
        <w:t> </w:t>
      </w:r>
      <w:r>
        <w:rPr>
          <w:vertAlign w:val="baseline"/>
        </w:rPr>
        <w:t>that</w:t>
      </w:r>
      <w:r>
        <w:rPr>
          <w:spacing w:val="-1"/>
          <w:vertAlign w:val="baseline"/>
        </w:rPr>
        <w:t> </w:t>
      </w:r>
      <w:r>
        <w:rPr>
          <w:vertAlign w:val="baseline"/>
        </w:rPr>
        <w:t>they</w:t>
      </w:r>
      <w:r>
        <w:rPr>
          <w:spacing w:val="-1"/>
          <w:vertAlign w:val="baseline"/>
        </w:rPr>
        <w:t> </w:t>
      </w:r>
      <w:r>
        <w:rPr>
          <w:vertAlign w:val="baseline"/>
        </w:rPr>
        <w:t>also</w:t>
      </w:r>
      <w:r>
        <w:rPr>
          <w:spacing w:val="-1"/>
          <w:vertAlign w:val="baseline"/>
        </w:rPr>
        <w:t> </w:t>
      </w:r>
      <w:r>
        <w:rPr>
          <w:vertAlign w:val="baseline"/>
        </w:rPr>
        <w:t>regard</w:t>
      </w:r>
      <w:r>
        <w:rPr>
          <w:spacing w:val="-1"/>
          <w:vertAlign w:val="baseline"/>
        </w:rPr>
        <w:t> </w:t>
      </w:r>
      <w:r>
        <w:rPr>
          <w:vertAlign w:val="baseline"/>
        </w:rPr>
        <w:t>statements</w:t>
      </w:r>
      <w:r>
        <w:rPr>
          <w:spacing w:val="-1"/>
          <w:vertAlign w:val="baseline"/>
        </w:rPr>
        <w:t> </w:t>
      </w:r>
      <w:r>
        <w:rPr>
          <w:vertAlign w:val="baseline"/>
        </w:rPr>
        <w:t>as</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purport,</w:t>
      </w:r>
      <w:r>
        <w:rPr>
          <w:spacing w:val="-1"/>
          <w:vertAlign w:val="baseline"/>
        </w:rPr>
        <w:t> </w:t>
      </w:r>
      <w:r>
        <w:rPr>
          <w:vertAlign w:val="baseline"/>
        </w:rPr>
        <w:t>effect</w:t>
      </w:r>
      <w:r>
        <w:rPr>
          <w:spacing w:val="-1"/>
          <w:vertAlign w:val="baseline"/>
        </w:rPr>
        <w:t> </w:t>
      </w:r>
      <w:r>
        <w:rPr>
          <w:vertAlign w:val="baseline"/>
        </w:rPr>
        <w:t>and </w:t>
      </w:r>
      <w:bookmarkStart w:name="_bookmark85" w:id="87"/>
      <w:bookmarkEnd w:id="87"/>
      <w:r>
        <w:rPr>
          <w:vertAlign w:val="baseline"/>
        </w:rPr>
        <w:t>objects</w:t>
      </w:r>
      <w:r>
        <w:rPr>
          <w:vertAlign w:val="baseline"/>
        </w:rPr>
        <w:t> of documents as representations </w:t>
      </w:r>
      <w:r>
        <w:rPr>
          <w:color w:val="005DA1"/>
          <w:u w:val="single" w:color="005DA1"/>
          <w:vertAlign w:val="superscript"/>
        </w:rPr>
        <w:t>73</w:t>
      </w:r>
      <w:r>
        <w:rPr>
          <w:vertAlign w:val="baseline"/>
        </w:rPr>
        <w:t>; and in </w:t>
      </w:r>
      <w:r>
        <w:rPr>
          <w:rFonts w:ascii="Arial" w:hAnsi="Arial"/>
          <w:i/>
          <w:vertAlign w:val="baseline"/>
        </w:rPr>
        <w:t>Cooper v Phibbs</w:t>
      </w:r>
      <w:r>
        <w:rPr>
          <w:vertAlign w:val="baseline"/>
        </w:rPr>
        <w:t>, </w:t>
      </w:r>
      <w:r>
        <w:rPr>
          <w:color w:val="005DA1"/>
          <w:u w:val="single" w:color="005DA1"/>
          <w:vertAlign w:val="superscript"/>
        </w:rPr>
        <w:t>74</w:t>
      </w:r>
      <w:r>
        <w:rPr>
          <w:color w:val="005DA1"/>
          <w:vertAlign w:val="baseline"/>
        </w:rPr>
        <w:t> </w:t>
      </w:r>
      <w:r>
        <w:rPr>
          <w:vertAlign w:val="baseline"/>
        </w:rPr>
        <w:t>a statement as to private </w:t>
      </w:r>
      <w:bookmarkStart w:name="_bookmark86" w:id="88"/>
      <w:bookmarkEnd w:id="88"/>
      <w:r>
        <w:rPr>
          <w:vertAlign w:val="baseline"/>
        </w:rPr>
        <w:t>rights,</w:t>
      </w:r>
      <w:r>
        <w:rPr>
          <w:vertAlign w:val="baseline"/>
        </w:rPr>
        <w:t> as distinct from the general law, was regarded as a statement of fact. </w:t>
      </w:r>
      <w:r>
        <w:rPr>
          <w:color w:val="005DA1"/>
          <w:u w:val="single" w:color="005DA1"/>
          <w:vertAlign w:val="superscript"/>
        </w:rPr>
        <w:t>75</w:t>
      </w:r>
      <w:r>
        <w:rPr>
          <w:color w:val="005DA1"/>
          <w:vertAlign w:val="baseline"/>
        </w:rPr>
        <w:t> </w:t>
      </w:r>
      <w:r>
        <w:rPr>
          <w:vertAlign w:val="baseline"/>
        </w:rPr>
        <w:t>So a representation </w:t>
      </w:r>
      <w:bookmarkStart w:name="_bookmark87" w:id="89"/>
      <w:bookmarkEnd w:id="89"/>
      <w:r>
        <w:rPr>
          <w:vertAlign w:val="baseline"/>
        </w:rPr>
        <w:t>that</w:t>
      </w:r>
      <w:r>
        <w:rPr>
          <w:vertAlign w:val="baseline"/>
        </w:rPr>
        <w:t> planning permission exists for a particular use is a representation of fact, and not of law </w:t>
      </w:r>
      <w:r>
        <w:rPr>
          <w:color w:val="005DA1"/>
          <w:u w:val="single" w:color="005DA1"/>
          <w:vertAlign w:val="superscript"/>
        </w:rPr>
        <w:t>76</w:t>
      </w:r>
      <w:r>
        <w:rPr>
          <w:vertAlign w:val="baseline"/>
        </w:rPr>
        <w:t>; similarly with a representation by a landlord that he accepts liability for repairs under a lease. </w:t>
      </w:r>
      <w:r>
        <w:rPr>
          <w:color w:val="005DA1"/>
          <w:u w:val="single" w:color="005DA1"/>
          <w:vertAlign w:val="superscript"/>
        </w:rPr>
        <w:t>77</w:t>
      </w:r>
      <w:r>
        <w:rPr>
          <w:color w:val="005DA1"/>
          <w:vertAlign w:val="baseline"/>
        </w:rPr>
        <w:t> </w:t>
      </w:r>
      <w:r>
        <w:rPr>
          <w:vertAlign w:val="baseline"/>
        </w:rPr>
        <w:t>On</w:t>
      </w:r>
      <w:r>
        <w:rPr>
          <w:spacing w:val="40"/>
          <w:vertAlign w:val="baseline"/>
        </w:rPr>
        <w:t> </w:t>
      </w:r>
      <w:bookmarkStart w:name="_bookmark88" w:id="90"/>
      <w:bookmarkEnd w:id="90"/>
      <w:r>
        <w:rPr>
          <w:vertAlign w:val="baseline"/>
        </w:rPr>
        <w:t>the</w:t>
      </w:r>
      <w:r>
        <w:rPr>
          <w:vertAlign w:val="baseline"/>
        </w:rPr>
        <w:t> other hand a statement of law made separately from a statement of fact was held not to be a misrepresentation. </w:t>
      </w:r>
      <w:r>
        <w:rPr>
          <w:color w:val="005DA1"/>
          <w:u w:val="single" w:color="005DA1"/>
          <w:vertAlign w:val="superscript"/>
        </w:rPr>
        <w:t>78</w:t>
      </w:r>
      <w:r>
        <w:rPr>
          <w:color w:val="005DA1"/>
          <w:vertAlign w:val="baseline"/>
        </w:rPr>
        <w:t> </w:t>
      </w:r>
      <w:r>
        <w:rPr>
          <w:vertAlign w:val="baseline"/>
        </w:rPr>
        <w:t>This seems to rest on a distinction between a statement of an abstract proposition of law, which was not regarded as a misrepresentation, and a statement applying the law </w:t>
      </w:r>
      <w:bookmarkStart w:name="_bookmark89" w:id="91"/>
      <w:bookmarkEnd w:id="91"/>
      <w:r>
        <w:rPr>
          <w:vertAlign w:val="baseline"/>
        </w:rPr>
        <w:t>to</w:t>
      </w:r>
      <w:r>
        <w:rPr>
          <w:vertAlign w:val="baseline"/>
        </w:rPr>
        <w:t> the facts of a particular situation which, at least in some circumstances, may constitute a misrepresentation. </w:t>
      </w:r>
      <w:r>
        <w:rPr>
          <w:color w:val="005DA1"/>
          <w:u w:val="single" w:color="005DA1"/>
          <w:vertAlign w:val="superscript"/>
        </w:rPr>
        <w:t>79</w:t>
      </w:r>
      <w:r>
        <w:rPr>
          <w:color w:val="005DA1"/>
          <w:vertAlign w:val="baseline"/>
        </w:rPr>
        <w:t> </w:t>
      </w:r>
      <w:r>
        <w:rPr>
          <w:vertAlign w:val="baseline"/>
        </w:rPr>
        <w:t>But thirdly, in the law of restitution the distinction between a payment made </w:t>
      </w:r>
      <w:bookmarkStart w:name="_bookmark90" w:id="92"/>
      <w:bookmarkEnd w:id="92"/>
      <w:r>
        <w:rPr>
          <w:vertAlign w:val="baseline"/>
        </w:rPr>
        <w:t>under</w:t>
      </w:r>
      <w:r>
        <w:rPr>
          <w:vertAlign w:val="baseline"/>
        </w:rPr>
        <w:t> a mistake of fact and one made under a mistake of law has been held by the House of Lords not</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part</w:t>
      </w:r>
      <w:r>
        <w:rPr>
          <w:spacing w:val="-2"/>
          <w:vertAlign w:val="baseline"/>
        </w:rPr>
        <w:t> </w:t>
      </w:r>
      <w:r>
        <w:rPr>
          <w:vertAlign w:val="baseline"/>
        </w:rPr>
        <w:t>of</w:t>
      </w:r>
      <w:r>
        <w:rPr>
          <w:spacing w:val="-2"/>
          <w:vertAlign w:val="baseline"/>
        </w:rPr>
        <w:t> </w:t>
      </w:r>
      <w:r>
        <w:rPr>
          <w:vertAlign w:val="baseline"/>
        </w:rPr>
        <w:t>English</w:t>
      </w:r>
      <w:r>
        <w:rPr>
          <w:spacing w:val="-2"/>
          <w:vertAlign w:val="baseline"/>
        </w:rPr>
        <w:t> </w:t>
      </w:r>
      <w:r>
        <w:rPr>
          <w:vertAlign w:val="baseline"/>
        </w:rPr>
        <w:t>law,</w:t>
      </w:r>
      <w:r>
        <w:rPr>
          <w:spacing w:val="-2"/>
          <w:vertAlign w:val="baseline"/>
        </w:rPr>
        <w:t> </w:t>
      </w:r>
      <w:r>
        <w:rPr>
          <w:color w:val="005DA1"/>
          <w:u w:val="single" w:color="005DA1"/>
          <w:vertAlign w:val="superscript"/>
        </w:rPr>
        <w:t>80</w:t>
      </w:r>
      <w:r>
        <w:rPr>
          <w:color w:val="005DA1"/>
          <w:spacing w:val="-2"/>
          <w:vertAlign w:val="baseline"/>
        </w:rPr>
        <w:t> </w:t>
      </w:r>
      <w:r>
        <w:rPr>
          <w:vertAlign w:val="baseline"/>
        </w:rPr>
        <w:t>and,</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light</w:t>
      </w:r>
      <w:r>
        <w:rPr>
          <w:spacing w:val="-2"/>
          <w:vertAlign w:val="baseline"/>
        </w:rPr>
        <w:t> </w:t>
      </w:r>
      <w:r>
        <w:rPr>
          <w:vertAlign w:val="baseline"/>
        </w:rPr>
        <w:t>of</w:t>
      </w:r>
      <w:r>
        <w:rPr>
          <w:spacing w:val="-2"/>
          <w:vertAlign w:val="baseline"/>
        </w:rPr>
        <w:t> </w:t>
      </w:r>
      <w:r>
        <w:rPr>
          <w:vertAlign w:val="baseline"/>
        </w:rPr>
        <w:t>this,</w:t>
      </w:r>
      <w:r>
        <w:rPr>
          <w:spacing w:val="-2"/>
          <w:vertAlign w:val="baseline"/>
        </w:rPr>
        <w:t> </w:t>
      </w:r>
      <w:r>
        <w:rPr>
          <w:vertAlign w:val="baseline"/>
        </w:rPr>
        <w:t>it</w:t>
      </w:r>
      <w:r>
        <w:rPr>
          <w:spacing w:val="-2"/>
          <w:vertAlign w:val="baseline"/>
        </w:rPr>
        <w:t> </w:t>
      </w:r>
      <w:r>
        <w:rPr>
          <w:vertAlign w:val="baseline"/>
        </w:rPr>
        <w:t>was</w:t>
      </w:r>
      <w:r>
        <w:rPr>
          <w:spacing w:val="-2"/>
          <w:vertAlign w:val="baseline"/>
        </w:rPr>
        <w:t> </w:t>
      </w:r>
      <w:r>
        <w:rPr>
          <w:vertAlign w:val="baseline"/>
        </w:rPr>
        <w:t>held</w:t>
      </w:r>
      <w:r>
        <w:rPr>
          <w:spacing w:val="-2"/>
          <w:vertAlign w:val="baseline"/>
        </w:rPr>
        <w:t> </w:t>
      </w:r>
      <w:r>
        <w:rPr>
          <w:vertAlign w:val="baseline"/>
        </w:rPr>
        <w:t>in</w:t>
      </w:r>
      <w:r>
        <w:rPr>
          <w:spacing w:val="-2"/>
          <w:vertAlign w:val="baseline"/>
        </w:rPr>
        <w:t> </w:t>
      </w:r>
      <w:r>
        <w:rPr>
          <w:rFonts w:ascii="Arial" w:hAnsi="Arial"/>
          <w:i/>
          <w:vertAlign w:val="baseline"/>
        </w:rPr>
        <w:t>Pankhania</w:t>
      </w:r>
      <w:r>
        <w:rPr>
          <w:rFonts w:ascii="Arial" w:hAnsi="Arial"/>
          <w:i/>
          <w:spacing w:val="-2"/>
          <w:vertAlign w:val="baseline"/>
        </w:rPr>
        <w:t> </w:t>
      </w:r>
      <w:r>
        <w:rPr>
          <w:rFonts w:ascii="Arial" w:hAnsi="Arial"/>
          <w:i/>
          <w:vertAlign w:val="baseline"/>
        </w:rPr>
        <w:t>v</w:t>
      </w:r>
      <w:r>
        <w:rPr>
          <w:rFonts w:ascii="Arial" w:hAnsi="Arial"/>
          <w:i/>
          <w:spacing w:val="-2"/>
          <w:vertAlign w:val="baseline"/>
        </w:rPr>
        <w:t> </w:t>
      </w:r>
      <w:r>
        <w:rPr>
          <w:rFonts w:ascii="Arial" w:hAnsi="Arial"/>
          <w:i/>
          <w:vertAlign w:val="baseline"/>
        </w:rPr>
        <w:t>Hackney</w:t>
      </w:r>
      <w:r>
        <w:rPr>
          <w:rFonts w:ascii="Arial" w:hAnsi="Arial"/>
          <w:i/>
          <w:spacing w:val="-2"/>
          <w:vertAlign w:val="baseline"/>
        </w:rPr>
        <w:t> </w:t>
      </w:r>
      <w:r>
        <w:rPr>
          <w:rFonts w:ascii="Arial" w:hAnsi="Arial"/>
          <w:i/>
          <w:vertAlign w:val="baseline"/>
        </w:rPr>
        <w:t>LBC</w:t>
      </w:r>
      <w:r>
        <w:rPr>
          <w:rFonts w:ascii="Arial" w:hAnsi="Arial"/>
          <w:i/>
          <w:spacing w:val="-2"/>
          <w:vertAlign w:val="baseline"/>
        </w:rPr>
        <w:t> </w:t>
      </w:r>
      <w:r>
        <w:rPr>
          <w:color w:val="005DA1"/>
          <w:u w:val="single" w:color="005DA1"/>
          <w:vertAlign w:val="superscript"/>
        </w:rPr>
        <w:t>81</w:t>
      </w:r>
      <w:r>
        <w:rPr>
          <w:color w:val="005DA1"/>
          <w:spacing w:val="-2"/>
          <w:vertAlign w:val="baseline"/>
        </w:rPr>
        <w:t> </w:t>
      </w:r>
      <w:r>
        <w:rPr>
          <w:vertAlign w:val="baseline"/>
        </w:rPr>
        <w:t>that the “misrepresentation of law” rule is no longer good law. Thus, for the purposes of the law of misrepresentation, the distinction between statements of law and statements of fact is no longer maintainable and that even an incorrect statement of an abstract proposition of law may amount to a misrepresentation</w:t>
      </w:r>
      <w:r>
        <w:rPr>
          <w:spacing w:val="17"/>
          <w:vertAlign w:val="baseline"/>
        </w:rPr>
        <w:t> </w:t>
      </w:r>
      <w:r>
        <w:rPr>
          <w:vertAlign w:val="baseline"/>
        </w:rPr>
        <w:t>unless</w:t>
      </w:r>
      <w:r>
        <w:rPr>
          <w:spacing w:val="17"/>
          <w:vertAlign w:val="baseline"/>
        </w:rPr>
        <w:t> </w:t>
      </w:r>
      <w:r>
        <w:rPr>
          <w:vertAlign w:val="baseline"/>
        </w:rPr>
        <w:t>it</w:t>
      </w:r>
      <w:r>
        <w:rPr>
          <w:spacing w:val="17"/>
          <w:vertAlign w:val="baseline"/>
        </w:rPr>
        <w:t> </w:t>
      </w:r>
      <w:r>
        <w:rPr>
          <w:vertAlign w:val="baseline"/>
        </w:rPr>
        <w:t>is</w:t>
      </w:r>
      <w:r>
        <w:rPr>
          <w:spacing w:val="17"/>
          <w:vertAlign w:val="baseline"/>
        </w:rPr>
        <w:t> </w:t>
      </w:r>
      <w:r>
        <w:rPr>
          <w:vertAlign w:val="baseline"/>
        </w:rPr>
        <w:t>apparent</w:t>
      </w:r>
      <w:r>
        <w:rPr>
          <w:spacing w:val="17"/>
          <w:vertAlign w:val="baseline"/>
        </w:rPr>
        <w:t> </w:t>
      </w:r>
      <w:r>
        <w:rPr>
          <w:vertAlign w:val="baseline"/>
        </w:rPr>
        <w:t>that</w:t>
      </w:r>
      <w:r>
        <w:rPr>
          <w:spacing w:val="17"/>
          <w:vertAlign w:val="baseline"/>
        </w:rPr>
        <w:t> </w:t>
      </w:r>
      <w:r>
        <w:rPr>
          <w:vertAlign w:val="baseline"/>
        </w:rPr>
        <w:t>all</w:t>
      </w:r>
      <w:r>
        <w:rPr>
          <w:spacing w:val="17"/>
          <w:vertAlign w:val="baseline"/>
        </w:rPr>
        <w:t> </w:t>
      </w:r>
      <w:r>
        <w:rPr>
          <w:vertAlign w:val="baseline"/>
        </w:rPr>
        <w:t>that</w:t>
      </w:r>
      <w:r>
        <w:rPr>
          <w:spacing w:val="17"/>
          <w:vertAlign w:val="baseline"/>
        </w:rPr>
        <w:t> </w:t>
      </w:r>
      <w:r>
        <w:rPr>
          <w:vertAlign w:val="baseline"/>
        </w:rPr>
        <w:t>is</w:t>
      </w:r>
      <w:r>
        <w:rPr>
          <w:spacing w:val="17"/>
          <w:vertAlign w:val="baseline"/>
        </w:rPr>
        <w:t> </w:t>
      </w:r>
      <w:r>
        <w:rPr>
          <w:vertAlign w:val="baseline"/>
        </w:rPr>
        <w:t>being</w:t>
      </w:r>
      <w:r>
        <w:rPr>
          <w:spacing w:val="17"/>
          <w:vertAlign w:val="baseline"/>
        </w:rPr>
        <w:t> </w:t>
      </w:r>
      <w:r>
        <w:rPr>
          <w:vertAlign w:val="baseline"/>
        </w:rPr>
        <w:t>offered</w:t>
      </w:r>
      <w:r>
        <w:rPr>
          <w:spacing w:val="17"/>
          <w:vertAlign w:val="baseline"/>
        </w:rPr>
        <w:t> </w:t>
      </w:r>
      <w:r>
        <w:rPr>
          <w:vertAlign w:val="baseline"/>
        </w:rPr>
        <w:t>is</w:t>
      </w:r>
      <w:r>
        <w:rPr>
          <w:spacing w:val="17"/>
          <w:vertAlign w:val="baseline"/>
        </w:rPr>
        <w:t> </w:t>
      </w:r>
      <w:r>
        <w:rPr>
          <w:vertAlign w:val="baseline"/>
        </w:rPr>
        <w:t>an</w:t>
      </w:r>
      <w:r>
        <w:rPr>
          <w:spacing w:val="17"/>
          <w:vertAlign w:val="baseline"/>
        </w:rPr>
        <w:t> </w:t>
      </w:r>
      <w:r>
        <w:rPr>
          <w:vertAlign w:val="baseline"/>
        </w:rPr>
        <w:t>opinion</w:t>
      </w:r>
      <w:r>
        <w:rPr>
          <w:spacing w:val="17"/>
          <w:vertAlign w:val="baseline"/>
        </w:rPr>
        <w:t> </w:t>
      </w:r>
      <w:r>
        <w:rPr>
          <w:vertAlign w:val="baseline"/>
        </w:rPr>
        <w:t>without</w:t>
      </w:r>
      <w:r>
        <w:rPr>
          <w:spacing w:val="17"/>
          <w:vertAlign w:val="baseline"/>
        </w:rPr>
        <w:t> </w:t>
      </w:r>
      <w:r>
        <w:rPr>
          <w:spacing w:val="-2"/>
          <w:vertAlign w:val="baseline"/>
        </w:rPr>
        <w:t>implication</w:t>
      </w:r>
    </w:p>
    <w:p>
      <w:pPr>
        <w:pStyle w:val="BodyText"/>
        <w:spacing w:after="0" w:line="235" w:lineRule="auto"/>
        <w:jc w:val="both"/>
        <w:sectPr>
          <w:pgSz w:w="11900" w:h="16840"/>
          <w:pgMar w:header="971" w:footer="0" w:top="1160" w:bottom="280" w:left="1275" w:right="1275"/>
        </w:sectPr>
      </w:pPr>
    </w:p>
    <w:p>
      <w:pPr>
        <w:pStyle w:val="BodyText"/>
        <w:spacing w:before="144"/>
      </w:pPr>
    </w:p>
    <w:p>
      <w:pPr>
        <w:pStyle w:val="BodyText"/>
        <w:spacing w:line="235" w:lineRule="auto" w:before="1"/>
        <w:ind w:left="165" w:right="167"/>
        <w:jc w:val="both"/>
      </w:pPr>
      <w:bookmarkStart w:name="_bookmark91" w:id="93"/>
      <w:bookmarkEnd w:id="93"/>
      <w:r>
        <w:rPr/>
      </w:r>
      <w:r>
        <w:rPr/>
        <w:t>that the speaker has reasonable grounds for that opinion. </w:t>
      </w:r>
      <w:r>
        <w:rPr>
          <w:color w:val="005DA1"/>
          <w:u w:val="single" w:color="005DA1"/>
          <w:vertAlign w:val="superscript"/>
        </w:rPr>
        <w:t>82</w:t>
      </w:r>
      <w:r>
        <w:rPr>
          <w:color w:val="005DA1"/>
          <w:spacing w:val="80"/>
          <w:vertAlign w:val="baseline"/>
        </w:rPr>
        <w:t> </w:t>
      </w:r>
      <w:r>
        <w:rPr>
          <w:color w:val="005DA1"/>
          <w:spacing w:val="15"/>
          <w:position w:val="-2"/>
          <w:vertAlign w:val="baseline"/>
        </w:rPr>
        <w:drawing>
          <wp:inline distT="0" distB="0" distL="0" distR="0">
            <wp:extent cx="107988" cy="107988"/>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color w:val="005DA1"/>
          <w:spacing w:val="13"/>
          <w:vertAlign w:val="baseline"/>
        </w:rPr>
        <w:t> </w:t>
      </w:r>
      <w:r>
        <w:rPr>
          <w:vertAlign w:val="baseline"/>
        </w:rPr>
        <w:t>It is submitted that the underlying principle here is the same as that suggested in the previous paragraph, viz that even a statement </w:t>
      </w:r>
      <w:r>
        <w:rPr>
          <w:vertAlign w:val="baseline"/>
        </w:rPr>
        <w:t>as </w:t>
      </w:r>
      <w:bookmarkStart w:name="_bookmark92" w:id="94"/>
      <w:bookmarkEnd w:id="94"/>
      <w:r>
        <w:rPr>
          <w:vertAlign w:val="baseline"/>
        </w:rPr>
        <w:t>to</w:t>
      </w:r>
      <w:r>
        <w:rPr>
          <w:spacing w:val="61"/>
          <w:vertAlign w:val="baseline"/>
        </w:rPr>
        <w:t> </w:t>
      </w:r>
      <w:r>
        <w:rPr>
          <w:vertAlign w:val="baseline"/>
        </w:rPr>
        <w:t>the</w:t>
      </w:r>
      <w:r>
        <w:rPr>
          <w:spacing w:val="61"/>
          <w:vertAlign w:val="baseline"/>
        </w:rPr>
        <w:t> </w:t>
      </w:r>
      <w:r>
        <w:rPr>
          <w:vertAlign w:val="baseline"/>
        </w:rPr>
        <w:t>law</w:t>
      </w:r>
      <w:r>
        <w:rPr>
          <w:spacing w:val="61"/>
          <w:vertAlign w:val="baseline"/>
        </w:rPr>
        <w:t> </w:t>
      </w:r>
      <w:r>
        <w:rPr>
          <w:vertAlign w:val="baseline"/>
        </w:rPr>
        <w:t>may</w:t>
      </w:r>
      <w:r>
        <w:rPr>
          <w:spacing w:val="61"/>
          <w:vertAlign w:val="baseline"/>
        </w:rPr>
        <w:t> </w:t>
      </w:r>
      <w:r>
        <w:rPr>
          <w:vertAlign w:val="baseline"/>
        </w:rPr>
        <w:t>be</w:t>
      </w:r>
      <w:r>
        <w:rPr>
          <w:spacing w:val="61"/>
          <w:vertAlign w:val="baseline"/>
        </w:rPr>
        <w:t> </w:t>
      </w:r>
      <w:r>
        <w:rPr>
          <w:vertAlign w:val="baseline"/>
        </w:rPr>
        <w:t>a</w:t>
      </w:r>
      <w:r>
        <w:rPr>
          <w:spacing w:val="61"/>
          <w:vertAlign w:val="baseline"/>
        </w:rPr>
        <w:t> </w:t>
      </w:r>
      <w:r>
        <w:rPr>
          <w:vertAlign w:val="baseline"/>
        </w:rPr>
        <w:t>misrepresentation</w:t>
      </w:r>
      <w:r>
        <w:rPr>
          <w:spacing w:val="61"/>
          <w:vertAlign w:val="baseline"/>
        </w:rPr>
        <w:t> </w:t>
      </w:r>
      <w:r>
        <w:rPr>
          <w:vertAlign w:val="baseline"/>
        </w:rPr>
        <w:t>if</w:t>
      </w:r>
      <w:r>
        <w:rPr>
          <w:spacing w:val="61"/>
          <w:vertAlign w:val="baseline"/>
        </w:rPr>
        <w:t> </w:t>
      </w:r>
      <w:r>
        <w:rPr>
          <w:vertAlign w:val="baseline"/>
        </w:rPr>
        <w:t>it</w:t>
      </w:r>
      <w:r>
        <w:rPr>
          <w:spacing w:val="61"/>
          <w:vertAlign w:val="baseline"/>
        </w:rPr>
        <w:t> </w:t>
      </w:r>
      <w:r>
        <w:rPr>
          <w:vertAlign w:val="baseline"/>
        </w:rPr>
        <w:t>was</w:t>
      </w:r>
      <w:r>
        <w:rPr>
          <w:spacing w:val="61"/>
          <w:vertAlign w:val="baseline"/>
        </w:rPr>
        <w:t> </w:t>
      </w:r>
      <w:r>
        <w:rPr>
          <w:vertAlign w:val="baseline"/>
        </w:rPr>
        <w:t>reasonable,</w:t>
      </w:r>
      <w:r>
        <w:rPr>
          <w:spacing w:val="61"/>
          <w:vertAlign w:val="baseline"/>
        </w:rPr>
        <w:t> </w:t>
      </w:r>
      <w:r>
        <w:rPr>
          <w:vertAlign w:val="baseline"/>
        </w:rPr>
        <w:t>in</w:t>
      </w:r>
      <w:r>
        <w:rPr>
          <w:spacing w:val="61"/>
          <w:vertAlign w:val="baseline"/>
        </w:rPr>
        <w:t> </w:t>
      </w:r>
      <w:r>
        <w:rPr>
          <w:vertAlign w:val="baseline"/>
        </w:rPr>
        <w:t>all</w:t>
      </w:r>
      <w:r>
        <w:rPr>
          <w:spacing w:val="61"/>
          <w:vertAlign w:val="baseline"/>
        </w:rPr>
        <w:t> </w:t>
      </w:r>
      <w:r>
        <w:rPr>
          <w:vertAlign w:val="baseline"/>
        </w:rPr>
        <w:t>the</w:t>
      </w:r>
      <w:r>
        <w:rPr>
          <w:spacing w:val="61"/>
          <w:vertAlign w:val="baseline"/>
        </w:rPr>
        <w:t> </w:t>
      </w:r>
      <w:r>
        <w:rPr>
          <w:vertAlign w:val="baseline"/>
        </w:rPr>
        <w:t>circumstances,</w:t>
      </w:r>
      <w:r>
        <w:rPr>
          <w:spacing w:val="61"/>
          <w:vertAlign w:val="baseline"/>
        </w:rPr>
        <w:t> </w:t>
      </w:r>
      <w:r>
        <w:rPr>
          <w:vertAlign w:val="baseline"/>
        </w:rPr>
        <w:t>for</w:t>
      </w:r>
      <w:r>
        <w:rPr>
          <w:spacing w:val="61"/>
          <w:vertAlign w:val="baseline"/>
        </w:rPr>
        <w:t> </w:t>
      </w:r>
      <w:r>
        <w:rPr>
          <w:spacing w:val="-5"/>
          <w:vertAlign w:val="baseline"/>
        </w:rPr>
        <w:t>the</w:t>
      </w:r>
    </w:p>
    <w:p>
      <w:pPr>
        <w:pStyle w:val="BodyText"/>
        <w:spacing w:line="235" w:lineRule="auto" w:before="119"/>
        <w:ind w:left="165" w:right="167"/>
        <w:jc w:val="both"/>
      </w:pPr>
      <w:bookmarkStart w:name="_bookmark93" w:id="95"/>
      <w:bookmarkEnd w:id="95"/>
      <w:r>
        <w:rPr/>
      </w:r>
      <w:r>
        <w:rPr/>
        <w:t>representee to rely upon it. </w:t>
      </w:r>
      <w:r>
        <w:rPr>
          <w:color w:val="005DA1"/>
          <w:u w:val="single" w:color="005DA1"/>
          <w:vertAlign w:val="superscript"/>
        </w:rPr>
        <w:t>83</w:t>
      </w:r>
      <w:r>
        <w:rPr>
          <w:color w:val="005DA1"/>
          <w:spacing w:val="80"/>
          <w:vertAlign w:val="baseline"/>
        </w:rPr>
        <w:t> </w:t>
      </w:r>
      <w:r>
        <w:rPr>
          <w:color w:val="005DA1"/>
          <w:spacing w:val="16"/>
          <w:position w:val="-2"/>
          <w:vertAlign w:val="baseline"/>
        </w:rPr>
        <w:drawing>
          <wp:inline distT="0" distB="0" distL="0" distR="0">
            <wp:extent cx="107988" cy="107988"/>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color w:val="005DA1"/>
          <w:spacing w:val="-7"/>
          <w:vertAlign w:val="baseline"/>
        </w:rPr>
        <w:t> </w:t>
      </w:r>
      <w:r>
        <w:rPr>
          <w:vertAlign w:val="baseline"/>
        </w:rPr>
        <w:t>In any event a statement of foreign law is here (as elsewhere in the law) treated as a statement of fact. </w:t>
      </w:r>
      <w:r>
        <w:rPr>
          <w:color w:val="005DA1"/>
          <w:u w:val="single" w:color="005DA1"/>
          <w:vertAlign w:val="superscript"/>
        </w:rPr>
        <w:t>84</w:t>
      </w:r>
    </w:p>
    <w:p>
      <w:pPr>
        <w:pStyle w:val="BodyText"/>
      </w:pPr>
    </w:p>
    <w:p>
      <w:pPr>
        <w:pStyle w:val="BodyText"/>
        <w:spacing w:before="37"/>
      </w:pPr>
    </w:p>
    <w:p>
      <w:pPr>
        <w:spacing w:before="0"/>
        <w:ind w:left="165" w:right="0" w:firstLine="0"/>
        <w:jc w:val="left"/>
        <w:rPr>
          <w:rFonts w:ascii="Arial"/>
          <w:b/>
          <w:sz w:val="18"/>
        </w:rPr>
      </w:pPr>
      <w:r>
        <w:rPr>
          <w:rFonts w:ascii="Arial"/>
          <w:b/>
          <w:sz w:val="18"/>
        </w:rPr>
        <w:t>Non-</w:t>
      </w:r>
      <w:r>
        <w:rPr>
          <w:rFonts w:ascii="Arial"/>
          <w:b/>
          <w:spacing w:val="-2"/>
          <w:sz w:val="18"/>
        </w:rPr>
        <w:t>disclosure</w:t>
      </w:r>
    </w:p>
    <w:p>
      <w:pPr>
        <w:pStyle w:val="BodyText"/>
        <w:spacing w:before="42"/>
        <w:rPr>
          <w:rFonts w:ascii="Arial"/>
          <w:b/>
          <w:sz w:val="18"/>
        </w:rPr>
      </w:pPr>
    </w:p>
    <w:p>
      <w:pPr>
        <w:pStyle w:val="Heading2"/>
      </w:pPr>
      <w:r>
        <w:rPr/>
        <w:t>7-</w:t>
      </w:r>
      <w:r>
        <w:rPr>
          <w:spacing w:val="-5"/>
        </w:rPr>
        <w:t>017</w:t>
      </w:r>
    </w:p>
    <w:p>
      <w:pPr>
        <w:pStyle w:val="BodyText"/>
        <w:spacing w:line="235" w:lineRule="auto" w:before="202"/>
        <w:ind w:left="164" w:right="167"/>
        <w:jc w:val="both"/>
      </w:pPr>
      <w:r>
        <w:rPr/>
        <w:t>The general rule is that mere non-disclosure does not constitute misrepresentation, for there is, </w:t>
      </w:r>
      <w:r>
        <w:rPr/>
        <w:t>in </w:t>
      </w:r>
      <w:bookmarkStart w:name="_bookmark94" w:id="96"/>
      <w:bookmarkEnd w:id="96"/>
      <w:r>
        <w:rPr/>
        <w:t>general,</w:t>
      </w:r>
      <w:r>
        <w:rPr/>
        <w:t> no duty on the parties to a contract to disclose material facts to each other, however </w:t>
      </w:r>
      <w:bookmarkStart w:name="_bookmark95" w:id="97"/>
      <w:bookmarkEnd w:id="97"/>
      <w:r>
        <w:rPr/>
        <w:t>dishonest</w:t>
      </w:r>
      <w:r>
        <w:rPr/>
        <w:t> such nondisclosure may be in particular circumstances. </w:t>
      </w:r>
      <w:r>
        <w:rPr>
          <w:color w:val="005DA1"/>
          <w:u w:val="single" w:color="005DA1"/>
          <w:vertAlign w:val="superscript"/>
        </w:rPr>
        <w:t>85</w:t>
      </w:r>
      <w:r>
        <w:rPr>
          <w:color w:val="005DA1"/>
          <w:vertAlign w:val="baseline"/>
        </w:rPr>
        <w:t> </w:t>
      </w:r>
      <w:r>
        <w:rPr>
          <w:vertAlign w:val="baseline"/>
        </w:rPr>
        <w:t>So, for example, in </w:t>
      </w:r>
      <w:r>
        <w:rPr>
          <w:rFonts w:ascii="Arial" w:hAnsi="Arial"/>
          <w:i/>
          <w:vertAlign w:val="baseline"/>
        </w:rPr>
        <w:t>Percival v Wright</w:t>
      </w:r>
      <w:r>
        <w:rPr>
          <w:vertAlign w:val="baseline"/>
        </w:rPr>
        <w:t>, </w:t>
      </w:r>
      <w:r>
        <w:rPr>
          <w:color w:val="005DA1"/>
          <w:u w:val="single" w:color="005DA1"/>
          <w:vertAlign w:val="superscript"/>
        </w:rPr>
        <w:t>86</w:t>
      </w:r>
      <w:r>
        <w:rPr>
          <w:color w:val="005DA1"/>
          <w:vertAlign w:val="baseline"/>
        </w:rPr>
        <w:t> </w:t>
      </w:r>
      <w:r>
        <w:rPr>
          <w:vertAlign w:val="baseline"/>
        </w:rPr>
        <w:t>a company director who had inside information about certain facts likely to enhance the value of the company’s shares was held to be under no duty to disclose this fact to a shareholder</w:t>
      </w:r>
      <w:r>
        <w:rPr>
          <w:spacing w:val="40"/>
          <w:vertAlign w:val="baseline"/>
        </w:rPr>
        <w:t> </w:t>
      </w:r>
      <w:r>
        <w:rPr>
          <w:vertAlign w:val="baseline"/>
        </w:rPr>
        <w:t>from whom he bought some shares. For the same reason it is not possible to set up an estoppel on </w:t>
      </w:r>
      <w:bookmarkStart w:name="_bookmark96" w:id="98"/>
      <w:bookmarkEnd w:id="98"/>
      <w:r>
        <w:rPr>
          <w:vertAlign w:val="baseline"/>
        </w:rPr>
        <w:t>the</w:t>
      </w:r>
      <w:r>
        <w:rPr>
          <w:vertAlign w:val="baseline"/>
        </w:rPr>
        <w:t> basis of an omission to disclose unless a duty to disclose can be established in the particular </w:t>
      </w:r>
      <w:bookmarkStart w:name="_bookmark97" w:id="99"/>
      <w:bookmarkEnd w:id="99"/>
      <w:r>
        <w:rPr>
          <w:vertAlign w:val="baseline"/>
        </w:rPr>
        <w:t>circumstances</w:t>
      </w:r>
      <w:r>
        <w:rPr>
          <w:vertAlign w:val="baseline"/>
        </w:rPr>
        <w:t> of the case. </w:t>
      </w:r>
      <w:r>
        <w:rPr>
          <w:color w:val="005DA1"/>
          <w:u w:val="single" w:color="005DA1"/>
          <w:vertAlign w:val="superscript"/>
        </w:rPr>
        <w:t>87</w:t>
      </w:r>
      <w:r>
        <w:rPr>
          <w:color w:val="005DA1"/>
          <w:vertAlign w:val="baseline"/>
        </w:rPr>
        <w:t> </w:t>
      </w:r>
      <w:r>
        <w:rPr>
          <w:vertAlign w:val="baseline"/>
        </w:rPr>
        <w:t>Tacit acquiescence in another’s self-deception does not itself amount to a</w:t>
      </w:r>
      <w:r>
        <w:rPr>
          <w:spacing w:val="7"/>
          <w:vertAlign w:val="baseline"/>
        </w:rPr>
        <w:t> </w:t>
      </w:r>
      <w:r>
        <w:rPr>
          <w:vertAlign w:val="baseline"/>
        </w:rPr>
        <w:t>misrepresentation,</w:t>
      </w:r>
      <w:r>
        <w:rPr>
          <w:spacing w:val="7"/>
          <w:vertAlign w:val="baseline"/>
        </w:rPr>
        <w:t> </w:t>
      </w:r>
      <w:r>
        <w:rPr>
          <w:vertAlign w:val="baseline"/>
        </w:rPr>
        <w:t>provided</w:t>
      </w:r>
      <w:r>
        <w:rPr>
          <w:spacing w:val="7"/>
          <w:vertAlign w:val="baseline"/>
        </w:rPr>
        <w:t> </w:t>
      </w:r>
      <w:r>
        <w:rPr>
          <w:vertAlign w:val="baseline"/>
        </w:rPr>
        <w:t>that</w:t>
      </w:r>
      <w:r>
        <w:rPr>
          <w:spacing w:val="7"/>
          <w:vertAlign w:val="baseline"/>
        </w:rPr>
        <w:t> </w:t>
      </w:r>
      <w:r>
        <w:rPr>
          <w:vertAlign w:val="baseline"/>
        </w:rPr>
        <w:t>it</w:t>
      </w:r>
      <w:r>
        <w:rPr>
          <w:spacing w:val="7"/>
          <w:vertAlign w:val="baseline"/>
        </w:rPr>
        <w:t> </w:t>
      </w:r>
      <w:r>
        <w:rPr>
          <w:vertAlign w:val="baseline"/>
        </w:rPr>
        <w:t>has</w:t>
      </w:r>
      <w:r>
        <w:rPr>
          <w:spacing w:val="7"/>
          <w:vertAlign w:val="baseline"/>
        </w:rPr>
        <w:t> </w:t>
      </w:r>
      <w:r>
        <w:rPr>
          <w:vertAlign w:val="baseline"/>
        </w:rPr>
        <w:t>not</w:t>
      </w:r>
      <w:r>
        <w:rPr>
          <w:spacing w:val="7"/>
          <w:vertAlign w:val="baseline"/>
        </w:rPr>
        <w:t> </w:t>
      </w:r>
      <w:r>
        <w:rPr>
          <w:vertAlign w:val="baseline"/>
        </w:rPr>
        <w:t>previously</w:t>
      </w:r>
      <w:r>
        <w:rPr>
          <w:spacing w:val="7"/>
          <w:vertAlign w:val="baseline"/>
        </w:rPr>
        <w:t> </w:t>
      </w:r>
      <w:r>
        <w:rPr>
          <w:vertAlign w:val="baseline"/>
        </w:rPr>
        <w:t>been</w:t>
      </w:r>
      <w:r>
        <w:rPr>
          <w:spacing w:val="7"/>
          <w:vertAlign w:val="baseline"/>
        </w:rPr>
        <w:t> </w:t>
      </w:r>
      <w:r>
        <w:rPr>
          <w:vertAlign w:val="baseline"/>
        </w:rPr>
        <w:t>caused</w:t>
      </w:r>
      <w:r>
        <w:rPr>
          <w:spacing w:val="7"/>
          <w:vertAlign w:val="baseline"/>
        </w:rPr>
        <w:t> </w:t>
      </w:r>
      <w:r>
        <w:rPr>
          <w:vertAlign w:val="baseline"/>
        </w:rPr>
        <w:t>by</w:t>
      </w:r>
      <w:r>
        <w:rPr>
          <w:spacing w:val="7"/>
          <w:vertAlign w:val="baseline"/>
        </w:rPr>
        <w:t> </w:t>
      </w:r>
      <w:r>
        <w:rPr>
          <w:vertAlign w:val="baseline"/>
        </w:rPr>
        <w:t>a</w:t>
      </w:r>
      <w:r>
        <w:rPr>
          <w:spacing w:val="7"/>
          <w:vertAlign w:val="baseline"/>
        </w:rPr>
        <w:t> </w:t>
      </w:r>
      <w:r>
        <w:rPr>
          <w:vertAlign w:val="baseline"/>
        </w:rPr>
        <w:t>positive</w:t>
      </w:r>
      <w:r>
        <w:rPr>
          <w:spacing w:val="7"/>
          <w:vertAlign w:val="baseline"/>
        </w:rPr>
        <w:t> </w:t>
      </w:r>
      <w:r>
        <w:rPr>
          <w:spacing w:val="-2"/>
          <w:vertAlign w:val="baseline"/>
        </w:rPr>
        <w:t>misrepresentation.</w:t>
      </w:r>
    </w:p>
    <w:p>
      <w:pPr>
        <w:pStyle w:val="BodyText"/>
        <w:spacing w:line="235" w:lineRule="auto"/>
        <w:ind w:left="165" w:right="167"/>
        <w:jc w:val="both"/>
      </w:pPr>
      <w:r>
        <w:rPr>
          <w:color w:val="005DA1"/>
          <w:u w:val="single" w:color="005DA1"/>
          <w:vertAlign w:val="superscript"/>
        </w:rPr>
        <w:t>88</w:t>
      </w:r>
      <w:r>
        <w:rPr>
          <w:color w:val="005DA1"/>
          <w:vertAlign w:val="baseline"/>
        </w:rPr>
        <w:t> </w:t>
      </w:r>
      <w:bookmarkStart w:name="_bookmark98" w:id="100"/>
      <w:bookmarkEnd w:id="100"/>
      <w:r>
        <w:rPr>
          <w:color w:val="005DA1"/>
          <w:spacing w:val="11"/>
          <w:vertAlign w:val="baseline"/>
        </w:rPr>
      </w:r>
      <w:r>
        <w:rPr>
          <w:vertAlign w:val="baseline"/>
        </w:rPr>
        <w:t>But there are exceptions to the general rule that there is no duty to disclose. First, there are many statutory exceptions. </w:t>
      </w:r>
      <w:r>
        <w:rPr>
          <w:color w:val="005DA1"/>
          <w:u w:val="single" w:color="005DA1"/>
          <w:vertAlign w:val="superscript"/>
        </w:rPr>
        <w:t>89</w:t>
      </w:r>
      <w:r>
        <w:rPr>
          <w:color w:val="005DA1"/>
          <w:vertAlign w:val="baseline"/>
        </w:rPr>
        <w:t> </w:t>
      </w:r>
      <w:r>
        <w:rPr>
          <w:vertAlign w:val="baseline"/>
        </w:rPr>
        <w:t>Secondly, there are exceptions at common law where in particular types of </w:t>
      </w:r>
      <w:bookmarkStart w:name="_bookmark99" w:id="101"/>
      <w:bookmarkEnd w:id="101"/>
      <w:r>
        <w:rPr>
          <w:vertAlign w:val="baseline"/>
        </w:rPr>
        <w:t>contract</w:t>
      </w:r>
      <w:r>
        <w:rPr>
          <w:vertAlign w:val="baseline"/>
        </w:rPr>
        <w:t> there has been held to be a duty of disclosure (often categorised as contracts uberrimae </w:t>
      </w:r>
      <w:bookmarkStart w:name="_bookmark100" w:id="102"/>
      <w:bookmarkEnd w:id="102"/>
      <w:r>
        <w:rPr>
          <w:vertAlign w:val="baseline"/>
        </w:rPr>
        <w:t>fidei).</w:t>
      </w:r>
      <w:r>
        <w:rPr>
          <w:vertAlign w:val="baseline"/>
        </w:rPr>
        <w:t> </w:t>
      </w:r>
      <w:r>
        <w:rPr>
          <w:color w:val="005DA1"/>
          <w:u w:val="single" w:color="005DA1"/>
          <w:vertAlign w:val="superscript"/>
        </w:rPr>
        <w:t>90</w:t>
      </w:r>
      <w:r>
        <w:rPr>
          <w:color w:val="005DA1"/>
          <w:vertAlign w:val="baseline"/>
        </w:rPr>
        <w:t> </w:t>
      </w:r>
      <w:r>
        <w:rPr>
          <w:vertAlign w:val="baseline"/>
        </w:rPr>
        <w:t>These include cases where there is a fiduciary relationship between the parties </w:t>
      </w:r>
      <w:r>
        <w:rPr>
          <w:color w:val="005DA1"/>
          <w:u w:val="single" w:color="005DA1"/>
          <w:vertAlign w:val="superscript"/>
        </w:rPr>
        <w:t>91</w:t>
      </w:r>
      <w:r>
        <w:rPr>
          <w:color w:val="005DA1"/>
          <w:vertAlign w:val="baseline"/>
        </w:rPr>
        <w:t> </w:t>
      </w:r>
      <w:r>
        <w:rPr>
          <w:vertAlign w:val="baseline"/>
        </w:rPr>
        <w:t>and where the relationship between the parties is one of trust and confidence. </w:t>
      </w:r>
      <w:r>
        <w:rPr>
          <w:color w:val="005DA1"/>
          <w:u w:val="single" w:color="005DA1"/>
          <w:vertAlign w:val="superscript"/>
        </w:rPr>
        <w:t>92</w:t>
      </w:r>
      <w:r>
        <w:rPr>
          <w:color w:val="005DA1"/>
          <w:vertAlign w:val="baseline"/>
        </w:rPr>
        <w:t> </w:t>
      </w:r>
      <w:r>
        <w:rPr>
          <w:vertAlign w:val="baseline"/>
        </w:rPr>
        <w:t>There may also be a duty to </w:t>
      </w:r>
      <w:bookmarkStart w:name="_bookmark101" w:id="103"/>
      <w:bookmarkEnd w:id="103"/>
      <w:r>
        <w:rPr>
          <w:vertAlign w:val="baseline"/>
        </w:rPr>
        <w:t>disclose</w:t>
      </w:r>
      <w:r>
        <w:rPr>
          <w:vertAlign w:val="baseline"/>
        </w:rPr>
        <w:t> where failure to disclose some fact distorts a positive representation. It is also possible for </w:t>
      </w:r>
      <w:r>
        <w:rPr>
          <w:vertAlign w:val="baseline"/>
        </w:rPr>
        <w:t>a </w:t>
      </w:r>
      <w:bookmarkStart w:name="_bookmark102" w:id="104"/>
      <w:bookmarkEnd w:id="104"/>
      <w:r>
        <w:rPr>
          <w:vertAlign w:val="baseline"/>
        </w:rPr>
        <w:t>person</w:t>
      </w:r>
      <w:r>
        <w:rPr>
          <w:vertAlign w:val="baseline"/>
        </w:rPr>
        <w:t> to be guilty of misrepresentation by conduct. </w:t>
      </w:r>
      <w:r>
        <w:rPr>
          <w:color w:val="005DA1"/>
          <w:u w:val="single" w:color="005DA1"/>
          <w:vertAlign w:val="superscript"/>
        </w:rPr>
        <w:t>93</w:t>
      </w:r>
      <w:r>
        <w:rPr>
          <w:color w:val="005DA1"/>
          <w:vertAlign w:val="baseline"/>
        </w:rPr>
        <w:t> </w:t>
      </w:r>
      <w:r>
        <w:rPr>
          <w:vertAlign w:val="baseline"/>
        </w:rPr>
        <w:t>The first two exceptions at common law are dealt with later. </w:t>
      </w:r>
      <w:r>
        <w:rPr>
          <w:color w:val="005DA1"/>
          <w:u w:val="single" w:color="005DA1"/>
          <w:vertAlign w:val="superscript"/>
        </w:rPr>
        <w:t>94</w:t>
      </w:r>
      <w:r>
        <w:rPr>
          <w:color w:val="005DA1"/>
          <w:vertAlign w:val="baseline"/>
        </w:rPr>
        <w:t> </w:t>
      </w:r>
      <w:r>
        <w:rPr>
          <w:vertAlign w:val="baseline"/>
        </w:rPr>
        <w:t>Misrepresentation by conduct and cases in which a failure to disclose a fact distorts a positive misrepresentation are dealt with in the following paragraphs.</w:t>
      </w:r>
    </w:p>
    <w:p>
      <w:pPr>
        <w:pStyle w:val="BodyText"/>
      </w:pPr>
    </w:p>
    <w:p>
      <w:pPr>
        <w:pStyle w:val="BodyText"/>
        <w:spacing w:before="32"/>
      </w:pPr>
    </w:p>
    <w:p>
      <w:pPr>
        <w:spacing w:before="0"/>
        <w:ind w:left="165" w:right="0" w:firstLine="0"/>
        <w:jc w:val="left"/>
        <w:rPr>
          <w:rFonts w:ascii="Arial"/>
          <w:b/>
          <w:sz w:val="18"/>
        </w:rPr>
      </w:pPr>
      <w:r>
        <w:rPr>
          <w:rFonts w:ascii="Arial"/>
          <w:b/>
          <w:sz w:val="18"/>
        </w:rPr>
        <w:t>Misrepresentation by </w:t>
      </w:r>
      <w:r>
        <w:rPr>
          <w:rFonts w:ascii="Arial"/>
          <w:b/>
          <w:spacing w:val="-2"/>
          <w:sz w:val="18"/>
        </w:rPr>
        <w:t>conduct</w:t>
      </w:r>
    </w:p>
    <w:p>
      <w:pPr>
        <w:pStyle w:val="BodyText"/>
        <w:spacing w:before="41"/>
        <w:rPr>
          <w:rFonts w:ascii="Arial"/>
          <w:b/>
          <w:sz w:val="18"/>
        </w:rPr>
      </w:pPr>
    </w:p>
    <w:p>
      <w:pPr>
        <w:pStyle w:val="Heading2"/>
        <w:spacing w:before="1"/>
      </w:pPr>
      <w:r>
        <w:rPr/>
        <w:t>7-</w:t>
      </w:r>
      <w:r>
        <w:rPr>
          <w:spacing w:val="-5"/>
        </w:rPr>
        <w:t>018</w:t>
      </w:r>
    </w:p>
    <w:p>
      <w:pPr>
        <w:pStyle w:val="BodyText"/>
        <w:spacing w:line="235" w:lineRule="auto" w:before="202"/>
        <w:ind w:left="164" w:right="167"/>
        <w:jc w:val="both"/>
      </w:pPr>
      <w:bookmarkStart w:name="_bookmark103" w:id="105"/>
      <w:bookmarkEnd w:id="105"/>
      <w:r>
        <w:rPr/>
      </w:r>
      <w:r>
        <w:rPr/>
        <w:t>As previously mentioned, a person may be guilty of misrepresentation by conduct. </w:t>
      </w:r>
      <w:r>
        <w:rPr>
          <w:color w:val="005DA1"/>
          <w:u w:val="single" w:color="005DA1"/>
          <w:vertAlign w:val="superscript"/>
        </w:rPr>
        <w:t>95</w:t>
      </w:r>
      <w:r>
        <w:rPr>
          <w:color w:val="005DA1"/>
          <w:vertAlign w:val="baseline"/>
        </w:rPr>
        <w:t> </w:t>
      </w:r>
      <w:r>
        <w:rPr>
          <w:vertAlign w:val="baseline"/>
        </w:rPr>
        <w:t>It is sometimes </w:t>
      </w:r>
      <w:bookmarkStart w:name="_bookmark104" w:id="106"/>
      <w:bookmarkEnd w:id="106"/>
      <w:r>
        <w:rPr>
          <w:vertAlign w:val="baseline"/>
        </w:rPr>
        <w:t>hard</w:t>
      </w:r>
      <w:r>
        <w:rPr>
          <w:vertAlign w:val="baseline"/>
        </w:rPr>
        <w:t> to distinguish misrepresentation by conduct from implied representation, but normally it is unnecessary to do so. </w:t>
      </w:r>
      <w:r>
        <w:rPr>
          <w:color w:val="005DA1"/>
          <w:u w:val="single" w:color="005DA1"/>
          <w:vertAlign w:val="superscript"/>
        </w:rPr>
        <w:t>96</w:t>
      </w:r>
      <w:r>
        <w:rPr>
          <w:color w:val="005DA1"/>
          <w:vertAlign w:val="baseline"/>
        </w:rPr>
        <w:t> </w:t>
      </w:r>
      <w:r>
        <w:rPr>
          <w:vertAlign w:val="baseline"/>
        </w:rPr>
        <w:t>In the simplest case, conduct may be intended to convey information in precisely the same way as the written or spoken word. Thus a person who goes into a shop in a </w:t>
      </w:r>
      <w:bookmarkStart w:name="_bookmark105" w:id="107"/>
      <w:bookmarkEnd w:id="107"/>
      <w:r>
        <w:rPr>
          <w:vertAlign w:val="baseline"/>
        </w:rPr>
        <w:t>university</w:t>
      </w:r>
      <w:r>
        <w:rPr>
          <w:vertAlign w:val="baseline"/>
        </w:rPr>
        <w:t> town wearing cap and gown may (if such costume is still customary) be representing that</w:t>
      </w:r>
      <w:r>
        <w:rPr>
          <w:spacing w:val="40"/>
          <w:vertAlign w:val="baseline"/>
        </w:rPr>
        <w:t> </w:t>
      </w:r>
      <w:bookmarkStart w:name="_bookmark106" w:id="108"/>
      <w:bookmarkEnd w:id="108"/>
      <w:r>
        <w:rPr>
          <w:vertAlign w:val="baseline"/>
        </w:rPr>
        <w:t>he</w:t>
      </w:r>
      <w:r>
        <w:rPr>
          <w:vertAlign w:val="baseline"/>
        </w:rPr>
        <w:t> is an undergraduate, </w:t>
      </w:r>
      <w:r>
        <w:rPr>
          <w:color w:val="005DA1"/>
          <w:u w:val="single" w:color="005DA1"/>
          <w:vertAlign w:val="superscript"/>
        </w:rPr>
        <w:t>97</w:t>
      </w:r>
      <w:r>
        <w:rPr>
          <w:color w:val="005DA1"/>
          <w:vertAlign w:val="baseline"/>
        </w:rPr>
        <w:t> </w:t>
      </w:r>
      <w:r>
        <w:rPr>
          <w:vertAlign w:val="baseline"/>
        </w:rPr>
        <w:t>a person who sits down in a restaurant and orders a meal impliedly </w:t>
      </w:r>
      <w:bookmarkStart w:name="_bookmark107" w:id="109"/>
      <w:bookmarkEnd w:id="109"/>
      <w:r>
        <w:rPr>
          <w:vertAlign w:val="baseline"/>
        </w:rPr>
        <w:t>represents</w:t>
      </w:r>
      <w:r>
        <w:rPr>
          <w:vertAlign w:val="baseline"/>
        </w:rPr>
        <w:t> that he has the means to pay, </w:t>
      </w:r>
      <w:r>
        <w:rPr>
          <w:color w:val="005DA1"/>
          <w:u w:val="single" w:color="005DA1"/>
          <w:vertAlign w:val="superscript"/>
        </w:rPr>
        <w:t>98</w:t>
      </w:r>
      <w:r>
        <w:rPr>
          <w:color w:val="005DA1"/>
          <w:vertAlign w:val="baseline"/>
        </w:rPr>
        <w:t> </w:t>
      </w:r>
      <w:r>
        <w:rPr>
          <w:vertAlign w:val="baseline"/>
        </w:rPr>
        <w:t>and more generally it has been said in a well-known dictum that “a nod or a wink or a shake of the head or a smile” </w:t>
      </w:r>
      <w:r>
        <w:rPr>
          <w:color w:val="005DA1"/>
          <w:u w:val="single" w:color="005DA1"/>
          <w:vertAlign w:val="superscript"/>
        </w:rPr>
        <w:t>99</w:t>
      </w:r>
      <w:r>
        <w:rPr>
          <w:color w:val="005DA1"/>
          <w:vertAlign w:val="baseline"/>
        </w:rPr>
        <w:t> </w:t>
      </w:r>
      <w:r>
        <w:rPr>
          <w:vertAlign w:val="baseline"/>
        </w:rPr>
        <w:t>may amount to a representation if it is intended to induce the other party to believe in a certain state of facts. It is well established that a </w:t>
      </w:r>
      <w:bookmarkStart w:name="_bookmark108" w:id="110"/>
      <w:bookmarkEnd w:id="110"/>
      <w:r>
        <w:rPr>
          <w:vertAlign w:val="baseline"/>
        </w:rPr>
        <w:t>mere</w:t>
      </w:r>
      <w:r>
        <w:rPr>
          <w:vertAlign w:val="baseline"/>
        </w:rPr>
        <w:t> ordering of goods in the course of business carries a representation that the buyer is not aware that he will be unable to pay for them </w:t>
      </w:r>
      <w:r>
        <w:rPr>
          <w:color w:val="005DA1"/>
          <w:u w:val="single" w:color="005DA1"/>
          <w:vertAlign w:val="superscript"/>
        </w:rPr>
        <w:t>100</w:t>
      </w:r>
      <w:r>
        <w:rPr>
          <w:vertAlign w:val="baseline"/>
        </w:rPr>
        <w:t>; a mere payment of money by A to B may in appropriate </w:t>
      </w:r>
      <w:bookmarkStart w:name="_bookmark109" w:id="111"/>
      <w:bookmarkEnd w:id="111"/>
      <w:r>
        <w:rPr>
          <w:vertAlign w:val="baseline"/>
        </w:rPr>
        <w:t>circumstances</w:t>
      </w:r>
      <w:r>
        <w:rPr>
          <w:vertAlign w:val="baseline"/>
        </w:rPr>
        <w:t> (e.g. where A is B’s employer) amount to a representation by A that B is entitled to </w:t>
      </w:r>
      <w:r>
        <w:rPr>
          <w:vertAlign w:val="baseline"/>
        </w:rPr>
        <w:t>the </w:t>
      </w:r>
      <w:bookmarkStart w:name="_bookmark110" w:id="112"/>
      <w:bookmarkEnd w:id="112"/>
      <w:r>
        <w:rPr>
          <w:vertAlign w:val="baseline"/>
        </w:rPr>
        <w:t>money</w:t>
      </w:r>
      <w:r>
        <w:rPr>
          <w:vertAlign w:val="baseline"/>
        </w:rPr>
        <w:t> so paid </w:t>
      </w:r>
      <w:r>
        <w:rPr>
          <w:color w:val="005DA1"/>
          <w:u w:val="single" w:color="005DA1"/>
          <w:vertAlign w:val="superscript"/>
        </w:rPr>
        <w:t>101</w:t>
      </w:r>
      <w:r>
        <w:rPr>
          <w:vertAlign w:val="baseline"/>
        </w:rPr>
        <w:t>; and it has been held in a criminal case that tendering of obsolete foreign bank notes to a currency dealer is a representation that the notes are current tender of some value. </w:t>
      </w:r>
      <w:r>
        <w:rPr>
          <w:color w:val="005DA1"/>
          <w:u w:val="single" w:color="005DA1"/>
          <w:vertAlign w:val="superscript"/>
        </w:rPr>
        <w:t>102</w:t>
      </w:r>
      <w:r>
        <w:rPr>
          <w:color w:val="005DA1"/>
          <w:vertAlign w:val="baseline"/>
        </w:rPr>
        <w:t> </w:t>
      </w:r>
      <w:bookmarkStart w:name="_bookmark111" w:id="113"/>
      <w:bookmarkEnd w:id="113"/>
      <w:r>
        <w:rPr>
          <w:color w:val="005DA1"/>
          <w:w w:val="92"/>
          <w:vertAlign w:val="baseline"/>
        </w:rPr>
      </w:r>
      <w:r>
        <w:rPr>
          <w:vertAlign w:val="baseline"/>
        </w:rPr>
        <w:t>Other important criminal cases concerning representations by conduct relate to the use of bank (cheque)</w:t>
      </w:r>
      <w:r>
        <w:rPr>
          <w:spacing w:val="-2"/>
          <w:vertAlign w:val="baseline"/>
        </w:rPr>
        <w:t> </w:t>
      </w:r>
      <w:r>
        <w:rPr>
          <w:vertAlign w:val="baseline"/>
        </w:rPr>
        <w:t>cards</w:t>
      </w:r>
      <w:r>
        <w:rPr>
          <w:spacing w:val="-2"/>
          <w:vertAlign w:val="baseline"/>
        </w:rPr>
        <w:t> </w:t>
      </w:r>
      <w:r>
        <w:rPr>
          <w:vertAlign w:val="baseline"/>
        </w:rPr>
        <w:t>and</w:t>
      </w:r>
      <w:r>
        <w:rPr>
          <w:spacing w:val="-2"/>
          <w:vertAlign w:val="baseline"/>
        </w:rPr>
        <w:t> </w:t>
      </w:r>
      <w:r>
        <w:rPr>
          <w:vertAlign w:val="baseline"/>
        </w:rPr>
        <w:t>credit</w:t>
      </w:r>
      <w:r>
        <w:rPr>
          <w:spacing w:val="-2"/>
          <w:vertAlign w:val="baseline"/>
        </w:rPr>
        <w:t> </w:t>
      </w:r>
      <w:r>
        <w:rPr>
          <w:vertAlign w:val="baseline"/>
        </w:rPr>
        <w:t>cards.</w:t>
      </w:r>
      <w:r>
        <w:rPr>
          <w:spacing w:val="-2"/>
          <w:vertAlign w:val="baseline"/>
        </w:rPr>
        <w:t> </w:t>
      </w:r>
      <w:r>
        <w:rPr>
          <w:vertAlign w:val="baseline"/>
        </w:rPr>
        <w:t>In</w:t>
      </w:r>
      <w:r>
        <w:rPr>
          <w:spacing w:val="-3"/>
          <w:vertAlign w:val="baseline"/>
        </w:rPr>
        <w:t> </w:t>
      </w:r>
      <w:r>
        <w:rPr>
          <w:rFonts w:ascii="Arial" w:hAnsi="Arial"/>
          <w:i/>
          <w:vertAlign w:val="baseline"/>
        </w:rPr>
        <w:t>R.</w:t>
      </w:r>
      <w:r>
        <w:rPr>
          <w:rFonts w:ascii="Arial" w:hAnsi="Arial"/>
          <w:i/>
          <w:spacing w:val="-2"/>
          <w:vertAlign w:val="baseline"/>
        </w:rPr>
        <w:t> </w:t>
      </w:r>
      <w:r>
        <w:rPr>
          <w:rFonts w:ascii="Arial" w:hAnsi="Arial"/>
          <w:i/>
          <w:vertAlign w:val="baseline"/>
        </w:rPr>
        <w:t>v</w:t>
      </w:r>
      <w:r>
        <w:rPr>
          <w:rFonts w:ascii="Arial" w:hAnsi="Arial"/>
          <w:i/>
          <w:spacing w:val="-2"/>
          <w:vertAlign w:val="baseline"/>
        </w:rPr>
        <w:t> </w:t>
      </w:r>
      <w:r>
        <w:rPr>
          <w:rFonts w:ascii="Arial" w:hAnsi="Arial"/>
          <w:i/>
          <w:vertAlign w:val="baseline"/>
        </w:rPr>
        <w:t>Charles</w:t>
      </w:r>
      <w:r>
        <w:rPr>
          <w:rFonts w:ascii="Arial" w:hAnsi="Arial"/>
          <w:i/>
          <w:spacing w:val="-3"/>
          <w:vertAlign w:val="baseline"/>
        </w:rPr>
        <w:t> </w:t>
      </w:r>
      <w:r>
        <w:rPr>
          <w:color w:val="005DA1"/>
          <w:u w:val="single" w:color="005DA1"/>
          <w:vertAlign w:val="superscript"/>
        </w:rPr>
        <w:t>103</w:t>
      </w:r>
      <w:r>
        <w:rPr>
          <w:color w:val="005DA1"/>
          <w:spacing w:val="-2"/>
          <w:vertAlign w:val="baseline"/>
        </w:rPr>
        <w:t> </w:t>
      </w:r>
      <w:r>
        <w:rPr>
          <w:vertAlign w:val="baseline"/>
        </w:rPr>
        <w:t>the</w:t>
      </w:r>
      <w:r>
        <w:rPr>
          <w:spacing w:val="-2"/>
          <w:vertAlign w:val="baseline"/>
        </w:rPr>
        <w:t> </w:t>
      </w:r>
      <w:r>
        <w:rPr>
          <w:vertAlign w:val="baseline"/>
        </w:rPr>
        <w:t>House</w:t>
      </w:r>
      <w:r>
        <w:rPr>
          <w:spacing w:val="-2"/>
          <w:vertAlign w:val="baseline"/>
        </w:rPr>
        <w:t> </w:t>
      </w:r>
      <w:r>
        <w:rPr>
          <w:vertAlign w:val="baseline"/>
        </w:rPr>
        <w:t>of</w:t>
      </w:r>
      <w:r>
        <w:rPr>
          <w:spacing w:val="-2"/>
          <w:vertAlign w:val="baseline"/>
        </w:rPr>
        <w:t> </w:t>
      </w:r>
      <w:r>
        <w:rPr>
          <w:vertAlign w:val="baseline"/>
        </w:rPr>
        <w:t>Lords</w:t>
      </w:r>
      <w:r>
        <w:rPr>
          <w:spacing w:val="-2"/>
          <w:vertAlign w:val="baseline"/>
        </w:rPr>
        <w:t> </w:t>
      </w:r>
      <w:r>
        <w:rPr>
          <w:vertAlign w:val="baseline"/>
        </w:rPr>
        <w:t>held</w:t>
      </w:r>
      <w:r>
        <w:rPr>
          <w:spacing w:val="-2"/>
          <w:vertAlign w:val="baseline"/>
        </w:rPr>
        <w:t> </w:t>
      </w:r>
      <w:r>
        <w:rPr>
          <w:vertAlign w:val="baseline"/>
        </w:rPr>
        <w:t>that</w:t>
      </w:r>
      <w:r>
        <w:rPr>
          <w:spacing w:val="-2"/>
          <w:vertAlign w:val="baseline"/>
        </w:rPr>
        <w:t> </w:t>
      </w:r>
      <w:r>
        <w:rPr>
          <w:vertAlign w:val="baseline"/>
        </w:rPr>
        <w:t>use</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cheque</w:t>
      </w:r>
      <w:r>
        <w:rPr>
          <w:spacing w:val="-2"/>
          <w:vertAlign w:val="baseline"/>
        </w:rPr>
        <w:t> </w:t>
      </w:r>
      <w:r>
        <w:rPr>
          <w:vertAlign w:val="baseline"/>
        </w:rPr>
        <w:t>card amounts to a representation that the user has authority, as between himself and his bank, to use his card. Thus, even though payment of the cheque may be guaranteed by the bank, and may in fact be </w:t>
      </w:r>
      <w:bookmarkStart w:name="_bookmark112" w:id="114"/>
      <w:bookmarkEnd w:id="114"/>
      <w:r>
        <w:rPr>
          <w:vertAlign w:val="baseline"/>
        </w:rPr>
        <w:t>made</w:t>
      </w:r>
      <w:r>
        <w:rPr>
          <w:vertAlign w:val="baseline"/>
        </w:rPr>
        <w:t> by the bank, the use of the card will amount to a false representation if it is, in the circumstances,</w:t>
      </w:r>
      <w:r>
        <w:rPr>
          <w:spacing w:val="-2"/>
          <w:vertAlign w:val="baseline"/>
        </w:rPr>
        <w:t> </w:t>
      </w:r>
      <w:r>
        <w:rPr>
          <w:vertAlign w:val="baseline"/>
        </w:rPr>
        <w:t>unauthorised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bank.</w:t>
      </w:r>
      <w:r>
        <w:rPr>
          <w:spacing w:val="-2"/>
          <w:vertAlign w:val="baseline"/>
        </w:rPr>
        <w:t> </w:t>
      </w:r>
      <w:r>
        <w:rPr>
          <w:vertAlign w:val="baseline"/>
        </w:rPr>
        <w:t>In</w:t>
      </w:r>
      <w:r>
        <w:rPr>
          <w:spacing w:val="-3"/>
          <w:vertAlign w:val="baseline"/>
        </w:rPr>
        <w:t> </w:t>
      </w:r>
      <w:r>
        <w:rPr>
          <w:rFonts w:ascii="Arial" w:hAnsi="Arial"/>
          <w:i/>
          <w:vertAlign w:val="baseline"/>
        </w:rPr>
        <w:t>R.</w:t>
      </w:r>
      <w:r>
        <w:rPr>
          <w:rFonts w:ascii="Arial" w:hAnsi="Arial"/>
          <w:i/>
          <w:spacing w:val="-2"/>
          <w:vertAlign w:val="baseline"/>
        </w:rPr>
        <w:t> </w:t>
      </w:r>
      <w:r>
        <w:rPr>
          <w:rFonts w:ascii="Arial" w:hAnsi="Arial"/>
          <w:i/>
          <w:vertAlign w:val="baseline"/>
        </w:rPr>
        <w:t>v</w:t>
      </w:r>
      <w:r>
        <w:rPr>
          <w:rFonts w:ascii="Arial" w:hAnsi="Arial"/>
          <w:i/>
          <w:spacing w:val="-2"/>
          <w:vertAlign w:val="baseline"/>
        </w:rPr>
        <w:t> </w:t>
      </w:r>
      <w:r>
        <w:rPr>
          <w:rFonts w:ascii="Arial" w:hAnsi="Arial"/>
          <w:i/>
          <w:vertAlign w:val="baseline"/>
        </w:rPr>
        <w:t>Lambie</w:t>
      </w:r>
      <w:r>
        <w:rPr>
          <w:rFonts w:ascii="Arial" w:hAnsi="Arial"/>
          <w:i/>
          <w:spacing w:val="-2"/>
          <w:vertAlign w:val="baseline"/>
        </w:rPr>
        <w:t> </w:t>
      </w:r>
      <w:r>
        <w:rPr>
          <w:color w:val="005DA1"/>
          <w:u w:val="single" w:color="005DA1"/>
          <w:vertAlign w:val="superscript"/>
        </w:rPr>
        <w:t>104</w:t>
      </w:r>
      <w:r>
        <w:rPr>
          <w:color w:val="005DA1"/>
          <w:spacing w:val="-2"/>
          <w:vertAlign w:val="baseline"/>
        </w:rPr>
        <w:t> </w:t>
      </w:r>
      <w:r>
        <w:rPr>
          <w:vertAlign w:val="baseline"/>
        </w:rPr>
        <w:t>the</w:t>
      </w:r>
      <w:r>
        <w:rPr>
          <w:spacing w:val="-2"/>
          <w:vertAlign w:val="baseline"/>
        </w:rPr>
        <w:t> </w:t>
      </w:r>
      <w:r>
        <w:rPr>
          <w:vertAlign w:val="baseline"/>
        </w:rPr>
        <w:t>House</w:t>
      </w:r>
      <w:r>
        <w:rPr>
          <w:spacing w:val="-2"/>
          <w:vertAlign w:val="baseline"/>
        </w:rPr>
        <w:t> </w:t>
      </w:r>
      <w:r>
        <w:rPr>
          <w:vertAlign w:val="baseline"/>
        </w:rPr>
        <w:t>of</w:t>
      </w:r>
      <w:r>
        <w:rPr>
          <w:spacing w:val="-2"/>
          <w:vertAlign w:val="baseline"/>
        </w:rPr>
        <w:t> </w:t>
      </w:r>
      <w:r>
        <w:rPr>
          <w:vertAlign w:val="baseline"/>
        </w:rPr>
        <w:t>Lords</w:t>
      </w:r>
      <w:r>
        <w:rPr>
          <w:spacing w:val="-2"/>
          <w:vertAlign w:val="baseline"/>
        </w:rPr>
        <w:t> </w:t>
      </w:r>
      <w:r>
        <w:rPr>
          <w:vertAlign w:val="baseline"/>
        </w:rPr>
        <w:t>likewise</w:t>
      </w:r>
      <w:r>
        <w:rPr>
          <w:spacing w:val="-2"/>
          <w:vertAlign w:val="baseline"/>
        </w:rPr>
        <w:t> </w:t>
      </w:r>
      <w:r>
        <w:rPr>
          <w:vertAlign w:val="baseline"/>
        </w:rPr>
        <w:t>held</w:t>
      </w:r>
      <w:r>
        <w:rPr>
          <w:spacing w:val="-2"/>
          <w:vertAlign w:val="baseline"/>
        </w:rPr>
        <w:t> </w:t>
      </w:r>
      <w:r>
        <w:rPr>
          <w:vertAlign w:val="baseline"/>
        </w:rPr>
        <w:t>that</w:t>
      </w:r>
      <w:r>
        <w:rPr>
          <w:spacing w:val="-2"/>
          <w:vertAlign w:val="baseline"/>
        </w:rPr>
        <w:t> </w:t>
      </w:r>
      <w:r>
        <w:rPr>
          <w:vertAlign w:val="baseline"/>
        </w:rPr>
        <w:t>use of a credit card to purchase goods amounts to a representation that the user has the authority of the credit card company to use the card. So even if the credit card company has a previous contract with the seller whereby it undertakes to pay for goods acquired with the use of the card, irrespective of amount,</w:t>
      </w:r>
      <w:r>
        <w:rPr>
          <w:spacing w:val="-1"/>
          <w:vertAlign w:val="baseline"/>
        </w:rPr>
        <w:t> </w:t>
      </w:r>
      <w:r>
        <w:rPr>
          <w:vertAlign w:val="baseline"/>
        </w:rPr>
        <w:t>there</w:t>
      </w:r>
      <w:r>
        <w:rPr>
          <w:spacing w:val="-1"/>
          <w:vertAlign w:val="baseline"/>
        </w:rPr>
        <w:t> </w:t>
      </w:r>
      <w:r>
        <w:rPr>
          <w:vertAlign w:val="baseline"/>
        </w:rPr>
        <w:t>will</w:t>
      </w:r>
      <w:r>
        <w:rPr>
          <w:spacing w:val="-1"/>
          <w:vertAlign w:val="baseline"/>
        </w:rPr>
        <w:t> </w:t>
      </w:r>
      <w:r>
        <w:rPr>
          <w:vertAlign w:val="baseline"/>
        </w:rPr>
        <w:t>be</w:t>
      </w:r>
      <w:r>
        <w:rPr>
          <w:spacing w:val="-1"/>
          <w:vertAlign w:val="baseline"/>
        </w:rPr>
        <w:t> </w:t>
      </w:r>
      <w:r>
        <w:rPr>
          <w:vertAlign w:val="baseline"/>
        </w:rPr>
        <w:t>a</w:t>
      </w:r>
      <w:r>
        <w:rPr>
          <w:spacing w:val="-1"/>
          <w:vertAlign w:val="baseline"/>
        </w:rPr>
        <w:t> </w:t>
      </w:r>
      <w:r>
        <w:rPr>
          <w:vertAlign w:val="baseline"/>
        </w:rPr>
        <w:t>false</w:t>
      </w:r>
      <w:r>
        <w:rPr>
          <w:spacing w:val="-1"/>
          <w:vertAlign w:val="baseline"/>
        </w:rPr>
        <w:t> </w:t>
      </w:r>
      <w:r>
        <w:rPr>
          <w:vertAlign w:val="baseline"/>
        </w:rPr>
        <w:t>representation</w:t>
      </w:r>
      <w:r>
        <w:rPr>
          <w:spacing w:val="-1"/>
          <w:vertAlign w:val="baseline"/>
        </w:rPr>
        <w:t> </w:t>
      </w:r>
      <w:r>
        <w:rPr>
          <w:vertAlign w:val="baseline"/>
        </w:rPr>
        <w:t>if</w:t>
      </w:r>
      <w:r>
        <w:rPr>
          <w:spacing w:val="-1"/>
          <w:vertAlign w:val="baseline"/>
        </w:rPr>
        <w:t> </w:t>
      </w:r>
      <w:r>
        <w:rPr>
          <w:vertAlign w:val="baseline"/>
        </w:rPr>
        <w:t>the</w:t>
      </w:r>
      <w:r>
        <w:rPr>
          <w:spacing w:val="-1"/>
          <w:vertAlign w:val="baseline"/>
        </w:rPr>
        <w:t> </w:t>
      </w:r>
      <w:r>
        <w:rPr>
          <w:vertAlign w:val="baseline"/>
        </w:rPr>
        <w:t>user</w:t>
      </w:r>
      <w:r>
        <w:rPr>
          <w:spacing w:val="-1"/>
          <w:vertAlign w:val="baseline"/>
        </w:rPr>
        <w:t> </w:t>
      </w:r>
      <w:r>
        <w:rPr>
          <w:vertAlign w:val="baseline"/>
        </w:rPr>
        <w:t>exceeds</w:t>
      </w:r>
      <w:r>
        <w:rPr>
          <w:spacing w:val="-1"/>
          <w:vertAlign w:val="baseline"/>
        </w:rPr>
        <w:t> </w:t>
      </w:r>
      <w:r>
        <w:rPr>
          <w:vertAlign w:val="baseline"/>
        </w:rPr>
        <w:t>the</w:t>
      </w:r>
      <w:r>
        <w:rPr>
          <w:spacing w:val="-1"/>
          <w:vertAlign w:val="baseline"/>
        </w:rPr>
        <w:t> </w:t>
      </w:r>
      <w:r>
        <w:rPr>
          <w:vertAlign w:val="baseline"/>
        </w:rPr>
        <w:t>limits</w:t>
      </w:r>
      <w:r>
        <w:rPr>
          <w:spacing w:val="-1"/>
          <w:vertAlign w:val="baseline"/>
        </w:rPr>
        <w:t> </w:t>
      </w:r>
      <w:r>
        <w:rPr>
          <w:vertAlign w:val="baseline"/>
        </w:rPr>
        <w:t>agreed</w:t>
      </w:r>
      <w:r>
        <w:rPr>
          <w:spacing w:val="-1"/>
          <w:vertAlign w:val="baseline"/>
        </w:rPr>
        <w:t> </w:t>
      </w:r>
      <w:r>
        <w:rPr>
          <w:vertAlign w:val="baseline"/>
        </w:rPr>
        <w:t>between</w:t>
      </w:r>
      <w:r>
        <w:rPr>
          <w:spacing w:val="-1"/>
          <w:vertAlign w:val="baseline"/>
        </w:rPr>
        <w:t> </w:t>
      </w:r>
      <w:r>
        <w:rPr>
          <w:vertAlign w:val="baseline"/>
        </w:rPr>
        <w:t>him</w:t>
      </w:r>
      <w:r>
        <w:rPr>
          <w:spacing w:val="-1"/>
          <w:vertAlign w:val="baseline"/>
        </w:rPr>
        <w:t> </w:t>
      </w:r>
      <w:r>
        <w:rPr>
          <w:vertAlign w:val="baseline"/>
        </w:rPr>
        <w:t>and</w:t>
      </w:r>
      <w:r>
        <w:rPr>
          <w:spacing w:val="-1"/>
          <w:vertAlign w:val="baseline"/>
        </w:rPr>
        <w:t> </w:t>
      </w:r>
      <w:r>
        <w:rPr>
          <w:vertAlign w:val="baseline"/>
        </w:rPr>
        <w:t>the credit</w:t>
      </w:r>
      <w:r>
        <w:rPr>
          <w:spacing w:val="13"/>
          <w:vertAlign w:val="baseline"/>
        </w:rPr>
        <w:t> </w:t>
      </w:r>
      <w:r>
        <w:rPr>
          <w:vertAlign w:val="baseline"/>
        </w:rPr>
        <w:t>card</w:t>
      </w:r>
      <w:r>
        <w:rPr>
          <w:spacing w:val="13"/>
          <w:vertAlign w:val="baseline"/>
        </w:rPr>
        <w:t> </w:t>
      </w:r>
      <w:r>
        <w:rPr>
          <w:vertAlign w:val="baseline"/>
        </w:rPr>
        <w:t>company.</w:t>
      </w:r>
      <w:r>
        <w:rPr>
          <w:spacing w:val="13"/>
          <w:vertAlign w:val="baseline"/>
        </w:rPr>
        <w:t> </w:t>
      </w:r>
      <w:r>
        <w:rPr>
          <w:vertAlign w:val="baseline"/>
        </w:rPr>
        <w:t>The</w:t>
      </w:r>
      <w:r>
        <w:rPr>
          <w:spacing w:val="13"/>
          <w:vertAlign w:val="baseline"/>
        </w:rPr>
        <w:t> </w:t>
      </w:r>
      <w:r>
        <w:rPr>
          <w:vertAlign w:val="baseline"/>
        </w:rPr>
        <w:t>importance</w:t>
      </w:r>
      <w:r>
        <w:rPr>
          <w:spacing w:val="13"/>
          <w:vertAlign w:val="baseline"/>
        </w:rPr>
        <w:t> </w:t>
      </w:r>
      <w:r>
        <w:rPr>
          <w:vertAlign w:val="baseline"/>
        </w:rPr>
        <w:t>of</w:t>
      </w:r>
      <w:r>
        <w:rPr>
          <w:spacing w:val="13"/>
          <w:vertAlign w:val="baseline"/>
        </w:rPr>
        <w:t> </w:t>
      </w:r>
      <w:r>
        <w:rPr>
          <w:vertAlign w:val="baseline"/>
        </w:rPr>
        <w:t>these</w:t>
      </w:r>
      <w:r>
        <w:rPr>
          <w:spacing w:val="13"/>
          <w:vertAlign w:val="baseline"/>
        </w:rPr>
        <w:t> </w:t>
      </w:r>
      <w:r>
        <w:rPr>
          <w:vertAlign w:val="baseline"/>
        </w:rPr>
        <w:t>decisions</w:t>
      </w:r>
      <w:r>
        <w:rPr>
          <w:spacing w:val="13"/>
          <w:vertAlign w:val="baseline"/>
        </w:rPr>
        <w:t> </w:t>
      </w:r>
      <w:r>
        <w:rPr>
          <w:vertAlign w:val="baseline"/>
        </w:rPr>
        <w:t>for</w:t>
      </w:r>
      <w:r>
        <w:rPr>
          <w:spacing w:val="13"/>
          <w:vertAlign w:val="baseline"/>
        </w:rPr>
        <w:t> </w:t>
      </w:r>
      <w:r>
        <w:rPr>
          <w:vertAlign w:val="baseline"/>
        </w:rPr>
        <w:t>the</w:t>
      </w:r>
      <w:r>
        <w:rPr>
          <w:spacing w:val="13"/>
          <w:vertAlign w:val="baseline"/>
        </w:rPr>
        <w:t> </w:t>
      </w:r>
      <w:r>
        <w:rPr>
          <w:vertAlign w:val="baseline"/>
        </w:rPr>
        <w:t>civil</w:t>
      </w:r>
      <w:r>
        <w:rPr>
          <w:spacing w:val="13"/>
          <w:vertAlign w:val="baseline"/>
        </w:rPr>
        <w:t> </w:t>
      </w:r>
      <w:r>
        <w:rPr>
          <w:vertAlign w:val="baseline"/>
        </w:rPr>
        <w:t>law</w:t>
      </w:r>
      <w:r>
        <w:rPr>
          <w:spacing w:val="13"/>
          <w:vertAlign w:val="baseline"/>
        </w:rPr>
        <w:t> </w:t>
      </w:r>
      <w:r>
        <w:rPr>
          <w:vertAlign w:val="baseline"/>
        </w:rPr>
        <w:t>is</w:t>
      </w:r>
      <w:r>
        <w:rPr>
          <w:spacing w:val="13"/>
          <w:vertAlign w:val="baseline"/>
        </w:rPr>
        <w:t> </w:t>
      </w:r>
      <w:r>
        <w:rPr>
          <w:vertAlign w:val="baseline"/>
        </w:rPr>
        <w:t>that</w:t>
      </w:r>
      <w:r>
        <w:rPr>
          <w:spacing w:val="13"/>
          <w:vertAlign w:val="baseline"/>
        </w:rPr>
        <w:t> </w:t>
      </w:r>
      <w:r>
        <w:rPr>
          <w:vertAlign w:val="baseline"/>
        </w:rPr>
        <w:t>they</w:t>
      </w:r>
      <w:r>
        <w:rPr>
          <w:spacing w:val="13"/>
          <w:vertAlign w:val="baseline"/>
        </w:rPr>
        <w:t> </w:t>
      </w:r>
      <w:r>
        <w:rPr>
          <w:vertAlign w:val="baseline"/>
        </w:rPr>
        <w:t>justify</w:t>
      </w:r>
      <w:r>
        <w:rPr>
          <w:spacing w:val="13"/>
          <w:vertAlign w:val="baseline"/>
        </w:rPr>
        <w:t> </w:t>
      </w:r>
      <w:r>
        <w:rPr>
          <w:vertAlign w:val="baseline"/>
        </w:rPr>
        <w:t>the</w:t>
      </w:r>
      <w:r>
        <w:rPr>
          <w:spacing w:val="13"/>
          <w:vertAlign w:val="baseline"/>
        </w:rPr>
        <w:t> </w:t>
      </w:r>
      <w:r>
        <w:rPr>
          <w:spacing w:val="-2"/>
          <w:vertAlign w:val="baseline"/>
        </w:rPr>
        <w:t>seller</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r>
        <w:rPr/>
        <w:t>or supplier in rescinding the contract of sale and reclaiming the goods in the event of the fraud </w:t>
      </w:r>
      <w:r>
        <w:rPr/>
        <w:t>being discovered while the goods are still in the possession of the buyer.</w:t>
      </w:r>
    </w:p>
    <w:p>
      <w:pPr>
        <w:pStyle w:val="BodyText"/>
      </w:pPr>
    </w:p>
    <w:p>
      <w:pPr>
        <w:pStyle w:val="BodyText"/>
        <w:spacing w:before="37"/>
      </w:pPr>
    </w:p>
    <w:p>
      <w:pPr>
        <w:spacing w:before="1"/>
        <w:ind w:left="165" w:right="0" w:firstLine="0"/>
        <w:jc w:val="both"/>
        <w:rPr>
          <w:rFonts w:ascii="Arial"/>
          <w:b/>
          <w:sz w:val="18"/>
        </w:rPr>
      </w:pPr>
      <w:r>
        <w:rPr>
          <w:rFonts w:ascii="Arial"/>
          <w:b/>
          <w:sz w:val="18"/>
        </w:rPr>
        <w:t>Conduct intended to conceal </w:t>
      </w:r>
      <w:r>
        <w:rPr>
          <w:rFonts w:ascii="Arial"/>
          <w:b/>
          <w:spacing w:val="-2"/>
          <w:sz w:val="18"/>
        </w:rPr>
        <w:t>facts</w:t>
      </w:r>
    </w:p>
    <w:p>
      <w:pPr>
        <w:pStyle w:val="BodyText"/>
        <w:spacing w:before="41"/>
        <w:rPr>
          <w:rFonts w:ascii="Arial"/>
          <w:b/>
          <w:sz w:val="18"/>
        </w:rPr>
      </w:pPr>
    </w:p>
    <w:p>
      <w:pPr>
        <w:pStyle w:val="Heading2"/>
      </w:pPr>
      <w:r>
        <w:rPr/>
        <w:t>7-</w:t>
      </w:r>
      <w:r>
        <w:rPr>
          <w:spacing w:val="-5"/>
        </w:rPr>
        <w:t>019</w:t>
      </w:r>
    </w:p>
    <w:p>
      <w:pPr>
        <w:pStyle w:val="BodyText"/>
        <w:spacing w:line="235" w:lineRule="auto" w:before="203"/>
        <w:ind w:left="164" w:right="167"/>
        <w:jc w:val="both"/>
      </w:pPr>
      <w:r>
        <w:rPr/>
        <w:t>But there is also another class of case where conduct may amount to a representation, and that is where the conduct is not so much intended to convey information as to conceal facts from the </w:t>
      </w:r>
      <w:r>
        <w:rPr/>
        <w:t>other party. There does not appear to be any modern authority illustrating this type of misrepresentation,</w:t>
      </w:r>
      <w:r>
        <w:rPr>
          <w:spacing w:val="40"/>
        </w:rPr>
        <w:t> </w:t>
      </w:r>
      <w:r>
        <w:rPr/>
        <w:t>but there are some nineteenth-century cases in which a seller of goods was held guilty of </w:t>
      </w:r>
      <w:bookmarkStart w:name="_bookmark113" w:id="115"/>
      <w:bookmarkEnd w:id="115"/>
      <w:r>
        <w:rPr/>
        <w:t>misrepresentation</w:t>
      </w:r>
      <w:r>
        <w:rPr/>
        <w:t> where it was shown that he had deliberately concealed defects in the goods being </w:t>
      </w:r>
      <w:bookmarkStart w:name="_bookmark114" w:id="116"/>
      <w:bookmarkEnd w:id="116"/>
      <w:r>
        <w:rPr/>
        <w:t>sold,</w:t>
      </w:r>
      <w:r>
        <w:rPr>
          <w:spacing w:val="-3"/>
        </w:rPr>
        <w:t> </w:t>
      </w:r>
      <w:r>
        <w:rPr/>
        <w:t>as,</w:t>
      </w:r>
      <w:r>
        <w:rPr>
          <w:spacing w:val="-3"/>
        </w:rPr>
        <w:t> </w:t>
      </w:r>
      <w:r>
        <w:rPr/>
        <w:t>for</w:t>
      </w:r>
      <w:r>
        <w:rPr>
          <w:spacing w:val="-3"/>
        </w:rPr>
        <w:t> </w:t>
      </w:r>
      <w:r>
        <w:rPr/>
        <w:t>instance,</w:t>
      </w:r>
      <w:r>
        <w:rPr>
          <w:spacing w:val="-3"/>
        </w:rPr>
        <w:t> </w:t>
      </w:r>
      <w:r>
        <w:rPr/>
        <w:t>by</w:t>
      </w:r>
      <w:r>
        <w:rPr>
          <w:spacing w:val="-3"/>
        </w:rPr>
        <w:t> </w:t>
      </w:r>
      <w:r>
        <w:rPr/>
        <w:t>nailing</w:t>
      </w:r>
      <w:r>
        <w:rPr>
          <w:spacing w:val="-3"/>
        </w:rPr>
        <w:t> </w:t>
      </w:r>
      <w:r>
        <w:rPr/>
        <w:t>down</w:t>
      </w:r>
      <w:r>
        <w:rPr>
          <w:spacing w:val="-3"/>
        </w:rPr>
        <w:t> </w:t>
      </w:r>
      <w:r>
        <w:rPr/>
        <w:t>planks</w:t>
      </w:r>
      <w:r>
        <w:rPr>
          <w:spacing w:val="-3"/>
        </w:rPr>
        <w:t> </w:t>
      </w:r>
      <w:r>
        <w:rPr/>
        <w:t>and</w:t>
      </w:r>
      <w:r>
        <w:rPr>
          <w:spacing w:val="-3"/>
        </w:rPr>
        <w:t> </w:t>
      </w:r>
      <w:r>
        <w:rPr/>
        <w:t>closing</w:t>
      </w:r>
      <w:r>
        <w:rPr>
          <w:spacing w:val="-3"/>
        </w:rPr>
        <w:t> </w:t>
      </w:r>
      <w:r>
        <w:rPr/>
        <w:t>the</w:t>
      </w:r>
      <w:r>
        <w:rPr>
          <w:spacing w:val="-3"/>
        </w:rPr>
        <w:t> </w:t>
      </w:r>
      <w:r>
        <w:rPr/>
        <w:t>seams</w:t>
      </w:r>
      <w:r>
        <w:rPr>
          <w:spacing w:val="-3"/>
        </w:rPr>
        <w:t> </w:t>
      </w:r>
      <w:r>
        <w:rPr/>
        <w:t>of</w:t>
      </w:r>
      <w:r>
        <w:rPr>
          <w:spacing w:val="-3"/>
        </w:rPr>
        <w:t> </w:t>
      </w:r>
      <w:r>
        <w:rPr/>
        <w:t>a</w:t>
      </w:r>
      <w:r>
        <w:rPr>
          <w:spacing w:val="-3"/>
        </w:rPr>
        <w:t> </w:t>
      </w:r>
      <w:r>
        <w:rPr/>
        <w:t>rotten</w:t>
      </w:r>
      <w:r>
        <w:rPr>
          <w:spacing w:val="-3"/>
        </w:rPr>
        <w:t> </w:t>
      </w:r>
      <w:r>
        <w:rPr/>
        <w:t>ship,</w:t>
      </w:r>
      <w:r>
        <w:rPr>
          <w:spacing w:val="-4"/>
        </w:rPr>
        <w:t> </w:t>
      </w:r>
      <w:r>
        <w:rPr>
          <w:color w:val="005DA1"/>
          <w:u w:val="single" w:color="005DA1"/>
          <w:vertAlign w:val="superscript"/>
        </w:rPr>
        <w:t>105</w:t>
      </w:r>
      <w:r>
        <w:rPr>
          <w:color w:val="005DA1"/>
          <w:spacing w:val="-3"/>
          <w:vertAlign w:val="baseline"/>
        </w:rPr>
        <w:t> </w:t>
      </w:r>
      <w:r>
        <w:rPr>
          <w:vertAlign w:val="baseline"/>
        </w:rPr>
        <w:t>or</w:t>
      </w:r>
      <w:r>
        <w:rPr>
          <w:spacing w:val="-3"/>
          <w:vertAlign w:val="baseline"/>
        </w:rPr>
        <w:t> </w:t>
      </w:r>
      <w:r>
        <w:rPr>
          <w:vertAlign w:val="baseline"/>
        </w:rPr>
        <w:t>by</w:t>
      </w:r>
      <w:r>
        <w:rPr>
          <w:spacing w:val="-3"/>
          <w:vertAlign w:val="baseline"/>
        </w:rPr>
        <w:t> </w:t>
      </w:r>
      <w:r>
        <w:rPr>
          <w:vertAlign w:val="baseline"/>
        </w:rPr>
        <w:t>plugging a hole in a gun with soft metal. </w:t>
      </w:r>
      <w:r>
        <w:rPr>
          <w:color w:val="005DA1"/>
          <w:u w:val="single" w:color="005DA1"/>
          <w:vertAlign w:val="superscript"/>
        </w:rPr>
        <w:t>106</w:t>
      </w:r>
      <w:r>
        <w:rPr>
          <w:color w:val="005DA1"/>
          <w:vertAlign w:val="baseline"/>
        </w:rPr>
        <w:t> </w:t>
      </w:r>
      <w:r>
        <w:rPr>
          <w:vertAlign w:val="baseline"/>
        </w:rPr>
        <w:t>This principle has not been fully developed by the courts, and it is uncertain whether it would extend to conduct which is not intended solely to conceal defects; it is, for instance, not clear whether the vendor of a house could be held guilty of misrepresentation if he papered a room, partly to hide the defective state of the plaster, but partly because it needed decorating in any event.</w:t>
      </w:r>
    </w:p>
    <w:p>
      <w:pPr>
        <w:pStyle w:val="BodyText"/>
      </w:pPr>
    </w:p>
    <w:p>
      <w:pPr>
        <w:pStyle w:val="BodyText"/>
        <w:spacing w:before="34"/>
      </w:pPr>
    </w:p>
    <w:p>
      <w:pPr>
        <w:spacing w:before="0"/>
        <w:ind w:left="164" w:right="0" w:firstLine="0"/>
        <w:jc w:val="left"/>
        <w:rPr>
          <w:rFonts w:ascii="Arial"/>
          <w:b/>
          <w:sz w:val="18"/>
        </w:rPr>
      </w:pPr>
      <w:bookmarkStart w:name="_bookmark115" w:id="117"/>
      <w:bookmarkEnd w:id="117"/>
      <w:r>
        <w:rPr/>
      </w:r>
      <w:r>
        <w:rPr>
          <w:rFonts w:ascii="Arial"/>
          <w:b/>
          <w:sz w:val="18"/>
        </w:rPr>
        <w:t>Partial non-disclosure </w:t>
      </w:r>
      <w:r>
        <w:rPr>
          <w:rFonts w:ascii="Arial"/>
          <w:b/>
          <w:color w:val="005DA1"/>
          <w:spacing w:val="-5"/>
          <w:sz w:val="18"/>
          <w:u w:val="single" w:color="005DA1"/>
          <w:vertAlign w:val="superscript"/>
        </w:rPr>
        <w:t>107</w:t>
      </w:r>
    </w:p>
    <w:p>
      <w:pPr>
        <w:pStyle w:val="BodyText"/>
        <w:spacing w:before="41"/>
        <w:rPr>
          <w:rFonts w:ascii="Arial"/>
          <w:b/>
          <w:sz w:val="18"/>
        </w:rPr>
      </w:pPr>
    </w:p>
    <w:p>
      <w:pPr>
        <w:pStyle w:val="Heading2"/>
      </w:pPr>
      <w:r>
        <w:rPr/>
        <w:t>7-</w:t>
      </w:r>
      <w:r>
        <w:rPr>
          <w:spacing w:val="-5"/>
        </w:rPr>
        <w:t>020</w:t>
      </w:r>
    </w:p>
    <w:p>
      <w:pPr>
        <w:pStyle w:val="BodyText"/>
        <w:spacing w:line="235" w:lineRule="auto" w:before="203"/>
        <w:ind w:left="164" w:right="167"/>
        <w:jc w:val="both"/>
      </w:pPr>
      <w:r>
        <w:rPr/>
        <w:t>Although total non-disclosure does not amount to a misrepresentation, a partial non-disclosure </w:t>
      </w:r>
      <w:r>
        <w:rPr/>
        <w:t>may</w:t>
      </w:r>
      <w:r>
        <w:rPr>
          <w:spacing w:val="40"/>
        </w:rPr>
        <w:t> </w:t>
      </w:r>
      <w:r>
        <w:rPr/>
        <w:t>do so. This may happen in a number of different ways. Thus a statement may be a misrepresentation </w:t>
      </w:r>
      <w:bookmarkStart w:name="_bookmark116" w:id="118"/>
      <w:bookmarkEnd w:id="118"/>
      <w:r>
        <w:rPr/>
        <w:t>even</w:t>
      </w:r>
      <w:r>
        <w:rPr/>
        <w:t> though it is literally true if it implies certain additional facts which are themselves false. A striking instance of this possibility is </w:t>
      </w:r>
      <w:r>
        <w:rPr>
          <w:rFonts w:ascii="Arial" w:hAnsi="Arial"/>
          <w:i/>
        </w:rPr>
        <w:t>Goldsmith v Rodger </w:t>
      </w:r>
      <w:r>
        <w:rPr>
          <w:color w:val="005DA1"/>
          <w:u w:val="single" w:color="005DA1"/>
          <w:vertAlign w:val="superscript"/>
        </w:rPr>
        <w:t>108</w:t>
      </w:r>
      <w:r>
        <w:rPr>
          <w:color w:val="005DA1"/>
          <w:vertAlign w:val="baseline"/>
        </w:rPr>
        <w:t> </w:t>
      </w:r>
      <w:r>
        <w:rPr>
          <w:vertAlign w:val="baseline"/>
        </w:rPr>
        <w:t>in which the defendant who was negotiating for the purchase of the plaintiff’s yacht informed the plaintiff, after paying a visit to the yacht, that she had rot in her keel. The Court of Appeal held that this statement implied that the defendant had actually examined the keel, and as he had not done so, this was itself a misrepresentation, whether or not the yacht did have rot in her keel. Again, a statement may amount to a misrepresentation if facts are </w:t>
      </w:r>
      <w:bookmarkStart w:name="_bookmark117" w:id="119"/>
      <w:bookmarkEnd w:id="119"/>
      <w:r>
        <w:rPr>
          <w:vertAlign w:val="baseline"/>
        </w:rPr>
        <w:t>omitted</w:t>
      </w:r>
      <w:r>
        <w:rPr>
          <w:vertAlign w:val="baseline"/>
        </w:rPr>
        <w:t> which render that which has actually been stated false or misleading in the context in which it is made. </w:t>
      </w:r>
      <w:r>
        <w:rPr>
          <w:color w:val="005DA1"/>
          <w:u w:val="single" w:color="005DA1"/>
          <w:vertAlign w:val="superscript"/>
        </w:rPr>
        <w:t>109</w:t>
      </w:r>
      <w:r>
        <w:rPr>
          <w:color w:val="005DA1"/>
          <w:vertAlign w:val="baseline"/>
        </w:rPr>
        <w:t> </w:t>
      </w:r>
      <w:r>
        <w:rPr>
          <w:vertAlign w:val="baseline"/>
        </w:rPr>
        <w:t>So, for example, where a shop assistant told a customer that a receipt for the cleaning of </w:t>
      </w:r>
      <w:bookmarkStart w:name="_bookmark118" w:id="120"/>
      <w:bookmarkEnd w:id="120"/>
      <w:r>
        <w:rPr>
          <w:vertAlign w:val="baseline"/>
        </w:rPr>
        <w:t>a</w:t>
      </w:r>
      <w:r>
        <w:rPr>
          <w:vertAlign w:val="baseline"/>
        </w:rPr>
        <w:t> dress which she was required to sign excluded liability for damage to beads and sequins, and in</w:t>
      </w:r>
      <w:r>
        <w:rPr>
          <w:spacing w:val="80"/>
          <w:vertAlign w:val="baseline"/>
        </w:rPr>
        <w:t> </w:t>
      </w:r>
      <w:r>
        <w:rPr>
          <w:vertAlign w:val="baseline"/>
        </w:rPr>
        <w:t>fact the receipt excluded all liability, this was held to be a misrepresentation. </w:t>
      </w:r>
      <w:r>
        <w:rPr>
          <w:color w:val="005DA1"/>
          <w:u w:val="single" w:color="005DA1"/>
          <w:vertAlign w:val="superscript"/>
        </w:rPr>
        <w:t>110</w:t>
      </w:r>
      <w:r>
        <w:rPr>
          <w:vertAlign w:val="baseline"/>
        </w:rPr>
        <w:t>. It will be observed that these cases of partial non-disclosure can either be explained as cases of actual misrepresentation, or as cases in which there is a duty to disclose certain facts by reason of the facts actually stated. Until the passing of the Misrepresentation Act 1967, it was immaterial which explanation was adopted since the effect of an actual misrepresentation and the breach of a duty to disclose (where such a duty exists) were generally the same. But since the passing of this Act this is no longer the case as the Act applies to misrepresentations, but not to the breach of duties of disclosure. It is thought that cases of partial non-disclosure will normally be treated as cases of actual </w:t>
      </w:r>
      <w:bookmarkStart w:name="_bookmark119" w:id="121"/>
      <w:bookmarkEnd w:id="121"/>
      <w:r>
        <w:rPr>
          <w:vertAlign w:val="baseline"/>
        </w:rPr>
        <w:t>misrepresentation</w:t>
      </w:r>
      <w:r>
        <w:rPr>
          <w:vertAlign w:val="baseline"/>
        </w:rPr>
        <w:t> falling within the Act, but it has been held that cases of complete non-disclosure</w:t>
      </w:r>
      <w:r>
        <w:rPr>
          <w:spacing w:val="80"/>
          <w:vertAlign w:val="baseline"/>
        </w:rPr>
        <w:t> </w:t>
      </w:r>
      <w:r>
        <w:rPr>
          <w:vertAlign w:val="baseline"/>
        </w:rPr>
        <w:t>will not. </w:t>
      </w:r>
      <w:r>
        <w:rPr>
          <w:color w:val="005DA1"/>
          <w:u w:val="single" w:color="005DA1"/>
          <w:vertAlign w:val="superscript"/>
        </w:rPr>
        <w:t>111</w:t>
      </w:r>
    </w:p>
    <w:p>
      <w:pPr>
        <w:pStyle w:val="BodyText"/>
      </w:pPr>
    </w:p>
    <w:p>
      <w:pPr>
        <w:pStyle w:val="BodyText"/>
        <w:spacing w:before="30"/>
      </w:pPr>
    </w:p>
    <w:p>
      <w:pPr>
        <w:spacing w:before="1"/>
        <w:ind w:left="165" w:right="0" w:firstLine="0"/>
        <w:jc w:val="left"/>
        <w:rPr>
          <w:rFonts w:ascii="Arial"/>
          <w:b/>
          <w:sz w:val="18"/>
        </w:rPr>
      </w:pPr>
      <w:r>
        <w:rPr>
          <w:rFonts w:ascii="Arial"/>
          <w:b/>
          <w:sz w:val="18"/>
        </w:rPr>
        <w:t>Representation ceases to be </w:t>
      </w:r>
      <w:r>
        <w:rPr>
          <w:rFonts w:ascii="Arial"/>
          <w:b/>
          <w:spacing w:val="-4"/>
          <w:sz w:val="18"/>
        </w:rPr>
        <w:t>true</w:t>
      </w:r>
    </w:p>
    <w:p>
      <w:pPr>
        <w:pStyle w:val="BodyText"/>
        <w:spacing w:before="41"/>
        <w:rPr>
          <w:rFonts w:ascii="Arial"/>
          <w:b/>
          <w:sz w:val="18"/>
        </w:rPr>
      </w:pPr>
    </w:p>
    <w:p>
      <w:pPr>
        <w:pStyle w:val="Heading2"/>
      </w:pPr>
      <w:r>
        <w:rPr/>
        <w:t>7-</w:t>
      </w:r>
      <w:r>
        <w:rPr>
          <w:spacing w:val="-5"/>
        </w:rPr>
        <w:t>021</w:t>
      </w:r>
    </w:p>
    <w:p>
      <w:pPr>
        <w:pStyle w:val="BodyText"/>
        <w:spacing w:before="9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9"/>
        </w:rPr>
        <w:t> </w:t>
      </w:r>
      <w:r>
        <w:rPr/>
        <w:t>A statement may be made which is true at that time but which subsequently ceases to be true to </w:t>
      </w:r>
      <w:bookmarkStart w:name="_bookmark120" w:id="122"/>
      <w:bookmarkEnd w:id="122"/>
      <w:r>
        <w:rPr/>
        <w:t>the</w:t>
      </w:r>
      <w:r>
        <w:rPr/>
        <w:t> knowledge of the representor before the contract is entered into. In such circumstances a </w:t>
      </w:r>
      <w:r>
        <w:rPr/>
        <w:t>failure</w:t>
      </w:r>
      <w:r>
        <w:rPr>
          <w:spacing w:val="40"/>
        </w:rPr>
        <w:t> </w:t>
      </w:r>
      <w:r>
        <w:rPr/>
        <w:t>to</w:t>
      </w:r>
      <w:r>
        <w:rPr>
          <w:spacing w:val="6"/>
        </w:rPr>
        <w:t> </w:t>
      </w:r>
      <w:r>
        <w:rPr/>
        <w:t>inform</w:t>
      </w:r>
      <w:r>
        <w:rPr>
          <w:spacing w:val="6"/>
        </w:rPr>
        <w:t> </w:t>
      </w:r>
      <w:r>
        <w:rPr/>
        <w:t>the</w:t>
      </w:r>
      <w:r>
        <w:rPr>
          <w:spacing w:val="6"/>
        </w:rPr>
        <w:t> </w:t>
      </w:r>
      <w:r>
        <w:rPr/>
        <w:t>representee</w:t>
      </w:r>
      <w:r>
        <w:rPr>
          <w:spacing w:val="6"/>
        </w:rPr>
        <w:t> </w:t>
      </w:r>
      <w:r>
        <w:rPr/>
        <w:t>of</w:t>
      </w:r>
      <w:r>
        <w:rPr>
          <w:spacing w:val="6"/>
        </w:rPr>
        <w:t> </w:t>
      </w:r>
      <w:r>
        <w:rPr/>
        <w:t>the</w:t>
      </w:r>
      <w:r>
        <w:rPr>
          <w:spacing w:val="6"/>
        </w:rPr>
        <w:t> </w:t>
      </w:r>
      <w:r>
        <w:rPr/>
        <w:t>change</w:t>
      </w:r>
      <w:r>
        <w:rPr>
          <w:spacing w:val="6"/>
        </w:rPr>
        <w:t> </w:t>
      </w:r>
      <w:r>
        <w:rPr/>
        <w:t>in</w:t>
      </w:r>
      <w:r>
        <w:rPr>
          <w:spacing w:val="6"/>
        </w:rPr>
        <w:t> </w:t>
      </w:r>
      <w:r>
        <w:rPr/>
        <w:t>circumstances</w:t>
      </w:r>
      <w:r>
        <w:rPr>
          <w:spacing w:val="6"/>
        </w:rPr>
        <w:t> </w:t>
      </w:r>
      <w:r>
        <w:rPr/>
        <w:t>will</w:t>
      </w:r>
      <w:r>
        <w:rPr>
          <w:spacing w:val="6"/>
        </w:rPr>
        <w:t> </w:t>
      </w:r>
      <w:r>
        <w:rPr/>
        <w:t>itself</w:t>
      </w:r>
      <w:r>
        <w:rPr>
          <w:spacing w:val="6"/>
        </w:rPr>
        <w:t> </w:t>
      </w:r>
      <w:r>
        <w:rPr/>
        <w:t>amount</w:t>
      </w:r>
      <w:r>
        <w:rPr>
          <w:spacing w:val="6"/>
        </w:rPr>
        <w:t> </w:t>
      </w:r>
      <w:r>
        <w:rPr/>
        <w:t>to</w:t>
      </w:r>
      <w:r>
        <w:rPr>
          <w:spacing w:val="6"/>
        </w:rPr>
        <w:t> </w:t>
      </w:r>
      <w:r>
        <w:rPr/>
        <w:t>a</w:t>
      </w:r>
      <w:r>
        <w:rPr>
          <w:spacing w:val="6"/>
        </w:rPr>
        <w:t> </w:t>
      </w:r>
      <w:r>
        <w:rPr/>
        <w:t>misrepresentation,</w:t>
      </w:r>
      <w:r>
        <w:rPr>
          <w:spacing w:val="5"/>
        </w:rPr>
        <w:t> </w:t>
      </w:r>
      <w:r>
        <w:rPr>
          <w:color w:val="005DA1"/>
          <w:spacing w:val="-6"/>
          <w:u w:val="single" w:color="005DA1"/>
          <w:vertAlign w:val="superscript"/>
        </w:rPr>
        <w:t>112</w:t>
      </w:r>
    </w:p>
    <w:p>
      <w:pPr>
        <w:pStyle w:val="BodyText"/>
        <w:spacing w:line="235" w:lineRule="auto" w:before="118"/>
        <w:ind w:left="165" w:right="168" w:firstLine="139"/>
      </w:pPr>
      <w:r>
        <w:rPr>
          <w:position w:val="-2"/>
        </w:rPr>
        <w:drawing>
          <wp:inline distT="0" distB="0" distL="0" distR="0">
            <wp:extent cx="107988" cy="107988"/>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7"/>
        </w:rPr>
        <w:t> </w:t>
      </w:r>
      <w:bookmarkStart w:name="_bookmark121" w:id="123"/>
      <w:bookmarkEnd w:id="123"/>
      <w:r>
        <w:rPr>
          <w:rFonts w:ascii="Times New Roman"/>
          <w:spacing w:val="19"/>
        </w:rPr>
      </w:r>
      <w:r>
        <w:rPr/>
        <w:t>unless in the context it is quite clear to the reasonable recipient of the information that the </w:t>
      </w:r>
      <w:r>
        <w:rPr/>
        <w:t>party</w:t>
      </w:r>
      <w:r>
        <w:rPr>
          <w:spacing w:val="40"/>
        </w:rPr>
        <w:t> </w:t>
      </w:r>
      <w:r>
        <w:rPr/>
        <w:t>who gives it accepts no responsibility for its accuracy or for reviewing it. </w:t>
      </w:r>
      <w:r>
        <w:rPr>
          <w:color w:val="005DA1"/>
          <w:u w:val="single" w:color="005DA1"/>
          <w:vertAlign w:val="superscript"/>
        </w:rPr>
        <w:t>113</w:t>
      </w:r>
    </w:p>
    <w:p>
      <w:pPr>
        <w:pStyle w:val="BodyText"/>
        <w:spacing w:after="0" w:line="235" w:lineRule="auto"/>
        <w:sectPr>
          <w:pgSz w:w="11900" w:h="16840"/>
          <w:pgMar w:header="971" w:footer="0" w:top="1160" w:bottom="280" w:left="1275" w:right="1275"/>
        </w:sectPr>
      </w:pPr>
    </w:p>
    <w:p>
      <w:pPr>
        <w:pStyle w:val="BodyText"/>
        <w:spacing w:before="146"/>
        <w:rPr>
          <w:sz w:val="18"/>
        </w:rPr>
      </w:pPr>
    </w:p>
    <w:p>
      <w:pPr>
        <w:spacing w:before="0"/>
        <w:ind w:left="165" w:right="0" w:firstLine="0"/>
        <w:jc w:val="left"/>
        <w:rPr>
          <w:rFonts w:ascii="Arial"/>
          <w:b/>
          <w:sz w:val="18"/>
        </w:rPr>
      </w:pPr>
      <w:r>
        <w:rPr>
          <w:rFonts w:ascii="Arial"/>
          <w:b/>
          <w:sz w:val="18"/>
        </w:rPr>
        <w:t>Withdrawals and </w:t>
      </w:r>
      <w:r>
        <w:rPr>
          <w:rFonts w:ascii="Arial"/>
          <w:b/>
          <w:spacing w:val="-2"/>
          <w:sz w:val="18"/>
        </w:rPr>
        <w:t>corrections.</w:t>
      </w:r>
    </w:p>
    <w:p>
      <w:pPr>
        <w:pStyle w:val="BodyText"/>
        <w:spacing w:before="41"/>
        <w:rPr>
          <w:rFonts w:ascii="Arial"/>
          <w:b/>
          <w:sz w:val="18"/>
        </w:rPr>
      </w:pPr>
    </w:p>
    <w:p>
      <w:pPr>
        <w:pStyle w:val="Heading2"/>
        <w:spacing w:before="1"/>
      </w:pPr>
      <w:r>
        <w:rPr/>
        <w:t>7-</w:t>
      </w:r>
      <w:r>
        <w:rPr>
          <w:spacing w:val="-4"/>
        </w:rPr>
        <w:t>021A</w:t>
      </w:r>
    </w:p>
    <w:p>
      <w:pPr>
        <w:pStyle w:val="BodyText"/>
        <w:spacing w:before="88"/>
        <w:rPr>
          <w:rFonts w:ascii="Arial"/>
          <w:b/>
        </w:rPr>
      </w:pPr>
    </w:p>
    <w:p>
      <w:pPr>
        <w:pStyle w:val="BodyText"/>
        <w:spacing w:before="1"/>
        <w:ind w:left="165"/>
      </w:pPr>
      <w:r>
        <w:rPr>
          <w:position w:val="-2"/>
        </w:rPr>
        <w:drawing>
          <wp:inline distT="0" distB="0" distL="0" distR="0">
            <wp:extent cx="107988" cy="107988"/>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4"/>
        </w:rPr>
        <w:t> </w:t>
      </w:r>
      <w:bookmarkStart w:name="_bookmark122" w:id="124"/>
      <w:bookmarkEnd w:id="124"/>
      <w:r>
        <w:rPr>
          <w:rFonts w:ascii="Times New Roman"/>
          <w:spacing w:val="24"/>
        </w:rPr>
      </w:r>
      <w:r>
        <w:rPr/>
        <w:t>A</w:t>
      </w:r>
      <w:r>
        <w:rPr>
          <w:spacing w:val="19"/>
        </w:rPr>
        <w:t> </w:t>
      </w:r>
      <w:r>
        <w:rPr/>
        <w:t>misrepresentation</w:t>
      </w:r>
      <w:r>
        <w:rPr>
          <w:spacing w:val="19"/>
        </w:rPr>
        <w:t> </w:t>
      </w:r>
      <w:r>
        <w:rPr/>
        <w:t>will</w:t>
      </w:r>
      <w:r>
        <w:rPr>
          <w:spacing w:val="19"/>
        </w:rPr>
        <w:t> </w:t>
      </w:r>
      <w:r>
        <w:rPr/>
        <w:t>cease</w:t>
      </w:r>
      <w:r>
        <w:rPr>
          <w:spacing w:val="19"/>
        </w:rPr>
        <w:t> </w:t>
      </w:r>
      <w:r>
        <w:rPr/>
        <w:t>to</w:t>
      </w:r>
      <w:r>
        <w:rPr>
          <w:spacing w:val="19"/>
        </w:rPr>
        <w:t> </w:t>
      </w:r>
      <w:r>
        <w:rPr/>
        <w:t>have</w:t>
      </w:r>
      <w:r>
        <w:rPr>
          <w:spacing w:val="19"/>
        </w:rPr>
        <w:t> </w:t>
      </w:r>
      <w:r>
        <w:rPr/>
        <w:t>effect</w:t>
      </w:r>
      <w:r>
        <w:rPr>
          <w:spacing w:val="19"/>
        </w:rPr>
        <w:t> </w:t>
      </w:r>
      <w:r>
        <w:rPr/>
        <w:t>if</w:t>
      </w:r>
      <w:r>
        <w:rPr>
          <w:spacing w:val="19"/>
        </w:rPr>
        <w:t> </w:t>
      </w:r>
      <w:r>
        <w:rPr/>
        <w:t>it</w:t>
      </w:r>
      <w:r>
        <w:rPr>
          <w:spacing w:val="19"/>
        </w:rPr>
        <w:t> </w:t>
      </w:r>
      <w:r>
        <w:rPr/>
        <w:t>is</w:t>
      </w:r>
      <w:r>
        <w:rPr>
          <w:spacing w:val="19"/>
        </w:rPr>
        <w:t> </w:t>
      </w:r>
      <w:r>
        <w:rPr/>
        <w:t>withdrawn</w:t>
      </w:r>
      <w:r>
        <w:rPr>
          <w:spacing w:val="19"/>
        </w:rPr>
        <w:t> </w:t>
      </w:r>
      <w:r>
        <w:rPr/>
        <w:t>or</w:t>
      </w:r>
      <w:r>
        <w:rPr>
          <w:spacing w:val="19"/>
        </w:rPr>
        <w:t> </w:t>
      </w:r>
      <w:r>
        <w:rPr/>
        <w:t>corrected</w:t>
      </w:r>
      <w:r>
        <w:rPr>
          <w:spacing w:val="19"/>
        </w:rPr>
        <w:t> </w:t>
      </w:r>
      <w:r>
        <w:rPr/>
        <w:t>before</w:t>
      </w:r>
      <w:r>
        <w:rPr>
          <w:spacing w:val="19"/>
        </w:rPr>
        <w:t> </w:t>
      </w:r>
      <w:r>
        <w:rPr/>
        <w:t>the</w:t>
      </w:r>
      <w:r>
        <w:rPr>
          <w:spacing w:val="19"/>
        </w:rPr>
        <w:t> </w:t>
      </w:r>
      <w:r>
        <w:rPr/>
        <w:t>contract</w:t>
      </w:r>
      <w:r>
        <w:rPr>
          <w:spacing w:val="19"/>
        </w:rPr>
        <w:t> </w:t>
      </w:r>
      <w:r>
        <w:rPr/>
        <w:t>is</w:t>
      </w:r>
    </w:p>
    <w:p>
      <w:pPr>
        <w:pStyle w:val="BodyText"/>
        <w:spacing w:line="235" w:lineRule="auto" w:before="118"/>
        <w:ind w:left="165"/>
      </w:pPr>
      <w:r>
        <w:rPr/>
        <w:t>made, as then it will not have induced the contract. </w:t>
      </w:r>
      <w:r>
        <w:rPr>
          <w:color w:val="005DA1"/>
          <w:u w:val="single" w:color="005DA1"/>
          <w:vertAlign w:val="superscript"/>
        </w:rPr>
        <w:t>114</w:t>
      </w:r>
      <w:r>
        <w:rPr>
          <w:color w:val="005DA1"/>
          <w:spacing w:val="80"/>
          <w:w w:val="150"/>
          <w:vertAlign w:val="baseline"/>
        </w:rPr>
        <w:t> </w:t>
      </w:r>
      <w:r>
        <w:rPr>
          <w:color w:val="005DA1"/>
          <w:spacing w:val="27"/>
          <w:position w:val="-2"/>
          <w:vertAlign w:val="baseline"/>
        </w:rPr>
        <w:drawing>
          <wp:inline distT="0" distB="0" distL="0" distR="0">
            <wp:extent cx="107988" cy="107988"/>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color w:val="005DA1"/>
          <w:spacing w:val="-13"/>
          <w:vertAlign w:val="baseline"/>
        </w:rPr>
        <w:t> </w:t>
      </w:r>
      <w:r>
        <w:rPr>
          <w:vertAlign w:val="baseline"/>
        </w:rPr>
        <w:t>The burden of establishing a correction or </w:t>
      </w:r>
      <w:bookmarkStart w:name="_bookmark123" w:id="125"/>
      <w:bookmarkEnd w:id="125"/>
      <w:r>
        <w:rPr>
          <w:vertAlign w:val="baseline"/>
        </w:rPr>
        <w:t>withdrawal</w:t>
      </w:r>
      <w:r>
        <w:rPr>
          <w:spacing w:val="14"/>
          <w:vertAlign w:val="baseline"/>
        </w:rPr>
        <w:t> </w:t>
      </w:r>
      <w:r>
        <w:rPr>
          <w:vertAlign w:val="baseline"/>
        </w:rPr>
        <w:t>rests</w:t>
      </w:r>
      <w:r>
        <w:rPr>
          <w:spacing w:val="14"/>
          <w:vertAlign w:val="baseline"/>
        </w:rPr>
        <w:t> </w:t>
      </w:r>
      <w:r>
        <w:rPr>
          <w:vertAlign w:val="baseline"/>
        </w:rPr>
        <w:t>on</w:t>
      </w:r>
      <w:r>
        <w:rPr>
          <w:spacing w:val="14"/>
          <w:vertAlign w:val="baseline"/>
        </w:rPr>
        <w:t> </w:t>
      </w:r>
      <w:r>
        <w:rPr>
          <w:vertAlign w:val="baseline"/>
        </w:rPr>
        <w:t>the</w:t>
      </w:r>
      <w:r>
        <w:rPr>
          <w:spacing w:val="14"/>
          <w:vertAlign w:val="baseline"/>
        </w:rPr>
        <w:t> </w:t>
      </w:r>
      <w:r>
        <w:rPr>
          <w:vertAlign w:val="baseline"/>
        </w:rPr>
        <w:t>person</w:t>
      </w:r>
      <w:r>
        <w:rPr>
          <w:spacing w:val="14"/>
          <w:vertAlign w:val="baseline"/>
        </w:rPr>
        <w:t> </w:t>
      </w:r>
      <w:r>
        <w:rPr>
          <w:vertAlign w:val="baseline"/>
        </w:rPr>
        <w:t>making</w:t>
      </w:r>
      <w:r>
        <w:rPr>
          <w:spacing w:val="14"/>
          <w:vertAlign w:val="baseline"/>
        </w:rPr>
        <w:t> </w:t>
      </w:r>
      <w:r>
        <w:rPr>
          <w:vertAlign w:val="baseline"/>
        </w:rPr>
        <w:t>the</w:t>
      </w:r>
      <w:r>
        <w:rPr>
          <w:spacing w:val="14"/>
          <w:vertAlign w:val="baseline"/>
        </w:rPr>
        <w:t> </w:t>
      </w:r>
      <w:r>
        <w:rPr>
          <w:vertAlign w:val="baseline"/>
        </w:rPr>
        <w:t>correction</w:t>
      </w:r>
      <w:r>
        <w:rPr>
          <w:spacing w:val="14"/>
          <w:vertAlign w:val="baseline"/>
        </w:rPr>
        <w:t> </w:t>
      </w:r>
      <w:r>
        <w:rPr>
          <w:vertAlign w:val="baseline"/>
        </w:rPr>
        <w:t>and</w:t>
      </w:r>
      <w:r>
        <w:rPr>
          <w:spacing w:val="14"/>
          <w:vertAlign w:val="baseline"/>
        </w:rPr>
        <w:t> </w:t>
      </w:r>
      <w:r>
        <w:rPr>
          <w:vertAlign w:val="baseline"/>
        </w:rPr>
        <w:t>the</w:t>
      </w:r>
      <w:r>
        <w:rPr>
          <w:spacing w:val="14"/>
          <w:vertAlign w:val="baseline"/>
        </w:rPr>
        <w:t> </w:t>
      </w:r>
      <w:r>
        <w:rPr>
          <w:vertAlign w:val="baseline"/>
        </w:rPr>
        <w:t>correction</w:t>
      </w:r>
      <w:r>
        <w:rPr>
          <w:spacing w:val="14"/>
          <w:vertAlign w:val="baseline"/>
        </w:rPr>
        <w:t> </w:t>
      </w:r>
      <w:r>
        <w:rPr>
          <w:vertAlign w:val="baseline"/>
        </w:rPr>
        <w:t>must</w:t>
      </w:r>
      <w:r>
        <w:rPr>
          <w:spacing w:val="14"/>
          <w:vertAlign w:val="baseline"/>
        </w:rPr>
        <w:t> </w:t>
      </w:r>
      <w:r>
        <w:rPr>
          <w:vertAlign w:val="baseline"/>
        </w:rPr>
        <w:t>be</w:t>
      </w:r>
      <w:r>
        <w:rPr>
          <w:spacing w:val="14"/>
          <w:vertAlign w:val="baseline"/>
        </w:rPr>
        <w:t> </w:t>
      </w:r>
      <w:r>
        <w:rPr>
          <w:vertAlign w:val="baseline"/>
        </w:rPr>
        <w:t>sufficiently</w:t>
      </w:r>
      <w:r>
        <w:rPr>
          <w:spacing w:val="14"/>
          <w:vertAlign w:val="baseline"/>
        </w:rPr>
        <w:t> </w:t>
      </w:r>
      <w:r>
        <w:rPr>
          <w:vertAlign w:val="baseline"/>
        </w:rPr>
        <w:t>clear</w:t>
      </w:r>
      <w:r>
        <w:rPr>
          <w:spacing w:val="14"/>
          <w:vertAlign w:val="baseline"/>
        </w:rPr>
        <w:t> </w:t>
      </w:r>
      <w:r>
        <w:rPr>
          <w:spacing w:val="-5"/>
          <w:vertAlign w:val="baseline"/>
        </w:rPr>
        <w:t>in</w:t>
      </w:r>
    </w:p>
    <w:p>
      <w:pPr>
        <w:pStyle w:val="BodyText"/>
        <w:spacing w:before="116"/>
        <w:ind w:left="165"/>
        <w:rPr>
          <w:position w:val="-2"/>
        </w:rPr>
      </w:pPr>
      <w:r>
        <w:rPr/>
        <w:t>all the circumstances of the case. </w:t>
      </w:r>
      <w:r>
        <w:rPr>
          <w:color w:val="005DA1"/>
          <w:u w:val="single" w:color="005DA1"/>
          <w:vertAlign w:val="superscript"/>
        </w:rPr>
        <w:t>115</w:t>
      </w:r>
      <w:r>
        <w:rPr>
          <w:color w:val="005DA1"/>
          <w:spacing w:val="80"/>
          <w:w w:val="150"/>
          <w:vertAlign w:val="baseline"/>
        </w:rPr>
        <w:t> </w:t>
      </w:r>
      <w:r>
        <w:rPr>
          <w:color w:val="005DA1"/>
          <w:position w:val="-2"/>
          <w:vertAlign w:val="baseline"/>
        </w:rPr>
        <w:drawing>
          <wp:inline distT="0" distB="0" distL="0" distR="0">
            <wp:extent cx="107988" cy="107988"/>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Continuity of </w:t>
      </w:r>
      <w:r>
        <w:rPr>
          <w:rFonts w:ascii="Arial"/>
          <w:b/>
          <w:spacing w:val="-2"/>
          <w:sz w:val="18"/>
        </w:rPr>
        <w:t>representations</w:t>
      </w:r>
    </w:p>
    <w:p>
      <w:pPr>
        <w:pStyle w:val="BodyText"/>
        <w:spacing w:before="41"/>
        <w:rPr>
          <w:rFonts w:ascii="Arial"/>
          <w:b/>
          <w:sz w:val="18"/>
        </w:rPr>
      </w:pPr>
    </w:p>
    <w:p>
      <w:pPr>
        <w:pStyle w:val="Heading2"/>
        <w:spacing w:before="1"/>
      </w:pPr>
      <w:r>
        <w:rPr/>
        <w:t>7-</w:t>
      </w:r>
      <w:r>
        <w:rPr>
          <w:spacing w:val="-5"/>
        </w:rPr>
        <w:t>022</w:t>
      </w:r>
    </w:p>
    <w:p>
      <w:pPr>
        <w:pStyle w:val="BodyText"/>
        <w:spacing w:line="235" w:lineRule="auto" w:before="202"/>
        <w:ind w:left="164" w:right="167"/>
        <w:jc w:val="both"/>
      </w:pPr>
      <w:r>
        <w:rPr/>
        <w:t>Representations are treated for many purposes as continuing in their effect until the contract between the parties is actually concluded. This is one reason why a statement which is true when made, </w:t>
      </w:r>
      <w:r>
        <w:rPr/>
        <w:t>but which ceases to be true to the knowledge of the representor before the contract is concluded, is </w:t>
      </w:r>
      <w:bookmarkStart w:name="_bookmark124" w:id="126"/>
      <w:bookmarkEnd w:id="126"/>
      <w:r>
        <w:rPr/>
        <w:t>treated</w:t>
      </w:r>
      <w:r>
        <w:rPr/>
        <w:t> as a misrepresentation unless the representor informs the representee of the change in circumstances. </w:t>
      </w:r>
      <w:r>
        <w:rPr>
          <w:color w:val="005DA1"/>
          <w:u w:val="single" w:color="005DA1"/>
          <w:vertAlign w:val="superscript"/>
        </w:rPr>
        <w:t>116</w:t>
      </w:r>
      <w:r>
        <w:rPr>
          <w:color w:val="005DA1"/>
          <w:vertAlign w:val="baseline"/>
        </w:rPr>
        <w:t> </w:t>
      </w:r>
      <w:r>
        <w:rPr>
          <w:vertAlign w:val="baseline"/>
        </w:rPr>
        <w:t>This principle may have other effects as well. First, as we have just seen, if a representation is made innocently but falsely, and facts later come to the knowledge of the </w:t>
      </w:r>
      <w:bookmarkStart w:name="_bookmark125" w:id="127"/>
      <w:bookmarkEnd w:id="127"/>
      <w:r>
        <w:rPr>
          <w:vertAlign w:val="baseline"/>
        </w:rPr>
        <w:t>representor</w:t>
      </w:r>
      <w:r>
        <w:rPr>
          <w:vertAlign w:val="baseline"/>
        </w:rPr>
        <w:t> which show that the statement was false, a failure to inform the representee of the truth may convert what was originally an innocent misrepresentation into a fraudulent one. </w:t>
      </w:r>
      <w:r>
        <w:rPr>
          <w:color w:val="005DA1"/>
          <w:u w:val="single" w:color="005DA1"/>
          <w:vertAlign w:val="superscript"/>
        </w:rPr>
        <w:t>117</w:t>
      </w:r>
      <w:r>
        <w:rPr>
          <w:color w:val="005DA1"/>
          <w:vertAlign w:val="baseline"/>
        </w:rPr>
        <w:t> </w:t>
      </w:r>
      <w:r>
        <w:rPr>
          <w:vertAlign w:val="baseline"/>
        </w:rPr>
        <w:t>Again, if a </w:t>
      </w:r>
      <w:bookmarkStart w:name="_bookmark126" w:id="128"/>
      <w:bookmarkEnd w:id="128"/>
      <w:r>
        <w:rPr>
          <w:vertAlign w:val="baseline"/>
        </w:rPr>
        <w:t>man</w:t>
      </w:r>
      <w:r>
        <w:rPr>
          <w:vertAlign w:val="baseline"/>
        </w:rPr>
        <w:t> truthfully states that he intends to do something but changes his mind at a later stage he may </w:t>
      </w:r>
      <w:bookmarkStart w:name="_bookmark127" w:id="129"/>
      <w:bookmarkEnd w:id="129"/>
      <w:r>
        <w:rPr>
          <w:vertAlign w:val="baseline"/>
        </w:rPr>
        <w:t>come</w:t>
      </w:r>
      <w:r>
        <w:rPr>
          <w:vertAlign w:val="baseline"/>
        </w:rPr>
        <w:t> under a duty to disclose that change. </w:t>
      </w:r>
      <w:r>
        <w:rPr>
          <w:color w:val="005DA1"/>
          <w:u w:val="single" w:color="005DA1"/>
          <w:vertAlign w:val="superscript"/>
        </w:rPr>
        <w:t>118</w:t>
      </w:r>
      <w:r>
        <w:rPr>
          <w:color w:val="005DA1"/>
          <w:vertAlign w:val="baseline"/>
        </w:rPr>
        <w:t> </w:t>
      </w:r>
      <w:r>
        <w:rPr>
          <w:vertAlign w:val="baseline"/>
        </w:rPr>
        <w:t>The principle is also recognised by s.2(1) of the Misrepresentation Act which extends the right to damages for negligent misrepresentation, </w:t>
      </w:r>
      <w:r>
        <w:rPr>
          <w:color w:val="005DA1"/>
          <w:u w:val="single" w:color="005DA1"/>
          <w:vertAlign w:val="superscript"/>
        </w:rPr>
        <w:t>119</w:t>
      </w:r>
      <w:r>
        <w:rPr>
          <w:color w:val="005DA1"/>
          <w:vertAlign w:val="baseline"/>
        </w:rPr>
        <w:t> </w:t>
      </w:r>
      <w:r>
        <w:rPr>
          <w:vertAlign w:val="baseline"/>
        </w:rPr>
        <w:t>for a </w:t>
      </w:r>
      <w:bookmarkStart w:name="_bookmark128" w:id="130"/>
      <w:bookmarkEnd w:id="130"/>
      <w:r>
        <w:rPr>
          <w:vertAlign w:val="baseline"/>
        </w:rPr>
        <w:t>misrepresentation</w:t>
      </w:r>
      <w:r>
        <w:rPr>
          <w:vertAlign w:val="baseline"/>
        </w:rPr>
        <w:t> falls within this subsection unless the representor had reasonable grounds to believe and did believe </w:t>
      </w:r>
      <w:r>
        <w:rPr>
          <w:rFonts w:ascii="Arial"/>
          <w:i/>
          <w:vertAlign w:val="baseline"/>
        </w:rPr>
        <w:t>up to the time the contract was made </w:t>
      </w:r>
      <w:r>
        <w:rPr>
          <w:vertAlign w:val="baseline"/>
        </w:rPr>
        <w:t>that the facts represented were true. </w:t>
      </w:r>
      <w:r>
        <w:rPr>
          <w:color w:val="005DA1"/>
          <w:u w:val="single" w:color="005DA1"/>
          <w:vertAlign w:val="superscript"/>
        </w:rPr>
        <w:t>120</w:t>
      </w:r>
      <w:r>
        <w:rPr>
          <w:color w:val="005DA1"/>
          <w:vertAlign w:val="baseline"/>
        </w:rPr>
        <w:t> </w:t>
      </w:r>
      <w:r>
        <w:rPr>
          <w:vertAlign w:val="baseline"/>
        </w:rPr>
        <w:t>Another consequence of the principle that representations are continuous in their effect is that if a representation is made by an agent who is acting without authority, and he subsequently obtains the </w:t>
      </w:r>
      <w:bookmarkStart w:name="_bookmark129" w:id="131"/>
      <w:bookmarkEnd w:id="131"/>
      <w:r>
        <w:rPr>
          <w:vertAlign w:val="baseline"/>
        </w:rPr>
        <w:t>authority</w:t>
      </w:r>
      <w:r>
        <w:rPr>
          <w:vertAlign w:val="baseline"/>
        </w:rPr>
        <w:t> of his principal to continue the negotiations, the principal will become responsible for the representations previously made by the agent. </w:t>
      </w:r>
      <w:r>
        <w:rPr>
          <w:color w:val="005DA1"/>
          <w:u w:val="single" w:color="005DA1"/>
          <w:vertAlign w:val="superscript"/>
        </w:rPr>
        <w:t>121</w:t>
      </w:r>
      <w:r>
        <w:rPr>
          <w:color w:val="005DA1"/>
          <w:vertAlign w:val="baseline"/>
        </w:rPr>
        <w:t> </w:t>
      </w:r>
      <w:r>
        <w:rPr>
          <w:vertAlign w:val="baseline"/>
        </w:rPr>
        <w:t>Conversely, if the contract is ultimately concluded not between the representor and the original representee but between the representor and a third </w:t>
      </w:r>
      <w:bookmarkStart w:name="_bookmark130" w:id="132"/>
      <w:bookmarkEnd w:id="132"/>
      <w:r>
        <w:rPr>
          <w:vertAlign w:val="baseline"/>
        </w:rPr>
        <w:t>person</w:t>
      </w:r>
      <w:r>
        <w:rPr>
          <w:vertAlign w:val="baseline"/>
        </w:rPr>
        <w:t> (on the facts of the case, a company formed for the purpose only after the original representation</w:t>
      </w:r>
      <w:r>
        <w:rPr>
          <w:spacing w:val="12"/>
          <w:vertAlign w:val="baseline"/>
        </w:rPr>
        <w:t> </w:t>
      </w:r>
      <w:r>
        <w:rPr>
          <w:vertAlign w:val="baseline"/>
        </w:rPr>
        <w:t>had</w:t>
      </w:r>
      <w:r>
        <w:rPr>
          <w:spacing w:val="12"/>
          <w:vertAlign w:val="baseline"/>
        </w:rPr>
        <w:t> </w:t>
      </w:r>
      <w:r>
        <w:rPr>
          <w:vertAlign w:val="baseline"/>
        </w:rPr>
        <w:t>been</w:t>
      </w:r>
      <w:r>
        <w:rPr>
          <w:spacing w:val="12"/>
          <w:vertAlign w:val="baseline"/>
        </w:rPr>
        <w:t> </w:t>
      </w:r>
      <w:r>
        <w:rPr>
          <w:vertAlign w:val="baseline"/>
        </w:rPr>
        <w:t>made),</w:t>
      </w:r>
      <w:r>
        <w:rPr>
          <w:spacing w:val="12"/>
          <w:vertAlign w:val="baseline"/>
        </w:rPr>
        <w:t> </w:t>
      </w:r>
      <w:r>
        <w:rPr>
          <w:vertAlign w:val="baseline"/>
        </w:rPr>
        <w:t>the</w:t>
      </w:r>
      <w:r>
        <w:rPr>
          <w:spacing w:val="12"/>
          <w:vertAlign w:val="baseline"/>
        </w:rPr>
        <w:t> </w:t>
      </w:r>
      <w:r>
        <w:rPr>
          <w:vertAlign w:val="baseline"/>
        </w:rPr>
        <w:t>representation</w:t>
      </w:r>
      <w:r>
        <w:rPr>
          <w:spacing w:val="12"/>
          <w:vertAlign w:val="baseline"/>
        </w:rPr>
        <w:t> </w:t>
      </w:r>
      <w:r>
        <w:rPr>
          <w:vertAlign w:val="baseline"/>
        </w:rPr>
        <w:t>may</w:t>
      </w:r>
      <w:r>
        <w:rPr>
          <w:spacing w:val="12"/>
          <w:vertAlign w:val="baseline"/>
        </w:rPr>
        <w:t> </w:t>
      </w:r>
      <w:r>
        <w:rPr>
          <w:vertAlign w:val="baseline"/>
        </w:rPr>
        <w:t>be</w:t>
      </w:r>
      <w:r>
        <w:rPr>
          <w:spacing w:val="12"/>
          <w:vertAlign w:val="baseline"/>
        </w:rPr>
        <w:t> </w:t>
      </w:r>
      <w:r>
        <w:rPr>
          <w:vertAlign w:val="baseline"/>
        </w:rPr>
        <w:t>treated</w:t>
      </w:r>
      <w:r>
        <w:rPr>
          <w:spacing w:val="12"/>
          <w:vertAlign w:val="baseline"/>
        </w:rPr>
        <w:t> </w:t>
      </w:r>
      <w:r>
        <w:rPr>
          <w:vertAlign w:val="baseline"/>
        </w:rPr>
        <w:t>as</w:t>
      </w:r>
      <w:r>
        <w:rPr>
          <w:spacing w:val="12"/>
          <w:vertAlign w:val="baseline"/>
        </w:rPr>
        <w:t> </w:t>
      </w:r>
      <w:r>
        <w:rPr>
          <w:vertAlign w:val="baseline"/>
        </w:rPr>
        <w:t>being</w:t>
      </w:r>
      <w:r>
        <w:rPr>
          <w:spacing w:val="12"/>
          <w:vertAlign w:val="baseline"/>
        </w:rPr>
        <w:t> </w:t>
      </w:r>
      <w:r>
        <w:rPr>
          <w:vertAlign w:val="baseline"/>
        </w:rPr>
        <w:t>made</w:t>
      </w:r>
      <w:r>
        <w:rPr>
          <w:spacing w:val="12"/>
          <w:vertAlign w:val="baseline"/>
        </w:rPr>
        <w:t> </w:t>
      </w:r>
      <w:r>
        <w:rPr>
          <w:vertAlign w:val="baseline"/>
        </w:rPr>
        <w:t>to</w:t>
      </w:r>
      <w:r>
        <w:rPr>
          <w:spacing w:val="12"/>
          <w:vertAlign w:val="baseline"/>
        </w:rPr>
        <w:t> </w:t>
      </w:r>
      <w:r>
        <w:rPr>
          <w:vertAlign w:val="baseline"/>
        </w:rPr>
        <w:t>the</w:t>
      </w:r>
      <w:r>
        <w:rPr>
          <w:spacing w:val="12"/>
          <w:vertAlign w:val="baseline"/>
        </w:rPr>
        <w:t> </w:t>
      </w:r>
      <w:r>
        <w:rPr>
          <w:vertAlign w:val="baseline"/>
        </w:rPr>
        <w:t>third</w:t>
      </w:r>
      <w:r>
        <w:rPr>
          <w:spacing w:val="12"/>
          <w:vertAlign w:val="baseline"/>
        </w:rPr>
        <w:t> </w:t>
      </w:r>
      <w:r>
        <w:rPr>
          <w:spacing w:val="-2"/>
          <w:vertAlign w:val="baseline"/>
        </w:rPr>
        <w:t>party.</w:t>
      </w:r>
    </w:p>
    <w:p>
      <w:pPr>
        <w:pStyle w:val="BodyText"/>
        <w:spacing w:line="216" w:lineRule="exact"/>
        <w:ind w:left="165"/>
        <w:jc w:val="both"/>
      </w:pPr>
      <w:r>
        <w:rPr>
          <w:color w:val="005DA1"/>
          <w:u w:val="single" w:color="005DA1"/>
          <w:vertAlign w:val="superscript"/>
        </w:rPr>
        <w:t>122</w:t>
      </w:r>
      <w:r>
        <w:rPr>
          <w:color w:val="005DA1"/>
          <w:spacing w:val="9"/>
          <w:vertAlign w:val="baseline"/>
        </w:rPr>
        <w:t> </w:t>
      </w:r>
      <w:r>
        <w:rPr>
          <w:vertAlign w:val="baseline"/>
        </w:rPr>
        <w:t>On</w:t>
      </w:r>
      <w:r>
        <w:rPr>
          <w:spacing w:val="10"/>
          <w:vertAlign w:val="baseline"/>
        </w:rPr>
        <w:t> </w:t>
      </w:r>
      <w:r>
        <w:rPr>
          <w:vertAlign w:val="baseline"/>
        </w:rPr>
        <w:t>the</w:t>
      </w:r>
      <w:r>
        <w:rPr>
          <w:spacing w:val="10"/>
          <w:vertAlign w:val="baseline"/>
        </w:rPr>
        <w:t> </w:t>
      </w:r>
      <w:r>
        <w:rPr>
          <w:vertAlign w:val="baseline"/>
        </w:rPr>
        <w:t>facts</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case</w:t>
      </w:r>
      <w:r>
        <w:rPr>
          <w:spacing w:val="10"/>
          <w:vertAlign w:val="baseline"/>
        </w:rPr>
        <w:t> </w:t>
      </w:r>
      <w:r>
        <w:rPr>
          <w:vertAlign w:val="baseline"/>
        </w:rPr>
        <w:t>the</w:t>
      </w:r>
      <w:r>
        <w:rPr>
          <w:spacing w:val="10"/>
          <w:vertAlign w:val="baseline"/>
        </w:rPr>
        <w:t> </w:t>
      </w:r>
      <w:r>
        <w:rPr>
          <w:vertAlign w:val="baseline"/>
        </w:rPr>
        <w:t>original</w:t>
      </w:r>
      <w:r>
        <w:rPr>
          <w:spacing w:val="10"/>
          <w:vertAlign w:val="baseline"/>
        </w:rPr>
        <w:t> </w:t>
      </w:r>
      <w:r>
        <w:rPr>
          <w:vertAlign w:val="baseline"/>
        </w:rPr>
        <w:t>representee</w:t>
      </w:r>
      <w:r>
        <w:rPr>
          <w:spacing w:val="10"/>
          <w:vertAlign w:val="baseline"/>
        </w:rPr>
        <w:t> </w:t>
      </w:r>
      <w:r>
        <w:rPr>
          <w:vertAlign w:val="baseline"/>
        </w:rPr>
        <w:t>continued</w:t>
      </w:r>
      <w:r>
        <w:rPr>
          <w:spacing w:val="10"/>
          <w:vertAlign w:val="baseline"/>
        </w:rPr>
        <w:t> </w:t>
      </w:r>
      <w:r>
        <w:rPr>
          <w:vertAlign w:val="baseline"/>
        </w:rPr>
        <w:t>to</w:t>
      </w:r>
      <w:r>
        <w:rPr>
          <w:spacing w:val="11"/>
          <w:vertAlign w:val="baseline"/>
        </w:rPr>
        <w:t> </w:t>
      </w:r>
      <w:r>
        <w:rPr>
          <w:vertAlign w:val="baseline"/>
        </w:rPr>
        <w:t>act</w:t>
      </w:r>
      <w:r>
        <w:rPr>
          <w:spacing w:val="10"/>
          <w:vertAlign w:val="baseline"/>
        </w:rPr>
        <w:t> </w:t>
      </w:r>
      <w:r>
        <w:rPr>
          <w:vertAlign w:val="baseline"/>
        </w:rPr>
        <w:t>as</w:t>
      </w:r>
      <w:r>
        <w:rPr>
          <w:spacing w:val="10"/>
          <w:vertAlign w:val="baseline"/>
        </w:rPr>
        <w:t> </w:t>
      </w:r>
      <w:r>
        <w:rPr>
          <w:vertAlign w:val="baseline"/>
        </w:rPr>
        <w:t>agent</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third</w:t>
      </w:r>
      <w:r>
        <w:rPr>
          <w:spacing w:val="10"/>
          <w:vertAlign w:val="baseline"/>
        </w:rPr>
        <w:t> </w:t>
      </w:r>
      <w:r>
        <w:rPr>
          <w:vertAlign w:val="baseline"/>
        </w:rPr>
        <w:t>person,</w:t>
      </w:r>
      <w:r>
        <w:rPr>
          <w:spacing w:val="10"/>
          <w:vertAlign w:val="baseline"/>
        </w:rPr>
        <w:t> </w:t>
      </w:r>
      <w:r>
        <w:rPr>
          <w:spacing w:val="-5"/>
          <w:vertAlign w:val="baseline"/>
        </w:rPr>
        <w:t>so</w:t>
      </w:r>
    </w:p>
    <w:p>
      <w:pPr>
        <w:pStyle w:val="BodyText"/>
        <w:spacing w:line="235" w:lineRule="auto" w:before="1"/>
        <w:ind w:left="164" w:right="166"/>
        <w:jc w:val="both"/>
      </w:pPr>
      <w:r>
        <w:rPr/>
        <w:t>the representation could be regarded as continuing to be made to him, though in a different capacity. It is submitted that this is not a necessary condition, at least if the representor knows that the statement made earlier is likely to be passed on to the third person and does nothing to withdraw it </w:t>
      </w:r>
      <w:r>
        <w:rPr/>
        <w:t>or </w:t>
      </w:r>
      <w:bookmarkStart w:name="_bookmark131" w:id="133"/>
      <w:bookmarkEnd w:id="133"/>
      <w:r>
        <w:rPr/>
        <w:t>to</w:t>
      </w:r>
      <w:r>
        <w:rPr/>
        <w:t> indicate that there should be a fresh start to the negotiations, so that “the earlier misrepresentation is to be regarded as water under the bridge”. </w:t>
      </w:r>
      <w:r>
        <w:rPr>
          <w:color w:val="005DA1"/>
          <w:u w:val="single" w:color="005DA1"/>
          <w:vertAlign w:val="superscript"/>
        </w:rPr>
        <w:t>123</w:t>
      </w:r>
      <w:r>
        <w:rPr>
          <w:color w:val="005DA1"/>
          <w:vertAlign w:val="baseline"/>
        </w:rPr>
        <w:t> </w:t>
      </w:r>
      <w:r>
        <w:rPr>
          <w:vertAlign w:val="baseline"/>
        </w:rPr>
        <w:t>There are some circumstances in which a contract may be treated as commercially binding before it becomes legally binding, and in such a case it seems that the principle of continuity of representations does not operate beyond the time when the </w:t>
      </w:r>
      <w:bookmarkStart w:name="_bookmark132" w:id="134"/>
      <w:bookmarkEnd w:id="134"/>
      <w:r>
        <w:rPr>
          <w:vertAlign w:val="baseline"/>
        </w:rPr>
        <w:t>contract</w:t>
      </w:r>
      <w:r>
        <w:rPr>
          <w:vertAlign w:val="baseline"/>
        </w:rPr>
        <w:t> becomes commercially binding. So, for instance, an insured was held not to be obliged (despite</w:t>
      </w:r>
      <w:r>
        <w:rPr>
          <w:spacing w:val="-3"/>
          <w:vertAlign w:val="baseline"/>
        </w:rPr>
        <w:t> </w:t>
      </w:r>
      <w:r>
        <w:rPr>
          <w:vertAlign w:val="baseline"/>
        </w:rPr>
        <w:t>the</w:t>
      </w:r>
      <w:r>
        <w:rPr>
          <w:spacing w:val="-3"/>
          <w:vertAlign w:val="baseline"/>
        </w:rPr>
        <w:t> </w:t>
      </w:r>
      <w:r>
        <w:rPr>
          <w:vertAlign w:val="baseline"/>
        </w:rPr>
        <w:t>general</w:t>
      </w:r>
      <w:r>
        <w:rPr>
          <w:spacing w:val="-3"/>
          <w:vertAlign w:val="baseline"/>
        </w:rPr>
        <w:t> </w:t>
      </w:r>
      <w:r>
        <w:rPr>
          <w:vertAlign w:val="baseline"/>
        </w:rPr>
        <w:t>duty</w:t>
      </w:r>
      <w:r>
        <w:rPr>
          <w:spacing w:val="-3"/>
          <w:vertAlign w:val="baseline"/>
        </w:rPr>
        <w:t> </w:t>
      </w:r>
      <w:r>
        <w:rPr>
          <w:vertAlign w:val="baseline"/>
        </w:rPr>
        <w:t>of</w:t>
      </w:r>
      <w:r>
        <w:rPr>
          <w:spacing w:val="-3"/>
          <w:vertAlign w:val="baseline"/>
        </w:rPr>
        <w:t> </w:t>
      </w:r>
      <w:r>
        <w:rPr>
          <w:vertAlign w:val="baseline"/>
        </w:rPr>
        <w:t>disclosure</w:t>
      </w:r>
      <w:r>
        <w:rPr>
          <w:spacing w:val="-3"/>
          <w:vertAlign w:val="baseline"/>
        </w:rPr>
        <w:t> </w:t>
      </w:r>
      <w:r>
        <w:rPr>
          <w:vertAlign w:val="baseline"/>
        </w:rPr>
        <w:t>in</w:t>
      </w:r>
      <w:r>
        <w:rPr>
          <w:spacing w:val="-3"/>
          <w:vertAlign w:val="baseline"/>
        </w:rPr>
        <w:t> </w:t>
      </w:r>
      <w:r>
        <w:rPr>
          <w:vertAlign w:val="baseline"/>
        </w:rPr>
        <w:t>insurance</w:t>
      </w:r>
      <w:r>
        <w:rPr>
          <w:spacing w:val="-3"/>
          <w:vertAlign w:val="baseline"/>
        </w:rPr>
        <w:t> </w:t>
      </w:r>
      <w:r>
        <w:rPr>
          <w:vertAlign w:val="baseline"/>
        </w:rPr>
        <w:t>contracts)</w:t>
      </w:r>
      <w:r>
        <w:rPr>
          <w:spacing w:val="-4"/>
          <w:vertAlign w:val="baseline"/>
        </w:rPr>
        <w:t> </w:t>
      </w:r>
      <w:r>
        <w:rPr>
          <w:color w:val="005DA1"/>
          <w:u w:val="single" w:color="005DA1"/>
          <w:vertAlign w:val="superscript"/>
        </w:rPr>
        <w:t>124</w:t>
      </w:r>
      <w:r>
        <w:rPr>
          <w:color w:val="005DA1"/>
          <w:spacing w:val="-3"/>
          <w:vertAlign w:val="baseline"/>
        </w:rPr>
        <w:t> </w:t>
      </w:r>
      <w:r>
        <w:rPr>
          <w:vertAlign w:val="baseline"/>
        </w:rPr>
        <w:t>to</w:t>
      </w:r>
      <w:r>
        <w:rPr>
          <w:spacing w:val="-3"/>
          <w:vertAlign w:val="baseline"/>
        </w:rPr>
        <w:t> </w:t>
      </w:r>
      <w:r>
        <w:rPr>
          <w:vertAlign w:val="baseline"/>
        </w:rPr>
        <w:t>disclose</w:t>
      </w:r>
      <w:r>
        <w:rPr>
          <w:spacing w:val="-3"/>
          <w:vertAlign w:val="baseline"/>
        </w:rPr>
        <w:t> </w:t>
      </w:r>
      <w:r>
        <w:rPr>
          <w:vertAlign w:val="baseline"/>
        </w:rPr>
        <w:t>facts</w:t>
      </w:r>
      <w:r>
        <w:rPr>
          <w:spacing w:val="-3"/>
          <w:vertAlign w:val="baseline"/>
        </w:rPr>
        <w:t> </w:t>
      </w:r>
      <w:r>
        <w:rPr>
          <w:vertAlign w:val="baseline"/>
        </w:rPr>
        <w:t>coming</w:t>
      </w:r>
      <w:r>
        <w:rPr>
          <w:spacing w:val="-3"/>
          <w:vertAlign w:val="baseline"/>
        </w:rPr>
        <w:t> </w:t>
      </w:r>
      <w:r>
        <w:rPr>
          <w:vertAlign w:val="baseline"/>
        </w:rPr>
        <w:t>to</w:t>
      </w:r>
      <w:r>
        <w:rPr>
          <w:spacing w:val="-3"/>
          <w:vertAlign w:val="baseline"/>
        </w:rPr>
        <w:t> </w:t>
      </w:r>
      <w:r>
        <w:rPr>
          <w:vertAlign w:val="baseline"/>
        </w:rPr>
        <w:t>his</w:t>
      </w:r>
      <w:r>
        <w:rPr>
          <w:spacing w:val="-3"/>
          <w:vertAlign w:val="baseline"/>
        </w:rPr>
        <w:t> </w:t>
      </w:r>
      <w:r>
        <w:rPr>
          <w:vertAlign w:val="baseline"/>
        </w:rPr>
        <w:t>notice </w:t>
      </w:r>
      <w:bookmarkStart w:name="_bookmark133" w:id="135"/>
      <w:bookmarkEnd w:id="135"/>
      <w:r>
        <w:rPr>
          <w:vertAlign w:val="baseline"/>
        </w:rPr>
        <w:t>after</w:t>
      </w:r>
      <w:r>
        <w:rPr>
          <w:vertAlign w:val="baseline"/>
        </w:rPr>
        <w:t> the insurer had initialled a slip indicating that he was at risk, although there was no binding legal contract until a policy was issued later. </w:t>
      </w:r>
      <w:r>
        <w:rPr>
          <w:color w:val="005DA1"/>
          <w:u w:val="single" w:color="005DA1"/>
          <w:vertAlign w:val="superscript"/>
        </w:rPr>
        <w:t>125</w:t>
      </w:r>
    </w:p>
    <w:p>
      <w:pPr>
        <w:pStyle w:val="BodyText"/>
      </w:pPr>
    </w:p>
    <w:p>
      <w:pPr>
        <w:pStyle w:val="BodyText"/>
        <w:spacing w:before="35"/>
      </w:pPr>
    </w:p>
    <w:p>
      <w:pPr>
        <w:spacing w:before="0"/>
        <w:ind w:left="165" w:right="0" w:firstLine="0"/>
        <w:jc w:val="both"/>
        <w:rPr>
          <w:rFonts w:ascii="Arial"/>
          <w:b/>
          <w:sz w:val="18"/>
        </w:rPr>
      </w:pPr>
      <w:r>
        <w:rPr>
          <w:rFonts w:ascii="Arial"/>
          <w:b/>
          <w:sz w:val="18"/>
        </w:rPr>
        <w:t>Statement must be </w:t>
      </w:r>
      <w:r>
        <w:rPr>
          <w:rFonts w:ascii="Arial"/>
          <w:b/>
          <w:spacing w:val="-2"/>
          <w:sz w:val="18"/>
        </w:rPr>
        <w:t>false</w:t>
      </w:r>
    </w:p>
    <w:p>
      <w:pPr>
        <w:pStyle w:val="BodyText"/>
        <w:spacing w:before="41"/>
        <w:rPr>
          <w:rFonts w:ascii="Arial"/>
          <w:b/>
          <w:sz w:val="18"/>
        </w:rPr>
      </w:pPr>
    </w:p>
    <w:p>
      <w:pPr>
        <w:pStyle w:val="Heading2"/>
      </w:pPr>
      <w:r>
        <w:rPr/>
        <w:t>7-</w:t>
      </w:r>
      <w:r>
        <w:rPr>
          <w:spacing w:val="-5"/>
        </w:rPr>
        <w:t>023</w:t>
      </w:r>
    </w:p>
    <w:p>
      <w:pPr>
        <w:pStyle w:val="BodyText"/>
        <w:spacing w:line="235" w:lineRule="auto" w:before="203"/>
        <w:ind w:left="165" w:right="167"/>
        <w:jc w:val="both"/>
      </w:pPr>
      <w:bookmarkStart w:name="_bookmark134" w:id="136"/>
      <w:bookmarkEnd w:id="136"/>
      <w:r>
        <w:rPr/>
      </w:r>
      <w:r>
        <w:rPr/>
        <w:t>It is an obvious requirement of misrepresentation that the statement relied on be false. As to what amounts to falsity, in </w:t>
      </w:r>
      <w:r>
        <w:rPr>
          <w:rFonts w:ascii="Arial"/>
          <w:i/>
        </w:rPr>
        <w:t>Avon Insurance v Swire </w:t>
      </w:r>
      <w:r>
        <w:rPr>
          <w:color w:val="005DA1"/>
          <w:u w:val="single" w:color="005DA1"/>
          <w:vertAlign w:val="superscript"/>
        </w:rPr>
        <w:t>126</w:t>
      </w:r>
      <w:r>
        <w:rPr>
          <w:color w:val="005DA1"/>
          <w:vertAlign w:val="baseline"/>
        </w:rPr>
        <w:t> </w:t>
      </w:r>
      <w:r>
        <w:rPr>
          <w:vertAlign w:val="baseline"/>
        </w:rPr>
        <w:t>Rix J. adopted as representing the common law the test laid down in Marine Insurance Act 1906 s.20(4), so that a statement will be treated as true if it is </w:t>
      </w:r>
      <w:bookmarkStart w:name="_bookmark135" w:id="137"/>
      <w:bookmarkEnd w:id="137"/>
      <w:r>
        <w:rPr>
          <w:vertAlign w:val="baseline"/>
        </w:rPr>
        <w:t>substantially</w:t>
      </w:r>
      <w:r>
        <w:rPr>
          <w:vertAlign w:val="baseline"/>
        </w:rPr>
        <w:t> correct and the difference would not have induced a reasonable person to enter </w:t>
      </w:r>
      <w:r>
        <w:rPr>
          <w:vertAlign w:val="baseline"/>
        </w:rPr>
        <w:t>the </w:t>
      </w:r>
      <w:bookmarkStart w:name="_bookmark136" w:id="138"/>
      <w:bookmarkEnd w:id="138"/>
      <w:r>
        <w:rPr>
          <w:vertAlign w:val="baseline"/>
        </w:rPr>
        <w:t>contract.</w:t>
      </w:r>
      <w:r>
        <w:rPr>
          <w:spacing w:val="-3"/>
          <w:vertAlign w:val="baseline"/>
        </w:rPr>
        <w:t> </w:t>
      </w:r>
      <w:r>
        <w:rPr>
          <w:vertAlign w:val="baseline"/>
        </w:rPr>
        <w:t>The</w:t>
      </w:r>
      <w:r>
        <w:rPr>
          <w:spacing w:val="-3"/>
          <w:vertAlign w:val="baseline"/>
        </w:rPr>
        <w:t> </w:t>
      </w:r>
      <w:r>
        <w:rPr>
          <w:vertAlign w:val="baseline"/>
        </w:rPr>
        <w:t>last</w:t>
      </w:r>
      <w:r>
        <w:rPr>
          <w:spacing w:val="-3"/>
          <w:vertAlign w:val="baseline"/>
        </w:rPr>
        <w:t> </w:t>
      </w:r>
      <w:r>
        <w:rPr>
          <w:vertAlign w:val="baseline"/>
        </w:rPr>
        <w:t>phrase</w:t>
      </w:r>
      <w:r>
        <w:rPr>
          <w:spacing w:val="-3"/>
          <w:vertAlign w:val="baseline"/>
        </w:rPr>
        <w:t> </w:t>
      </w:r>
      <w:r>
        <w:rPr>
          <w:vertAlign w:val="baseline"/>
        </w:rPr>
        <w:t>reflects</w:t>
      </w:r>
      <w:r>
        <w:rPr>
          <w:spacing w:val="-3"/>
          <w:vertAlign w:val="baseline"/>
        </w:rPr>
        <w:t> </w:t>
      </w:r>
      <w:r>
        <w:rPr>
          <w:vertAlign w:val="baseline"/>
        </w:rPr>
        <w:t>the</w:t>
      </w:r>
      <w:r>
        <w:rPr>
          <w:spacing w:val="-3"/>
          <w:vertAlign w:val="baseline"/>
        </w:rPr>
        <w:t> </w:t>
      </w:r>
      <w:r>
        <w:rPr>
          <w:vertAlign w:val="baseline"/>
        </w:rPr>
        <w:t>requirement</w:t>
      </w:r>
      <w:r>
        <w:rPr>
          <w:spacing w:val="-3"/>
          <w:vertAlign w:val="baseline"/>
        </w:rPr>
        <w:t> </w:t>
      </w:r>
      <w:r>
        <w:rPr>
          <w:vertAlign w:val="baseline"/>
        </w:rPr>
        <w:t>of</w:t>
      </w:r>
      <w:r>
        <w:rPr>
          <w:spacing w:val="-3"/>
          <w:vertAlign w:val="baseline"/>
        </w:rPr>
        <w:t> </w:t>
      </w:r>
      <w:r>
        <w:rPr>
          <w:vertAlign w:val="baseline"/>
        </w:rPr>
        <w:t>materiality</w:t>
      </w:r>
      <w:r>
        <w:rPr>
          <w:spacing w:val="-3"/>
          <w:vertAlign w:val="baseline"/>
        </w:rPr>
        <w:t> </w:t>
      </w:r>
      <w:r>
        <w:rPr>
          <w:vertAlign w:val="baseline"/>
        </w:rPr>
        <w:t>discussed</w:t>
      </w:r>
      <w:r>
        <w:rPr>
          <w:spacing w:val="-3"/>
          <w:vertAlign w:val="baseline"/>
        </w:rPr>
        <w:t> </w:t>
      </w:r>
      <w:r>
        <w:rPr>
          <w:vertAlign w:val="baseline"/>
        </w:rPr>
        <w:t>below.</w:t>
      </w:r>
      <w:r>
        <w:rPr>
          <w:spacing w:val="-4"/>
          <w:vertAlign w:val="baseline"/>
        </w:rPr>
        <w:t> </w:t>
      </w:r>
      <w:r>
        <w:rPr>
          <w:color w:val="005DA1"/>
          <w:u w:val="single" w:color="005DA1"/>
          <w:vertAlign w:val="superscript"/>
        </w:rPr>
        <w:t>127</w:t>
      </w:r>
      <w:r>
        <w:rPr>
          <w:color w:val="005DA1"/>
          <w:spacing w:val="-3"/>
          <w:vertAlign w:val="baseline"/>
        </w:rPr>
        <w:t> </w:t>
      </w:r>
      <w:r>
        <w:rPr>
          <w:vertAlign w:val="baseline"/>
        </w:rPr>
        <w:t>This</w:t>
      </w:r>
      <w:r>
        <w:rPr>
          <w:spacing w:val="-3"/>
          <w:vertAlign w:val="baseline"/>
        </w:rPr>
        <w:t> </w:t>
      </w:r>
      <w:r>
        <w:rPr>
          <w:vertAlign w:val="baseline"/>
        </w:rPr>
        <w:t>test</w:t>
      </w:r>
      <w:r>
        <w:rPr>
          <w:spacing w:val="-3"/>
          <w:vertAlign w:val="baseline"/>
        </w:rPr>
        <w:t> </w:t>
      </w:r>
      <w:r>
        <w:rPr>
          <w:vertAlign w:val="baseline"/>
        </w:rPr>
        <w:t>has</w:t>
      </w:r>
      <w:r>
        <w:rPr>
          <w:spacing w:val="-3"/>
          <w:vertAlign w:val="baseline"/>
        </w:rPr>
        <w:t> </w:t>
      </w:r>
      <w:r>
        <w:rPr>
          <w:vertAlign w:val="baseline"/>
        </w:rPr>
        <w:t>also been adopted outside the context of insurance. </w:t>
      </w:r>
      <w:r>
        <w:rPr>
          <w:color w:val="005DA1"/>
          <w:u w:val="single" w:color="005DA1"/>
          <w:vertAlign w:val="superscript"/>
        </w:rPr>
        <w:t>128</w:t>
      </w:r>
    </w:p>
    <w:p>
      <w:pPr>
        <w:pStyle w:val="BodyText"/>
        <w:spacing w:after="0" w:line="235" w:lineRule="auto"/>
        <w:jc w:val="both"/>
        <w:sectPr>
          <w:pgSz w:w="11900" w:h="16840"/>
          <w:pgMar w:header="971" w:footer="0" w:top="1160" w:bottom="280" w:left="1275" w:right="1275"/>
        </w:sectPr>
      </w:pPr>
    </w:p>
    <w:p>
      <w:pPr>
        <w:pStyle w:val="BodyText"/>
      </w:pPr>
    </w:p>
    <w:p>
      <w:pPr>
        <w:pStyle w:val="BodyText"/>
        <w:spacing w:before="158" w:after="1"/>
      </w:pPr>
    </w:p>
    <w:p>
      <w:pPr>
        <w:pStyle w:val="BodyText"/>
        <w:spacing w:line="20" w:lineRule="exact"/>
        <w:ind w:left="165"/>
        <w:rPr>
          <w:sz w:val="2"/>
        </w:rPr>
      </w:pPr>
      <w:r>
        <w:rPr>
          <w:sz w:val="2"/>
        </w:rPr>
        <mc:AlternateContent>
          <mc:Choice Requires="wps">
            <w:drawing>
              <wp:inline distT="0" distB="0" distL="0" distR="0">
                <wp:extent cx="5724525" cy="12700"/>
                <wp:effectExtent l="9525" t="0" r="0" b="6350"/>
                <wp:docPr id="44" name="Group 44"/>
                <wp:cNvGraphicFramePr>
                  <a:graphicFrameLocks/>
                </wp:cNvGraphicFramePr>
                <a:graphic>
                  <a:graphicData uri="http://schemas.microsoft.com/office/word/2010/wordprocessingGroup">
                    <wpg:wgp>
                      <wpg:cNvPr id="44" name="Group 44"/>
                      <wpg:cNvGrpSpPr/>
                      <wpg:grpSpPr>
                        <a:xfrm>
                          <a:off x="0" y="0"/>
                          <a:ext cx="5724525" cy="12700"/>
                          <a:chExt cx="5724525" cy="12700"/>
                        </a:xfrm>
                      </wpg:grpSpPr>
                      <wps:wsp>
                        <wps:cNvPr id="45" name="Graphic 45"/>
                        <wps:cNvSpPr/>
                        <wps:spPr>
                          <a:xfrm>
                            <a:off x="0" y="635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0.75pt;height:1pt;mso-position-horizontal-relative:char;mso-position-vertical-relative:line" id="docshapegroup4" coordorigin="0,0" coordsize="9015,20">
                <v:line style="position:absolute" from="0,10" to="9014,10" stroked="true" strokeweight="1pt" strokecolor="#000000">
                  <v:stroke dashstyle="solid"/>
                </v:line>
              </v:group>
            </w:pict>
          </mc:Fallback>
        </mc:AlternateContent>
      </w:r>
      <w:r>
        <w:rPr>
          <w:sz w:val="2"/>
        </w:rPr>
      </w:r>
    </w:p>
    <w:p>
      <w:pPr>
        <w:pStyle w:val="BodyText"/>
        <w:spacing w:before="9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3873280">
                <wp:simplePos x="0" y="0"/>
                <wp:positionH relativeFrom="page">
                  <wp:posOffset>914400</wp:posOffset>
                </wp:positionH>
                <wp:positionV relativeFrom="paragraph">
                  <wp:posOffset>94576</wp:posOffset>
                </wp:positionV>
                <wp:extent cx="4953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43200" from="72pt,7.446977pt" to="75.892pt,7.446977pt" stroked="true" strokeweight=".5pt" strokecolor="#005da1">
                <v:stroke dashstyle="solid"/>
                <w10:wrap type="none"/>
              </v:line>
            </w:pict>
          </mc:Fallback>
        </mc:AlternateContent>
      </w:r>
      <w:hyperlink w:history="true" w:anchor="_bookmark1576">
        <w:r>
          <w:rPr>
            <w:color w:val="005DA1"/>
            <w:spacing w:val="-6"/>
            <w:position w:val="5"/>
            <w:sz w:val="14"/>
          </w:rPr>
          <w:t>1</w:t>
        </w:r>
      </w:hyperlink>
      <w:r>
        <w:rPr>
          <w:spacing w:val="-6"/>
          <w:position w:val="5"/>
          <w:sz w:val="14"/>
        </w:rPr>
        <w:t>.</w:t>
      </w:r>
      <w:r>
        <w:rPr>
          <w:position w:val="5"/>
          <w:sz w:val="14"/>
        </w:rPr>
        <w:tab/>
      </w:r>
      <w:r>
        <w:rPr>
          <w:sz w:val="20"/>
        </w:rPr>
        <w:t>See Allen, </w:t>
      </w:r>
      <w:r>
        <w:rPr>
          <w:rFonts w:ascii="Arial"/>
          <w:i/>
          <w:sz w:val="20"/>
        </w:rPr>
        <w:t>Misrepresentation </w:t>
      </w:r>
      <w:r>
        <w:rPr>
          <w:sz w:val="20"/>
        </w:rPr>
        <w:t>(1988); Cartwright, </w:t>
      </w:r>
      <w:r>
        <w:rPr>
          <w:rFonts w:ascii="Arial"/>
          <w:i/>
          <w:sz w:val="20"/>
        </w:rPr>
        <w:t>Unequal Bargaining </w:t>
      </w:r>
      <w:r>
        <w:rPr>
          <w:sz w:val="20"/>
        </w:rPr>
        <w:t>(1991), Ch.3; </w:t>
      </w:r>
      <w:r>
        <w:rPr>
          <w:sz w:val="20"/>
        </w:rPr>
        <w:t>Cartwright, Misrepresentation, Mistake and Non-disclosure, 4th edn (2016); Spencer Bower and Handley, </w:t>
      </w:r>
      <w:r>
        <w:rPr>
          <w:rFonts w:ascii="Arial"/>
          <w:i/>
          <w:sz w:val="20"/>
        </w:rPr>
        <w:t>Actionable Misrepresentation</w:t>
      </w:r>
      <w:r>
        <w:rPr>
          <w:sz w:val="20"/>
        </w:rPr>
        <w:t>, 5th edn (2014).</w:t>
      </w:r>
    </w:p>
    <w:p>
      <w:pPr>
        <w:pStyle w:val="BodyText"/>
        <w:spacing w:before="9"/>
      </w:pPr>
    </w:p>
    <w:p>
      <w:pPr>
        <w:pStyle w:val="BodyText"/>
        <w:tabs>
          <w:tab w:pos="705" w:val="left" w:leader="none"/>
        </w:tabs>
        <w:spacing w:line="235" w:lineRule="auto"/>
        <w:ind w:left="705" w:right="167" w:hanging="541"/>
      </w:pPr>
      <w:bookmarkStart w:name="_bookmark137" w:id="139"/>
      <w:bookmarkEnd w:id="139"/>
      <w:r>
        <w:rPr/>
      </w:r>
      <w:hyperlink w:history="true" w:anchor="_bookmark33">
        <w:r>
          <w:rPr>
            <w:color w:val="005DA1"/>
            <w:spacing w:val="-4"/>
            <w:position w:val="5"/>
            <w:sz w:val="14"/>
            <w:u w:val="single" w:color="005DA1"/>
          </w:rPr>
          <w:t>20</w:t>
        </w:r>
      </w:hyperlink>
      <w:r>
        <w:rPr>
          <w:spacing w:val="-4"/>
          <w:position w:val="5"/>
          <w:sz w:val="14"/>
        </w:rPr>
        <w:t>.</w:t>
      </w:r>
      <w:r>
        <w:rPr>
          <w:position w:val="5"/>
          <w:sz w:val="14"/>
        </w:rPr>
        <w:tab/>
      </w:r>
      <w:r>
        <w:rPr/>
        <w:t>Traditionally relief was only given for misrepresentations of fact, not of law. But see now </w:t>
      </w:r>
      <w:r>
        <w:rPr/>
        <w:t>below, </w:t>
      </w:r>
      <w:r>
        <w:rPr>
          <w:spacing w:val="-2"/>
        </w:rPr>
        <w:t>para.7-016.</w:t>
      </w:r>
    </w:p>
    <w:p>
      <w:pPr>
        <w:pStyle w:val="BodyText"/>
        <w:spacing w:before="5"/>
      </w:pPr>
    </w:p>
    <w:p>
      <w:pPr>
        <w:pStyle w:val="BodyText"/>
        <w:tabs>
          <w:tab w:pos="705" w:val="left" w:leader="none"/>
        </w:tabs>
        <w:ind w:left="165"/>
      </w:pPr>
      <w:bookmarkStart w:name="_bookmark138" w:id="140"/>
      <w:bookmarkEnd w:id="140"/>
      <w:r>
        <w:rPr/>
      </w:r>
      <w:hyperlink w:history="true" w:anchor="_bookmark34">
        <w:r>
          <w:rPr>
            <w:color w:val="005DA1"/>
            <w:spacing w:val="-5"/>
            <w:position w:val="5"/>
            <w:sz w:val="14"/>
            <w:u w:val="single" w:color="005DA1"/>
          </w:rPr>
          <w:t>21</w:t>
        </w:r>
      </w:hyperlink>
      <w:r>
        <w:rPr>
          <w:spacing w:val="-5"/>
          <w:position w:val="5"/>
          <w:sz w:val="14"/>
        </w:rPr>
        <w:t>.</w:t>
      </w:r>
      <w:r>
        <w:rPr>
          <w:position w:val="5"/>
          <w:sz w:val="14"/>
        </w:rPr>
        <w:tab/>
      </w:r>
      <w:r>
        <w:rPr/>
        <w:t>See</w:t>
      </w:r>
      <w:r>
        <w:rPr>
          <w:spacing w:val="-2"/>
        </w:rPr>
        <w:t> </w:t>
      </w:r>
      <w:r>
        <w:rPr/>
        <w:t>below, para.7-</w:t>
      </w:r>
      <w:r>
        <w:rPr>
          <w:spacing w:val="-4"/>
        </w:rPr>
        <w:t>009.</w:t>
      </w:r>
    </w:p>
    <w:p>
      <w:pPr>
        <w:pStyle w:val="BodyText"/>
        <w:spacing w:before="5"/>
      </w:pPr>
    </w:p>
    <w:p>
      <w:pPr>
        <w:pStyle w:val="BodyText"/>
        <w:tabs>
          <w:tab w:pos="705" w:val="left" w:leader="none"/>
        </w:tabs>
        <w:ind w:left="165"/>
      </w:pPr>
      <w:bookmarkStart w:name="_bookmark139" w:id="141"/>
      <w:bookmarkEnd w:id="141"/>
      <w:r>
        <w:rPr/>
      </w:r>
      <w:hyperlink w:history="true" w:anchor="_bookmark35">
        <w:r>
          <w:rPr>
            <w:color w:val="005DA1"/>
            <w:spacing w:val="-5"/>
            <w:position w:val="5"/>
            <w:sz w:val="14"/>
            <w:u w:val="single" w:color="005DA1"/>
          </w:rPr>
          <w:t>22</w:t>
        </w:r>
      </w:hyperlink>
      <w:r>
        <w:rPr>
          <w:spacing w:val="-5"/>
          <w:position w:val="5"/>
          <w:sz w:val="14"/>
        </w:rPr>
        <w:t>.</w:t>
      </w:r>
      <w:r>
        <w:rPr>
          <w:position w:val="5"/>
          <w:sz w:val="14"/>
        </w:rPr>
        <w:tab/>
      </w:r>
      <w:r>
        <w:rPr/>
        <w:t>See</w:t>
      </w:r>
      <w:r>
        <w:rPr>
          <w:spacing w:val="-2"/>
        </w:rPr>
        <w:t> </w:t>
      </w:r>
      <w:r>
        <w:rPr/>
        <w:t>below, para.7-</w:t>
      </w:r>
      <w:r>
        <w:rPr>
          <w:spacing w:val="-4"/>
        </w:rPr>
        <w:t>013.</w:t>
      </w:r>
    </w:p>
    <w:p>
      <w:pPr>
        <w:pStyle w:val="BodyText"/>
        <w:spacing w:before="5"/>
      </w:pPr>
    </w:p>
    <w:p>
      <w:pPr>
        <w:pStyle w:val="BodyText"/>
        <w:tabs>
          <w:tab w:pos="705" w:val="left" w:leader="none"/>
        </w:tabs>
        <w:ind w:left="165"/>
      </w:pPr>
      <w:bookmarkStart w:name="_bookmark140" w:id="142"/>
      <w:bookmarkEnd w:id="142"/>
      <w:r>
        <w:rPr/>
      </w:r>
      <w:hyperlink w:history="true" w:anchor="_bookmark36">
        <w:r>
          <w:rPr>
            <w:color w:val="005DA1"/>
            <w:spacing w:val="-5"/>
            <w:position w:val="5"/>
            <w:sz w:val="14"/>
            <w:u w:val="single" w:color="005DA1"/>
          </w:rPr>
          <w:t>23</w:t>
        </w:r>
      </w:hyperlink>
      <w:r>
        <w:rPr>
          <w:spacing w:val="-5"/>
          <w:position w:val="5"/>
          <w:sz w:val="14"/>
        </w:rPr>
        <w:t>.</w:t>
      </w:r>
      <w:r>
        <w:rPr>
          <w:position w:val="5"/>
          <w:sz w:val="14"/>
        </w:rPr>
        <w:tab/>
      </w:r>
      <w:r>
        <w:rPr/>
        <w:t>See</w:t>
      </w:r>
      <w:r>
        <w:rPr>
          <w:spacing w:val="-2"/>
        </w:rPr>
        <w:t> </w:t>
      </w:r>
      <w:r>
        <w:rPr/>
        <w:t>below, para.7-</w:t>
      </w:r>
      <w:r>
        <w:rPr>
          <w:spacing w:val="-4"/>
        </w:rPr>
        <w:t>010.</w:t>
      </w:r>
    </w:p>
    <w:p>
      <w:pPr>
        <w:pStyle w:val="BodyText"/>
        <w:spacing w:before="5"/>
      </w:pPr>
    </w:p>
    <w:p>
      <w:pPr>
        <w:pStyle w:val="BodyText"/>
        <w:tabs>
          <w:tab w:pos="705" w:val="left" w:leader="none"/>
        </w:tabs>
        <w:ind w:left="165"/>
      </w:pPr>
      <w:bookmarkStart w:name="_bookmark141" w:id="143"/>
      <w:bookmarkEnd w:id="143"/>
      <w:r>
        <w:rPr/>
      </w:r>
      <w:hyperlink w:history="true" w:anchor="_bookmark37">
        <w:r>
          <w:rPr>
            <w:color w:val="005DA1"/>
            <w:spacing w:val="-5"/>
            <w:position w:val="5"/>
            <w:sz w:val="14"/>
            <w:u w:val="single" w:color="005DA1"/>
          </w:rPr>
          <w:t>24</w:t>
        </w:r>
      </w:hyperlink>
      <w:r>
        <w:rPr>
          <w:spacing w:val="-5"/>
          <w:position w:val="5"/>
          <w:sz w:val="14"/>
        </w:rPr>
        <w:t>.</w:t>
      </w:r>
      <w:r>
        <w:rPr>
          <w:position w:val="5"/>
          <w:sz w:val="14"/>
        </w:rPr>
        <w:tab/>
      </w:r>
      <w:r>
        <w:rPr/>
        <w:t>On the question of intention, see below, para.7-</w:t>
      </w:r>
      <w:r>
        <w:rPr>
          <w:spacing w:val="-4"/>
        </w:rPr>
        <w:t>033.</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39904">
            <wp:simplePos x="0" y="0"/>
            <wp:positionH relativeFrom="page">
              <wp:posOffset>1257846</wp:posOffset>
            </wp:positionH>
            <wp:positionV relativeFrom="paragraph">
              <wp:posOffset>160466</wp:posOffset>
            </wp:positionV>
            <wp:extent cx="107988" cy="107988"/>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42" w:id="144"/>
      <w:bookmarkEnd w:id="144"/>
      <w:r>
        <w:rPr/>
      </w:r>
      <w:hyperlink w:history="true" w:anchor="_bookmark37">
        <w:r>
          <w:rPr>
            <w:color w:val="005DA1"/>
            <w:spacing w:val="-5"/>
            <w:sz w:val="14"/>
            <w:u w:val="single" w:color="005DA1"/>
          </w:rPr>
          <w:t>25</w:t>
        </w:r>
      </w:hyperlink>
      <w:r>
        <w:rPr>
          <w:spacing w:val="-5"/>
          <w:sz w:val="14"/>
        </w:rPr>
        <w:t>.</w:t>
      </w:r>
    </w:p>
    <w:p>
      <w:pPr>
        <w:spacing w:line="235" w:lineRule="auto" w:before="212"/>
        <w:ind w:left="165" w:right="167" w:firstLine="170"/>
        <w:jc w:val="both"/>
        <w:rPr>
          <w:sz w:val="20"/>
        </w:rPr>
      </w:pPr>
      <w:r>
        <w:rPr/>
        <w:br w:type="column"/>
      </w:r>
      <w:r>
        <w:rPr>
          <w:rFonts w:ascii="Arial" w:hAnsi="Arial"/>
          <w:i/>
          <w:sz w:val="20"/>
        </w:rPr>
        <w:t>Raiffeisen Zentralbank Osterreich AG v Royal Bank of Scotland Plc [2010] EWHC 1392 (Comm), [2011] 1 Lloyd’s Rep. 123 </w:t>
      </w:r>
      <w:r>
        <w:rPr>
          <w:sz w:val="20"/>
        </w:rPr>
        <w:t>at [86]; see also </w:t>
      </w:r>
      <w:r>
        <w:rPr>
          <w:rFonts w:ascii="Arial" w:hAnsi="Arial"/>
          <w:i/>
          <w:sz w:val="20"/>
        </w:rPr>
        <w:t>Cassa di Risparmio della Repubblica di</w:t>
      </w:r>
      <w:r>
        <w:rPr>
          <w:rFonts w:ascii="Arial" w:hAnsi="Arial"/>
          <w:i/>
          <w:spacing w:val="40"/>
          <w:sz w:val="20"/>
        </w:rPr>
        <w:t> </w:t>
      </w:r>
      <w:r>
        <w:rPr>
          <w:rFonts w:ascii="Arial" w:hAnsi="Arial"/>
          <w:i/>
          <w:sz w:val="20"/>
        </w:rPr>
        <w:t>San Marino SpA v Barclays Bank Ltd [2011] EWHC 484 (Comm) </w:t>
      </w:r>
      <w:r>
        <w:rPr>
          <w:sz w:val="20"/>
        </w:rPr>
        <w:t>(“A representation is </w:t>
      </w:r>
      <w:r>
        <w:rPr>
          <w:sz w:val="20"/>
        </w:rPr>
        <w:t>a statement of fact made by the representor to the representee on which the representee is intended and entitled to rely as a positive assertion that the fact is true …”: Hamblen J. at [215]; </w:t>
      </w:r>
      <w:r>
        <w:rPr>
          <w:rFonts w:ascii="Arial" w:hAnsi="Arial"/>
          <w:i/>
          <w:sz w:val="20"/>
        </w:rPr>
        <w:t>Standard</w:t>
      </w:r>
      <w:r>
        <w:rPr>
          <w:rFonts w:ascii="Arial" w:hAnsi="Arial"/>
          <w:i/>
          <w:spacing w:val="-2"/>
          <w:sz w:val="20"/>
        </w:rPr>
        <w:t> </w:t>
      </w:r>
      <w:r>
        <w:rPr>
          <w:rFonts w:ascii="Arial" w:hAnsi="Arial"/>
          <w:i/>
          <w:sz w:val="20"/>
        </w:rPr>
        <w:t>Chartered</w:t>
      </w:r>
      <w:r>
        <w:rPr>
          <w:rFonts w:ascii="Arial" w:hAnsi="Arial"/>
          <w:i/>
          <w:spacing w:val="-2"/>
          <w:sz w:val="20"/>
        </w:rPr>
        <w:t> </w:t>
      </w:r>
      <w:r>
        <w:rPr>
          <w:rFonts w:ascii="Arial" w:hAnsi="Arial"/>
          <w:i/>
          <w:sz w:val="20"/>
        </w:rPr>
        <w:t>Bank</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Ceylon</w:t>
      </w:r>
      <w:r>
        <w:rPr>
          <w:rFonts w:ascii="Arial" w:hAnsi="Arial"/>
          <w:i/>
          <w:spacing w:val="-2"/>
          <w:sz w:val="20"/>
        </w:rPr>
        <w:t> </w:t>
      </w:r>
      <w:r>
        <w:rPr>
          <w:rFonts w:ascii="Arial" w:hAnsi="Arial"/>
          <w:i/>
          <w:sz w:val="20"/>
        </w:rPr>
        <w:t>Petroleum</w:t>
      </w:r>
      <w:r>
        <w:rPr>
          <w:rFonts w:ascii="Arial" w:hAnsi="Arial"/>
          <w:i/>
          <w:spacing w:val="-2"/>
          <w:sz w:val="20"/>
        </w:rPr>
        <w:t> </w:t>
      </w:r>
      <w:r>
        <w:rPr>
          <w:rFonts w:ascii="Arial" w:hAnsi="Arial"/>
          <w:i/>
          <w:sz w:val="20"/>
        </w:rPr>
        <w:t>Corp</w:t>
      </w:r>
      <w:r>
        <w:rPr>
          <w:rFonts w:ascii="Arial" w:hAnsi="Arial"/>
          <w:i/>
          <w:spacing w:val="-2"/>
          <w:sz w:val="20"/>
        </w:rPr>
        <w:t> </w:t>
      </w:r>
      <w:r>
        <w:rPr>
          <w:rFonts w:ascii="Arial" w:hAnsi="Arial"/>
          <w:i/>
          <w:sz w:val="20"/>
        </w:rPr>
        <w:t>[2011]</w:t>
      </w:r>
      <w:r>
        <w:rPr>
          <w:rFonts w:ascii="Arial" w:hAnsi="Arial"/>
          <w:i/>
          <w:spacing w:val="-2"/>
          <w:sz w:val="20"/>
        </w:rPr>
        <w:t> </w:t>
      </w:r>
      <w:r>
        <w:rPr>
          <w:rFonts w:ascii="Arial" w:hAnsi="Arial"/>
          <w:i/>
          <w:sz w:val="20"/>
        </w:rPr>
        <w:t>EWHC</w:t>
      </w:r>
      <w:r>
        <w:rPr>
          <w:rFonts w:ascii="Arial" w:hAnsi="Arial"/>
          <w:i/>
          <w:spacing w:val="-2"/>
          <w:sz w:val="20"/>
        </w:rPr>
        <w:t> </w:t>
      </w:r>
      <w:r>
        <w:rPr>
          <w:rFonts w:ascii="Arial" w:hAnsi="Arial"/>
          <w:i/>
          <w:sz w:val="20"/>
        </w:rPr>
        <w:t>1785</w:t>
      </w:r>
      <w:r>
        <w:rPr>
          <w:rFonts w:ascii="Arial" w:hAnsi="Arial"/>
          <w:i/>
          <w:spacing w:val="-2"/>
          <w:sz w:val="20"/>
        </w:rPr>
        <w:t> </w:t>
      </w:r>
      <w:r>
        <w:rPr>
          <w:rFonts w:ascii="Arial" w:hAnsi="Arial"/>
          <w:i/>
          <w:sz w:val="20"/>
        </w:rPr>
        <w:t>(Comm)</w:t>
      </w:r>
      <w:r>
        <w:rPr>
          <w:rFonts w:ascii="Arial" w:hAnsi="Arial"/>
          <w:i/>
          <w:spacing w:val="-3"/>
          <w:sz w:val="20"/>
        </w:rPr>
        <w:t> </w:t>
      </w:r>
      <w:r>
        <w:rPr>
          <w:sz w:val="20"/>
        </w:rPr>
        <w:t>at</w:t>
      </w:r>
      <w:r>
        <w:rPr>
          <w:spacing w:val="-2"/>
          <w:sz w:val="20"/>
        </w:rPr>
        <w:t> </w:t>
      </w:r>
      <w:r>
        <w:rPr>
          <w:sz w:val="20"/>
        </w:rPr>
        <w:t>[552]–[556]) It has been said that whether the representee was entitled to rely on the representation is partly a question of reasonableness: </w:t>
      </w:r>
      <w:r>
        <w:rPr>
          <w:rFonts w:ascii="Arial" w:hAnsi="Arial"/>
          <w:i/>
          <w:sz w:val="20"/>
        </w:rPr>
        <w:t>Monde Petroleum SA v WesternZagros Ltd [2016] EWHC 1472 (Comm) </w:t>
      </w:r>
      <w:r>
        <w:rPr>
          <w:sz w:val="20"/>
        </w:rPr>
        <w:t>at [219]. A party is not entitled to rely on a statement that the party was reasonably expected to have checked by its lawyers: </w:t>
      </w:r>
      <w:r>
        <w:rPr>
          <w:rFonts w:ascii="Arial" w:hAnsi="Arial"/>
          <w:i/>
          <w:sz w:val="20"/>
        </w:rPr>
        <w:t>Co-operative Bank Plc v Hayes Freehold Ltd [2017] EWHC 1820 (Ch) </w:t>
      </w:r>
      <w:r>
        <w:rPr>
          <w:sz w:val="20"/>
        </w:rPr>
        <w:t>at [119]–[122].</w:t>
      </w:r>
    </w:p>
    <w:p>
      <w:pPr>
        <w:spacing w:after="0" w:line="235" w:lineRule="auto"/>
        <w:jc w:val="both"/>
        <w:rPr>
          <w:sz w:val="20"/>
        </w:rPr>
        <w:sectPr>
          <w:type w:val="continuous"/>
          <w:pgSz w:w="11900" w:h="16840"/>
          <w:pgMar w:header="971" w:footer="0" w:top="1160" w:bottom="280" w:left="1275" w:right="1275"/>
          <w:cols w:num="2" w:equalWidth="0">
            <w:col w:w="400" w:space="141"/>
            <w:col w:w="8809"/>
          </w:cols>
        </w:sectPr>
      </w:pPr>
    </w:p>
    <w:p>
      <w:pPr>
        <w:pStyle w:val="BodyText"/>
        <w:spacing w:before="6"/>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0416">
            <wp:simplePos x="0" y="0"/>
            <wp:positionH relativeFrom="page">
              <wp:posOffset>1257846</wp:posOffset>
            </wp:positionH>
            <wp:positionV relativeFrom="paragraph">
              <wp:posOffset>160353</wp:posOffset>
            </wp:positionV>
            <wp:extent cx="107988" cy="107988"/>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43" w:id="145"/>
      <w:bookmarkEnd w:id="145"/>
      <w:r>
        <w:rPr/>
      </w:r>
      <w:hyperlink w:history="true" w:anchor="_bookmark38">
        <w:r>
          <w:rPr>
            <w:color w:val="005DA1"/>
            <w:spacing w:val="-5"/>
            <w:sz w:val="14"/>
            <w:u w:val="single" w:color="005DA1"/>
          </w:rPr>
          <w:t>26</w:t>
        </w:r>
      </w:hyperlink>
      <w:r>
        <w:rPr>
          <w:spacing w:val="-5"/>
          <w:sz w:val="14"/>
        </w:rPr>
        <w:t>.</w:t>
      </w:r>
    </w:p>
    <w:p>
      <w:pPr>
        <w:spacing w:line="235" w:lineRule="auto" w:before="212"/>
        <w:ind w:left="165" w:right="167" w:firstLine="170"/>
        <w:jc w:val="both"/>
        <w:rPr>
          <w:sz w:val="20"/>
        </w:rPr>
      </w:pPr>
      <w:r>
        <w:rPr/>
        <w:br w:type="column"/>
      </w:r>
      <w:r>
        <w:rPr>
          <w:rFonts w:ascii="Arial" w:hAnsi="Arial"/>
          <w:i/>
          <w:sz w:val="20"/>
        </w:rPr>
        <w:t>IFE Fund SA v Goldman Sachs International [2006] EWHC 2887 (Comm), [2007] 1 </w:t>
      </w:r>
      <w:r>
        <w:rPr>
          <w:rFonts w:ascii="Arial" w:hAnsi="Arial"/>
          <w:i/>
          <w:sz w:val="20"/>
        </w:rPr>
        <w:t>Lloyd’s Rep. 264</w:t>
      </w:r>
      <w:r>
        <w:rPr>
          <w:sz w:val="20"/>
        </w:rPr>
        <w:t>, per Toulson J at [50] (affirmed without comment on this point </w:t>
      </w:r>
      <w:r>
        <w:rPr>
          <w:rFonts w:ascii="Arial" w:hAnsi="Arial"/>
          <w:i/>
          <w:sz w:val="20"/>
        </w:rPr>
        <w:t>[2007] EWCA Civ 811, [2007] 2 Lloyd’s Rep. 449</w:t>
      </w:r>
      <w:r>
        <w:rPr>
          <w:sz w:val="20"/>
        </w:rPr>
        <w:t>). Toulson J.’s statement was adopted by the Court of Appeal in </w:t>
      </w:r>
      <w:r>
        <w:rPr>
          <w:rFonts w:ascii="Arial" w:hAnsi="Arial"/>
          <w:i/>
          <w:sz w:val="20"/>
        </w:rPr>
        <w:t>Webster</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Liddington</w:t>
      </w:r>
      <w:r>
        <w:rPr>
          <w:rFonts w:ascii="Arial" w:hAnsi="Arial"/>
          <w:i/>
          <w:spacing w:val="-1"/>
          <w:sz w:val="20"/>
        </w:rPr>
        <w:t> </w:t>
      </w:r>
      <w:r>
        <w:rPr>
          <w:rFonts w:ascii="Arial" w:hAnsi="Arial"/>
          <w:i/>
          <w:sz w:val="20"/>
        </w:rPr>
        <w:t>[2014]</w:t>
      </w:r>
      <w:r>
        <w:rPr>
          <w:rFonts w:ascii="Arial" w:hAnsi="Arial"/>
          <w:i/>
          <w:spacing w:val="-1"/>
          <w:sz w:val="20"/>
        </w:rPr>
        <w:t> </w:t>
      </w:r>
      <w:r>
        <w:rPr>
          <w:rFonts w:ascii="Arial" w:hAnsi="Arial"/>
          <w:i/>
          <w:sz w:val="20"/>
        </w:rPr>
        <w:t>EWCA</w:t>
      </w:r>
      <w:r>
        <w:rPr>
          <w:rFonts w:ascii="Arial" w:hAnsi="Arial"/>
          <w:i/>
          <w:spacing w:val="-1"/>
          <w:sz w:val="20"/>
        </w:rPr>
        <w:t> </w:t>
      </w:r>
      <w:r>
        <w:rPr>
          <w:rFonts w:ascii="Arial" w:hAnsi="Arial"/>
          <w:i/>
          <w:sz w:val="20"/>
        </w:rPr>
        <w:t>Civ</w:t>
      </w:r>
      <w:r>
        <w:rPr>
          <w:rFonts w:ascii="Arial" w:hAnsi="Arial"/>
          <w:i/>
          <w:spacing w:val="-1"/>
          <w:sz w:val="20"/>
        </w:rPr>
        <w:t> </w:t>
      </w:r>
      <w:r>
        <w:rPr>
          <w:rFonts w:ascii="Arial" w:hAnsi="Arial"/>
          <w:i/>
          <w:sz w:val="20"/>
        </w:rPr>
        <w:t>560</w:t>
      </w:r>
      <w:r>
        <w:rPr>
          <w:rFonts w:ascii="Arial" w:hAnsi="Arial"/>
          <w:i/>
          <w:spacing w:val="-1"/>
          <w:sz w:val="20"/>
        </w:rPr>
        <w:t> </w:t>
      </w:r>
      <w:r>
        <w:rPr>
          <w:sz w:val="20"/>
        </w:rPr>
        <w:t>at</w:t>
      </w:r>
      <w:r>
        <w:rPr>
          <w:spacing w:val="-1"/>
          <w:sz w:val="20"/>
        </w:rPr>
        <w:t> </w:t>
      </w:r>
      <w:r>
        <w:rPr>
          <w:sz w:val="20"/>
        </w:rPr>
        <w:t>[40].</w:t>
      </w:r>
      <w:r>
        <w:rPr>
          <w:spacing w:val="-1"/>
          <w:sz w:val="20"/>
        </w:rPr>
        <w:t> </w:t>
      </w:r>
      <w:r>
        <w:rPr>
          <w:sz w:val="20"/>
        </w:rPr>
        <w:t>See</w:t>
      </w:r>
      <w:r>
        <w:rPr>
          <w:spacing w:val="-1"/>
          <w:sz w:val="20"/>
        </w:rPr>
        <w:t> </w:t>
      </w:r>
      <w:r>
        <w:rPr>
          <w:sz w:val="20"/>
        </w:rPr>
        <w:t>also</w:t>
      </w:r>
      <w:r>
        <w:rPr>
          <w:spacing w:val="-1"/>
          <w:sz w:val="20"/>
        </w:rPr>
        <w:t> </w:t>
      </w:r>
      <w:r>
        <w:rPr>
          <w:sz w:val="20"/>
        </w:rPr>
        <w:t>the</w:t>
      </w:r>
      <w:r>
        <w:rPr>
          <w:spacing w:val="-1"/>
          <w:sz w:val="20"/>
        </w:rPr>
        <w:t> </w:t>
      </w:r>
      <w:r>
        <w:rPr>
          <w:sz w:val="20"/>
        </w:rPr>
        <w:t>dictum</w:t>
      </w:r>
      <w:r>
        <w:rPr>
          <w:spacing w:val="-1"/>
          <w:sz w:val="20"/>
        </w:rPr>
        <w:t> </w:t>
      </w:r>
      <w:r>
        <w:rPr>
          <w:sz w:val="20"/>
        </w:rPr>
        <w:t>of</w:t>
      </w:r>
      <w:r>
        <w:rPr>
          <w:spacing w:val="-1"/>
          <w:sz w:val="20"/>
        </w:rPr>
        <w:t> </w:t>
      </w:r>
      <w:r>
        <w:rPr>
          <w:sz w:val="20"/>
        </w:rPr>
        <w:t>Mance</w:t>
      </w:r>
      <w:r>
        <w:rPr>
          <w:spacing w:val="-1"/>
          <w:sz w:val="20"/>
        </w:rPr>
        <w:t> </w:t>
      </w:r>
      <w:r>
        <w:rPr>
          <w:sz w:val="20"/>
        </w:rPr>
        <w:t>J.</w:t>
      </w:r>
      <w:r>
        <w:rPr>
          <w:spacing w:val="-1"/>
          <w:sz w:val="20"/>
        </w:rPr>
        <w:t> </w:t>
      </w:r>
      <w:r>
        <w:rPr>
          <w:sz w:val="20"/>
        </w:rPr>
        <w:t>in</w:t>
      </w:r>
      <w:r>
        <w:rPr>
          <w:spacing w:val="-1"/>
          <w:sz w:val="20"/>
        </w:rPr>
        <w:t> </w:t>
      </w:r>
      <w:r>
        <w:rPr>
          <w:rFonts w:ascii="Arial" w:hAnsi="Arial"/>
          <w:i/>
          <w:sz w:val="20"/>
        </w:rPr>
        <w:t>Bankers Trust International v PT Dharmala Sakti Sejahtera [1996] C.L.C. 518 </w:t>
      </w:r>
      <w:r>
        <w:rPr>
          <w:sz w:val="20"/>
        </w:rPr>
        <w:t>at 531, referring to “the potential relevance of the parties’ relationship and the surrounding circumstances to a decision whether any and if so what representation was made in the particular case. The meaning and effect of words never falls to be viewed in a vacuum. It is shaped by the context of their communication, including the parties’ respective positions, knowledge and experience. A description or commendation which may obviously be irrelevant or may even serve as a</w:t>
      </w:r>
      <w:r>
        <w:rPr>
          <w:spacing w:val="40"/>
          <w:sz w:val="20"/>
        </w:rPr>
        <w:t> </w:t>
      </w:r>
      <w:r>
        <w:rPr>
          <w:sz w:val="20"/>
        </w:rPr>
        <w:t>warning</w:t>
      </w:r>
      <w:r>
        <w:rPr>
          <w:spacing w:val="-1"/>
          <w:sz w:val="20"/>
        </w:rPr>
        <w:t> </w:t>
      </w:r>
      <w:r>
        <w:rPr>
          <w:sz w:val="20"/>
        </w:rPr>
        <w:t>to</w:t>
      </w:r>
      <w:r>
        <w:rPr>
          <w:spacing w:val="-1"/>
          <w:sz w:val="20"/>
        </w:rPr>
        <w:t> </w:t>
      </w:r>
      <w:r>
        <w:rPr>
          <w:sz w:val="20"/>
        </w:rPr>
        <w:t>one</w:t>
      </w:r>
      <w:r>
        <w:rPr>
          <w:spacing w:val="-1"/>
          <w:sz w:val="20"/>
        </w:rPr>
        <w:t> </w:t>
      </w:r>
      <w:r>
        <w:rPr>
          <w:sz w:val="20"/>
        </w:rPr>
        <w:t>recipient,</w:t>
      </w:r>
      <w:r>
        <w:rPr>
          <w:spacing w:val="-1"/>
          <w:sz w:val="20"/>
        </w:rPr>
        <w:t> </w:t>
      </w:r>
      <w:r>
        <w:rPr>
          <w:sz w:val="20"/>
        </w:rPr>
        <w:t>because</w:t>
      </w:r>
      <w:r>
        <w:rPr>
          <w:spacing w:val="-1"/>
          <w:sz w:val="20"/>
        </w:rPr>
        <w:t> </w:t>
      </w:r>
      <w:r>
        <w:rPr>
          <w:sz w:val="20"/>
        </w:rPr>
        <w:t>of</w:t>
      </w:r>
      <w:r>
        <w:rPr>
          <w:spacing w:val="-1"/>
          <w:sz w:val="20"/>
        </w:rPr>
        <w:t> </w:t>
      </w:r>
      <w:r>
        <w:rPr>
          <w:sz w:val="20"/>
        </w:rPr>
        <w:t>its</w:t>
      </w:r>
      <w:r>
        <w:rPr>
          <w:spacing w:val="-1"/>
          <w:sz w:val="20"/>
        </w:rPr>
        <w:t> </w:t>
      </w:r>
      <w:r>
        <w:rPr>
          <w:sz w:val="20"/>
        </w:rPr>
        <w:t>generality,</w:t>
      </w:r>
      <w:r>
        <w:rPr>
          <w:spacing w:val="-1"/>
          <w:sz w:val="20"/>
        </w:rPr>
        <w:t> </w:t>
      </w:r>
      <w:r>
        <w:rPr>
          <w:sz w:val="20"/>
        </w:rPr>
        <w:t>superficiality</w:t>
      </w:r>
      <w:r>
        <w:rPr>
          <w:spacing w:val="-1"/>
          <w:sz w:val="20"/>
        </w:rPr>
        <w:t> </w:t>
      </w:r>
      <w:r>
        <w:rPr>
          <w:sz w:val="20"/>
        </w:rPr>
        <w:t>or</w:t>
      </w:r>
      <w:r>
        <w:rPr>
          <w:spacing w:val="-1"/>
          <w:sz w:val="20"/>
        </w:rPr>
        <w:t> </w:t>
      </w:r>
      <w:r>
        <w:rPr>
          <w:sz w:val="20"/>
        </w:rPr>
        <w:t>laudatory</w:t>
      </w:r>
      <w:r>
        <w:rPr>
          <w:spacing w:val="-1"/>
          <w:sz w:val="20"/>
        </w:rPr>
        <w:t> </w:t>
      </w:r>
      <w:r>
        <w:rPr>
          <w:sz w:val="20"/>
        </w:rPr>
        <w:t>nature,</w:t>
      </w:r>
      <w:r>
        <w:rPr>
          <w:spacing w:val="-1"/>
          <w:sz w:val="20"/>
        </w:rPr>
        <w:t> </w:t>
      </w:r>
      <w:r>
        <w:rPr>
          <w:sz w:val="20"/>
        </w:rPr>
        <w:t>or</w:t>
      </w:r>
      <w:r>
        <w:rPr>
          <w:spacing w:val="-1"/>
          <w:sz w:val="20"/>
        </w:rPr>
        <w:t> </w:t>
      </w:r>
      <w:r>
        <w:rPr>
          <w:sz w:val="20"/>
        </w:rPr>
        <w:t>because of the recipient’s own knowledge and experience, may constitute a material representation if made</w:t>
      </w:r>
      <w:r>
        <w:rPr>
          <w:spacing w:val="-1"/>
          <w:sz w:val="20"/>
        </w:rPr>
        <w:t> </w:t>
      </w:r>
      <w:r>
        <w:rPr>
          <w:sz w:val="20"/>
        </w:rPr>
        <w:t>to</w:t>
      </w:r>
      <w:r>
        <w:rPr>
          <w:spacing w:val="-1"/>
          <w:sz w:val="20"/>
        </w:rPr>
        <w:t> </w:t>
      </w:r>
      <w:r>
        <w:rPr>
          <w:sz w:val="20"/>
        </w:rPr>
        <w:t>another</w:t>
      </w:r>
      <w:r>
        <w:rPr>
          <w:spacing w:val="-1"/>
          <w:sz w:val="20"/>
        </w:rPr>
        <w:t> </w:t>
      </w:r>
      <w:r>
        <w:rPr>
          <w:sz w:val="20"/>
        </w:rPr>
        <w:t>less</w:t>
      </w:r>
      <w:r>
        <w:rPr>
          <w:spacing w:val="-1"/>
          <w:sz w:val="20"/>
        </w:rPr>
        <w:t> </w:t>
      </w:r>
      <w:r>
        <w:rPr>
          <w:sz w:val="20"/>
        </w:rPr>
        <w:t>informed</w:t>
      </w:r>
      <w:r>
        <w:rPr>
          <w:spacing w:val="-1"/>
          <w:sz w:val="20"/>
        </w:rPr>
        <w:t> </w:t>
      </w:r>
      <w:r>
        <w:rPr>
          <w:sz w:val="20"/>
        </w:rPr>
        <w:t>or</w:t>
      </w:r>
      <w:r>
        <w:rPr>
          <w:spacing w:val="-1"/>
          <w:sz w:val="20"/>
        </w:rPr>
        <w:t> </w:t>
      </w:r>
      <w:r>
        <w:rPr>
          <w:sz w:val="20"/>
        </w:rPr>
        <w:t>sophisticated</w:t>
      </w:r>
      <w:r>
        <w:rPr>
          <w:spacing w:val="-1"/>
          <w:sz w:val="20"/>
        </w:rPr>
        <w:t> </w:t>
      </w:r>
      <w:r>
        <w:rPr>
          <w:sz w:val="20"/>
        </w:rPr>
        <w:t>receiver”.</w:t>
      </w:r>
      <w:r>
        <w:rPr>
          <w:spacing w:val="-1"/>
          <w:sz w:val="20"/>
        </w:rPr>
        <w:t> </w:t>
      </w:r>
      <w:r>
        <w:rPr>
          <w:sz w:val="20"/>
        </w:rPr>
        <w:t>See</w:t>
      </w:r>
      <w:r>
        <w:rPr>
          <w:spacing w:val="-1"/>
          <w:sz w:val="20"/>
        </w:rPr>
        <w:t> </w:t>
      </w:r>
      <w:r>
        <w:rPr>
          <w:sz w:val="20"/>
        </w:rPr>
        <w:t>also</w:t>
      </w:r>
      <w:r>
        <w:rPr>
          <w:spacing w:val="-1"/>
          <w:sz w:val="20"/>
        </w:rPr>
        <w:t> </w:t>
      </w:r>
      <w:r>
        <w:rPr>
          <w:sz w:val="20"/>
        </w:rPr>
        <w:t>(in</w:t>
      </w:r>
      <w:r>
        <w:rPr>
          <w:spacing w:val="-1"/>
          <w:sz w:val="20"/>
        </w:rPr>
        <w:t> </w:t>
      </w:r>
      <w:r>
        <w:rPr>
          <w:sz w:val="20"/>
        </w:rPr>
        <w:t>the</w:t>
      </w:r>
      <w:r>
        <w:rPr>
          <w:spacing w:val="-1"/>
          <w:sz w:val="20"/>
        </w:rPr>
        <w:t> </w:t>
      </w:r>
      <w:r>
        <w:rPr>
          <w:sz w:val="20"/>
        </w:rPr>
        <w:t>context</w:t>
      </w:r>
      <w:r>
        <w:rPr>
          <w:spacing w:val="-1"/>
          <w:sz w:val="20"/>
        </w:rPr>
        <w:t> </w:t>
      </w:r>
      <w:r>
        <w:rPr>
          <w:sz w:val="20"/>
        </w:rPr>
        <w:t>of</w:t>
      </w:r>
      <w:r>
        <w:rPr>
          <w:spacing w:val="-1"/>
          <w:sz w:val="20"/>
        </w:rPr>
        <w:t> </w:t>
      </w:r>
      <w:r>
        <w:rPr>
          <w:sz w:val="20"/>
        </w:rPr>
        <w:t>materiality: below, para.7-041) </w:t>
      </w:r>
      <w:r>
        <w:rPr>
          <w:rFonts w:ascii="Arial" w:hAnsi="Arial"/>
          <w:i/>
          <w:sz w:val="20"/>
        </w:rPr>
        <w:t>MCI WorldCom International Inc v Primus Telecommunications Inc [2004] EWCA Civ 957 </w:t>
      </w:r>
      <w:r>
        <w:rPr>
          <w:sz w:val="20"/>
        </w:rPr>
        <w:t>(“judged objectively according to the impact that whatever is said may be expected to have on a reasonable representee in the position and with the known characteristics of the actual representee”: per Mance L.J., at [30]); </w:t>
      </w:r>
      <w:r>
        <w:rPr>
          <w:rFonts w:ascii="Arial" w:hAnsi="Arial"/>
          <w:i/>
          <w:sz w:val="20"/>
        </w:rPr>
        <w:t>Raiffeisen Zentralbank Osterreich AG v Royal Bank of Scotland Plc [2010] EWHC 1392 (Comm) </w:t>
      </w:r>
      <w:r>
        <w:rPr>
          <w:sz w:val="20"/>
        </w:rPr>
        <w:t>at [90]; </w:t>
      </w:r>
      <w:r>
        <w:rPr>
          <w:rFonts w:ascii="Arial" w:hAnsi="Arial"/>
          <w:i/>
          <w:sz w:val="20"/>
        </w:rPr>
        <w:t>Mabanga v Ophir Energy Plc [2012] EWHC 1589 (QB) </w:t>
      </w:r>
      <w:r>
        <w:rPr>
          <w:sz w:val="20"/>
        </w:rPr>
        <w:t>at [26]–[27]. As Christopher Clarke J. pointed out in </w:t>
      </w:r>
      <w:r>
        <w:rPr>
          <w:rFonts w:ascii="Arial" w:hAnsi="Arial"/>
          <w:i/>
          <w:sz w:val="20"/>
        </w:rPr>
        <w:t>Raiffeisen Zentralbank Osterreich AG v Royal Bank of Scotland Plc [2010] EWHC 1392</w:t>
      </w:r>
      <w:r>
        <w:rPr>
          <w:rFonts w:ascii="Arial" w:hAnsi="Arial"/>
          <w:i/>
          <w:spacing w:val="40"/>
          <w:sz w:val="20"/>
        </w:rPr>
        <w:t> </w:t>
      </w:r>
      <w:r>
        <w:rPr>
          <w:rFonts w:ascii="Arial" w:hAnsi="Arial"/>
          <w:i/>
          <w:sz w:val="20"/>
        </w:rPr>
        <w:t>(Comm) </w:t>
      </w:r>
      <w:r>
        <w:rPr>
          <w:sz w:val="20"/>
        </w:rPr>
        <w:t>at [87], the claimant must show that he understood the statement in the sense (so far as material) which the court ascribes to it and that, having that understanding, he relied on it. See</w:t>
      </w:r>
      <w:r>
        <w:rPr>
          <w:spacing w:val="40"/>
          <w:sz w:val="20"/>
        </w:rPr>
        <w:t> </w:t>
      </w:r>
      <w:r>
        <w:rPr>
          <w:sz w:val="20"/>
        </w:rPr>
        <w:t>further</w:t>
      </w:r>
      <w:r>
        <w:rPr>
          <w:spacing w:val="40"/>
          <w:sz w:val="20"/>
        </w:rPr>
        <w:t> </w:t>
      </w:r>
      <w:r>
        <w:rPr>
          <w:sz w:val="20"/>
        </w:rPr>
        <w:t>Cartwright,</w:t>
      </w:r>
      <w:r>
        <w:rPr>
          <w:spacing w:val="40"/>
          <w:sz w:val="20"/>
        </w:rPr>
        <w:t> </w:t>
      </w:r>
      <w:r>
        <w:rPr>
          <w:rFonts w:ascii="Arial" w:hAnsi="Arial"/>
          <w:i/>
          <w:sz w:val="20"/>
        </w:rPr>
        <w:t>Misrepresentation,</w:t>
      </w:r>
      <w:r>
        <w:rPr>
          <w:rFonts w:ascii="Arial" w:hAnsi="Arial"/>
          <w:i/>
          <w:spacing w:val="40"/>
          <w:sz w:val="20"/>
        </w:rPr>
        <w:t> </w:t>
      </w:r>
      <w:r>
        <w:rPr>
          <w:rFonts w:ascii="Arial" w:hAnsi="Arial"/>
          <w:i/>
          <w:sz w:val="20"/>
        </w:rPr>
        <w:t>Mistake</w:t>
      </w:r>
      <w:r>
        <w:rPr>
          <w:rFonts w:ascii="Arial" w:hAnsi="Arial"/>
          <w:i/>
          <w:spacing w:val="40"/>
          <w:sz w:val="20"/>
        </w:rPr>
        <w:t> </w:t>
      </w:r>
      <w:r>
        <w:rPr>
          <w:rFonts w:ascii="Arial" w:hAnsi="Arial"/>
          <w:i/>
          <w:sz w:val="20"/>
        </w:rPr>
        <w:t>and</w:t>
      </w:r>
      <w:r>
        <w:rPr>
          <w:rFonts w:ascii="Arial" w:hAnsi="Arial"/>
          <w:i/>
          <w:spacing w:val="40"/>
          <w:sz w:val="20"/>
        </w:rPr>
        <w:t> </w:t>
      </w:r>
      <w:r>
        <w:rPr>
          <w:rFonts w:ascii="Arial" w:hAnsi="Arial"/>
          <w:i/>
          <w:sz w:val="20"/>
        </w:rPr>
        <w:t>Non-disclosure</w:t>
      </w:r>
      <w:r>
        <w:rPr>
          <w:sz w:val="20"/>
        </w:rPr>
        <w:t>,</w:t>
      </w:r>
      <w:r>
        <w:rPr>
          <w:spacing w:val="40"/>
          <w:sz w:val="20"/>
        </w:rPr>
        <w:t> </w:t>
      </w:r>
      <w:r>
        <w:rPr>
          <w:sz w:val="20"/>
        </w:rPr>
        <w:t>4th</w:t>
      </w:r>
      <w:r>
        <w:rPr>
          <w:spacing w:val="40"/>
          <w:sz w:val="20"/>
        </w:rPr>
        <w:t> </w:t>
      </w:r>
      <w:r>
        <w:rPr>
          <w:sz w:val="20"/>
        </w:rPr>
        <w:t>edn</w:t>
      </w:r>
      <w:r>
        <w:rPr>
          <w:spacing w:val="40"/>
          <w:sz w:val="20"/>
        </w:rPr>
        <w:t> </w:t>
      </w:r>
      <w:r>
        <w:rPr>
          <w:sz w:val="20"/>
        </w:rPr>
        <w:t>(2016), </w:t>
      </w:r>
      <w:r>
        <w:rPr>
          <w:spacing w:val="-2"/>
          <w:sz w:val="20"/>
        </w:rPr>
        <w:t>para.3-06.</w:t>
      </w:r>
    </w:p>
    <w:p>
      <w:pPr>
        <w:spacing w:after="0" w:line="235" w:lineRule="auto"/>
        <w:jc w:val="both"/>
        <w:rPr>
          <w:sz w:val="20"/>
        </w:rPr>
        <w:sectPr>
          <w:type w:val="continuous"/>
          <w:pgSz w:w="11900" w:h="16840"/>
          <w:pgMar w:header="971" w:footer="0" w:top="1160" w:bottom="280" w:left="1275" w:right="1275"/>
          <w:cols w:num="2" w:equalWidth="0">
            <w:col w:w="400" w:space="141"/>
            <w:col w:w="8809"/>
          </w:cols>
        </w:sectPr>
      </w:pPr>
    </w:p>
    <w:p>
      <w:pPr>
        <w:pStyle w:val="BodyText"/>
        <w:spacing w:before="1"/>
      </w:pPr>
    </w:p>
    <w:p>
      <w:pPr>
        <w:tabs>
          <w:tab w:pos="705" w:val="left" w:leader="none"/>
        </w:tabs>
        <w:spacing w:line="235" w:lineRule="auto" w:before="0"/>
        <w:ind w:left="705" w:right="168" w:hanging="541"/>
        <w:jc w:val="left"/>
        <w:rPr>
          <w:sz w:val="20"/>
        </w:rPr>
      </w:pPr>
      <w:bookmarkStart w:name="_bookmark144" w:id="146"/>
      <w:bookmarkEnd w:id="146"/>
      <w:r>
        <w:rPr/>
      </w:r>
      <w:hyperlink w:history="true" w:anchor="_bookmark39">
        <w:r>
          <w:rPr>
            <w:color w:val="005DA1"/>
            <w:spacing w:val="-4"/>
            <w:position w:val="5"/>
            <w:sz w:val="14"/>
            <w:u w:val="single" w:color="005DA1"/>
          </w:rPr>
          <w:t>27</w:t>
        </w:r>
      </w:hyperlink>
      <w:r>
        <w:rPr>
          <w:spacing w:val="-4"/>
          <w:position w:val="5"/>
          <w:sz w:val="14"/>
        </w:rPr>
        <w:t>.</w:t>
      </w:r>
      <w:r>
        <w:rPr>
          <w:position w:val="5"/>
          <w:sz w:val="14"/>
        </w:rPr>
        <w:tab/>
      </w:r>
      <w:r>
        <w:rPr>
          <w:rFonts w:ascii="Arial" w:hAnsi="Arial"/>
          <w:i/>
          <w:sz w:val="20"/>
        </w:rPr>
        <w:t>Dimmock v Hallett (1866) L.R. 7 Ch. App. 21, 27</w:t>
      </w:r>
      <w:r>
        <w:rPr>
          <w:sz w:val="20"/>
        </w:rPr>
        <w:t>. See also, for an analogous criminal law </w:t>
      </w:r>
      <w:r>
        <w:rPr>
          <w:sz w:val="20"/>
        </w:rPr>
        <w:t>case, </w:t>
      </w:r>
      <w:r>
        <w:rPr>
          <w:rFonts w:ascii="Arial" w:hAnsi="Arial"/>
          <w:i/>
          <w:sz w:val="20"/>
        </w:rPr>
        <w:t>West Yorkshire Metropolitan CC v MFI Furniture Centre [1983] 1 W.L.R. 1175</w:t>
      </w:r>
      <w:r>
        <w:rPr>
          <w:sz w:val="20"/>
        </w:rPr>
        <w:t>; </w:t>
      </w:r>
      <w:r>
        <w:rPr>
          <w:rFonts w:ascii="Arial" w:hAnsi="Arial"/>
          <w:i/>
          <w:sz w:val="20"/>
        </w:rPr>
        <w:t>Chartered Trust v Davies [1997] 2 E.G.L.R. 83, 86 </w:t>
      </w:r>
      <w:r>
        <w:rPr>
          <w:sz w:val="20"/>
        </w:rPr>
        <w:t>(“prestigious retail development”). The expression </w:t>
      </w:r>
      <w:r>
        <w:rPr>
          <w:rFonts w:ascii="Arial" w:hAnsi="Arial"/>
          <w:i/>
          <w:sz w:val="20"/>
        </w:rPr>
        <w:t>"puffery" </w:t>
      </w:r>
      <w:r>
        <w:rPr>
          <w:sz w:val="20"/>
        </w:rPr>
        <w:t>does not include communications which the recipient is expected to take seriously: </w:t>
      </w:r>
      <w:r>
        <w:rPr>
          <w:rFonts w:ascii="Arial" w:hAnsi="Arial"/>
          <w:i/>
          <w:sz w:val="20"/>
        </w:rPr>
        <w:t>Shaftsbury House (Developments) Ltd v Lee [2010] EWHC 1484 (Ch) </w:t>
      </w:r>
      <w:r>
        <w:rPr>
          <w:sz w:val="20"/>
        </w:rPr>
        <w:t>at [35].</w:t>
      </w:r>
    </w:p>
    <w:p>
      <w:pPr>
        <w:spacing w:after="0" w:line="235" w:lineRule="auto"/>
        <w:jc w:val="left"/>
        <w:rPr>
          <w:sz w:val="20"/>
        </w:rPr>
        <w:sectPr>
          <w:type w:val="continuous"/>
          <w:pgSz w:w="11900" w:h="16840"/>
          <w:pgMar w:header="971" w:footer="0" w:top="1160" w:bottom="280" w:left="1275" w:right="1275"/>
        </w:sectPr>
      </w:pPr>
    </w:p>
    <w:p>
      <w:pPr>
        <w:pStyle w:val="BodyText"/>
        <w:spacing w:before="84"/>
      </w:pPr>
    </w:p>
    <w:p>
      <w:pPr>
        <w:spacing w:line="235" w:lineRule="auto" w:before="1"/>
        <w:ind w:left="705" w:right="167" w:hanging="541"/>
        <w:jc w:val="both"/>
        <w:rPr>
          <w:sz w:val="20"/>
        </w:rPr>
      </w:pPr>
      <w:hyperlink w:history="true" w:anchor="_bookmark40">
        <w:r>
          <w:rPr>
            <w:color w:val="005DA1"/>
            <w:position w:val="5"/>
            <w:sz w:val="14"/>
            <w:u w:val="single" w:color="005DA1"/>
          </w:rPr>
          <w:t>28</w:t>
        </w:r>
      </w:hyperlink>
      <w:r>
        <w:rPr>
          <w:position w:val="5"/>
          <w:sz w:val="14"/>
        </w:rPr>
        <w:t>.</w:t>
      </w:r>
      <w:r>
        <w:rPr>
          <w:spacing w:val="80"/>
          <w:w w:val="150"/>
          <w:position w:val="5"/>
          <w:sz w:val="14"/>
        </w:rPr>
        <w:t>  </w:t>
      </w:r>
      <w:r>
        <w:rPr>
          <w:sz w:val="20"/>
        </w:rPr>
        <w:t>This passage was cited with approval in </w:t>
      </w:r>
      <w:r>
        <w:rPr>
          <w:rFonts w:ascii="Arial"/>
          <w:i/>
          <w:sz w:val="20"/>
        </w:rPr>
        <w:t>Hummingbird Motors Ltd v Hobbs [1986] R.T.R. </w:t>
      </w:r>
      <w:r>
        <w:rPr>
          <w:rFonts w:ascii="Arial"/>
          <w:i/>
          <w:sz w:val="20"/>
        </w:rPr>
        <w:t>276</w:t>
      </w:r>
      <w:r>
        <w:rPr>
          <w:sz w:val="20"/>
        </w:rPr>
        <w:t>. Nor will a simple statement of intention which is not put into effect be treated as a misrepresentation: cf. below, para.7-012.</w:t>
      </w:r>
    </w:p>
    <w:p>
      <w:pPr>
        <w:pStyle w:val="BodyText"/>
        <w:spacing w:before="5"/>
      </w:pPr>
    </w:p>
    <w:p>
      <w:pPr>
        <w:tabs>
          <w:tab w:pos="705" w:val="left" w:leader="none"/>
        </w:tabs>
        <w:spacing w:before="0"/>
        <w:ind w:left="165" w:right="0" w:firstLine="0"/>
        <w:jc w:val="left"/>
        <w:rPr>
          <w:sz w:val="20"/>
        </w:rPr>
      </w:pPr>
      <w:bookmarkStart w:name="_bookmark145" w:id="147"/>
      <w:bookmarkEnd w:id="147"/>
      <w:r>
        <w:rPr/>
      </w:r>
      <w:hyperlink w:history="true" w:anchor="_bookmark41">
        <w:r>
          <w:rPr>
            <w:color w:val="005DA1"/>
            <w:spacing w:val="-5"/>
            <w:position w:val="5"/>
            <w:sz w:val="14"/>
            <w:u w:val="single" w:color="005DA1"/>
          </w:rPr>
          <w:t>29</w:t>
        </w:r>
      </w:hyperlink>
      <w:r>
        <w:rPr>
          <w:spacing w:val="-5"/>
          <w:position w:val="5"/>
          <w:sz w:val="14"/>
        </w:rPr>
        <w:t>.</w:t>
      </w:r>
      <w:r>
        <w:rPr>
          <w:position w:val="5"/>
          <w:sz w:val="14"/>
        </w:rPr>
        <w:tab/>
      </w:r>
      <w:r>
        <w:rPr>
          <w:sz w:val="20"/>
        </w:rPr>
        <w:t>See</w:t>
      </w:r>
      <w:r>
        <w:rPr>
          <w:spacing w:val="-1"/>
          <w:sz w:val="20"/>
        </w:rPr>
        <w:t> </w:t>
      </w:r>
      <w:r>
        <w:rPr>
          <w:rFonts w:ascii="Arial"/>
          <w:i/>
          <w:sz w:val="20"/>
        </w:rPr>
        <w:t>Strachan &amp; Henshaw Ltd v Stein Industrie (UK) Ltd (No.2) (1997) 87 B.L.R. </w:t>
      </w:r>
      <w:r>
        <w:rPr>
          <w:rFonts w:ascii="Arial"/>
          <w:i/>
          <w:spacing w:val="-5"/>
          <w:sz w:val="20"/>
        </w:rPr>
        <w:t>52</w:t>
      </w:r>
      <w:r>
        <w:rPr>
          <w:spacing w:val="-5"/>
          <w:sz w:val="20"/>
        </w:rPr>
        <w:t>.</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146" w:id="148"/>
      <w:bookmarkEnd w:id="148"/>
      <w:r>
        <w:rPr/>
      </w:r>
      <w:hyperlink w:history="true" w:anchor="_bookmark42">
        <w:r>
          <w:rPr>
            <w:color w:val="005DA1"/>
            <w:spacing w:val="-5"/>
            <w:position w:val="5"/>
            <w:sz w:val="14"/>
            <w:u w:val="single" w:color="005DA1"/>
          </w:rPr>
          <w:t>30</w:t>
        </w:r>
      </w:hyperlink>
      <w:r>
        <w:rPr>
          <w:spacing w:val="-5"/>
          <w:position w:val="5"/>
          <w:sz w:val="14"/>
        </w:rPr>
        <w:t>.</w:t>
      </w:r>
      <w:r>
        <w:rPr>
          <w:position w:val="5"/>
          <w:sz w:val="14"/>
        </w:rPr>
        <w:tab/>
      </w:r>
      <w:r>
        <w:rPr>
          <w:rFonts w:ascii="Arial" w:hAnsi="Arial"/>
          <w:i/>
          <w:sz w:val="20"/>
        </w:rPr>
        <w:t>IFE</w:t>
      </w:r>
      <w:r>
        <w:rPr>
          <w:rFonts w:ascii="Arial" w:hAnsi="Arial"/>
          <w:i/>
          <w:spacing w:val="35"/>
          <w:sz w:val="20"/>
        </w:rPr>
        <w:t> </w:t>
      </w:r>
      <w:r>
        <w:rPr>
          <w:rFonts w:ascii="Arial" w:hAnsi="Arial"/>
          <w:i/>
          <w:sz w:val="20"/>
        </w:rPr>
        <w:t>Fund</w:t>
      </w:r>
      <w:r>
        <w:rPr>
          <w:rFonts w:ascii="Arial" w:hAnsi="Arial"/>
          <w:i/>
          <w:spacing w:val="35"/>
          <w:sz w:val="20"/>
        </w:rPr>
        <w:t> </w:t>
      </w:r>
      <w:r>
        <w:rPr>
          <w:rFonts w:ascii="Arial" w:hAnsi="Arial"/>
          <w:i/>
          <w:sz w:val="20"/>
        </w:rPr>
        <w:t>SA</w:t>
      </w:r>
      <w:r>
        <w:rPr>
          <w:rFonts w:ascii="Arial" w:hAnsi="Arial"/>
          <w:i/>
          <w:spacing w:val="35"/>
          <w:sz w:val="20"/>
        </w:rPr>
        <w:t> </w:t>
      </w:r>
      <w:r>
        <w:rPr>
          <w:rFonts w:ascii="Arial" w:hAnsi="Arial"/>
          <w:i/>
          <w:sz w:val="20"/>
        </w:rPr>
        <w:t>v</w:t>
      </w:r>
      <w:r>
        <w:rPr>
          <w:rFonts w:ascii="Arial" w:hAnsi="Arial"/>
          <w:i/>
          <w:spacing w:val="35"/>
          <w:sz w:val="20"/>
        </w:rPr>
        <w:t> </w:t>
      </w:r>
      <w:r>
        <w:rPr>
          <w:rFonts w:ascii="Arial" w:hAnsi="Arial"/>
          <w:i/>
          <w:sz w:val="20"/>
        </w:rPr>
        <w:t>Goldman</w:t>
      </w:r>
      <w:r>
        <w:rPr>
          <w:rFonts w:ascii="Arial" w:hAnsi="Arial"/>
          <w:i/>
          <w:spacing w:val="35"/>
          <w:sz w:val="20"/>
        </w:rPr>
        <w:t> </w:t>
      </w:r>
      <w:r>
        <w:rPr>
          <w:rFonts w:ascii="Arial" w:hAnsi="Arial"/>
          <w:i/>
          <w:sz w:val="20"/>
        </w:rPr>
        <w:t>Sachs</w:t>
      </w:r>
      <w:r>
        <w:rPr>
          <w:rFonts w:ascii="Arial" w:hAnsi="Arial"/>
          <w:i/>
          <w:spacing w:val="35"/>
          <w:sz w:val="20"/>
        </w:rPr>
        <w:t> </w:t>
      </w:r>
      <w:r>
        <w:rPr>
          <w:rFonts w:ascii="Arial" w:hAnsi="Arial"/>
          <w:i/>
          <w:sz w:val="20"/>
        </w:rPr>
        <w:t>International</w:t>
      </w:r>
      <w:r>
        <w:rPr>
          <w:rFonts w:ascii="Arial" w:hAnsi="Arial"/>
          <w:i/>
          <w:spacing w:val="35"/>
          <w:sz w:val="20"/>
        </w:rPr>
        <w:t> </w:t>
      </w:r>
      <w:r>
        <w:rPr>
          <w:rFonts w:ascii="Arial" w:hAnsi="Arial"/>
          <w:i/>
          <w:sz w:val="20"/>
        </w:rPr>
        <w:t>[2006]</w:t>
      </w:r>
      <w:r>
        <w:rPr>
          <w:rFonts w:ascii="Arial" w:hAnsi="Arial"/>
          <w:i/>
          <w:spacing w:val="35"/>
          <w:sz w:val="20"/>
        </w:rPr>
        <w:t> </w:t>
      </w:r>
      <w:r>
        <w:rPr>
          <w:rFonts w:ascii="Arial" w:hAnsi="Arial"/>
          <w:i/>
          <w:sz w:val="20"/>
        </w:rPr>
        <w:t>EWHC</w:t>
      </w:r>
      <w:r>
        <w:rPr>
          <w:rFonts w:ascii="Arial" w:hAnsi="Arial"/>
          <w:i/>
          <w:spacing w:val="35"/>
          <w:sz w:val="20"/>
        </w:rPr>
        <w:t> </w:t>
      </w:r>
      <w:r>
        <w:rPr>
          <w:rFonts w:ascii="Arial" w:hAnsi="Arial"/>
          <w:i/>
          <w:sz w:val="20"/>
        </w:rPr>
        <w:t>2887</w:t>
      </w:r>
      <w:r>
        <w:rPr>
          <w:rFonts w:ascii="Arial" w:hAnsi="Arial"/>
          <w:i/>
          <w:spacing w:val="35"/>
          <w:sz w:val="20"/>
        </w:rPr>
        <w:t> </w:t>
      </w:r>
      <w:r>
        <w:rPr>
          <w:rFonts w:ascii="Arial" w:hAnsi="Arial"/>
          <w:i/>
          <w:sz w:val="20"/>
        </w:rPr>
        <w:t>(Comm),</w:t>
      </w:r>
      <w:r>
        <w:rPr>
          <w:rFonts w:ascii="Arial" w:hAnsi="Arial"/>
          <w:i/>
          <w:spacing w:val="35"/>
          <w:sz w:val="20"/>
        </w:rPr>
        <w:t> </w:t>
      </w:r>
      <w:r>
        <w:rPr>
          <w:rFonts w:ascii="Arial" w:hAnsi="Arial"/>
          <w:i/>
          <w:sz w:val="20"/>
        </w:rPr>
        <w:t>[2007]</w:t>
      </w:r>
      <w:r>
        <w:rPr>
          <w:rFonts w:ascii="Arial" w:hAnsi="Arial"/>
          <w:i/>
          <w:spacing w:val="35"/>
          <w:sz w:val="20"/>
        </w:rPr>
        <w:t> </w:t>
      </w:r>
      <w:r>
        <w:rPr>
          <w:rFonts w:ascii="Arial" w:hAnsi="Arial"/>
          <w:i/>
          <w:sz w:val="20"/>
        </w:rPr>
        <w:t>1</w:t>
      </w:r>
      <w:r>
        <w:rPr>
          <w:rFonts w:ascii="Arial" w:hAnsi="Arial"/>
          <w:i/>
          <w:spacing w:val="35"/>
          <w:sz w:val="20"/>
        </w:rPr>
        <w:t> </w:t>
      </w:r>
      <w:r>
        <w:rPr>
          <w:rFonts w:ascii="Arial" w:hAnsi="Arial"/>
          <w:i/>
          <w:spacing w:val="-2"/>
          <w:sz w:val="20"/>
        </w:rPr>
        <w:t>Lloyd’s</w:t>
      </w:r>
    </w:p>
    <w:p>
      <w:pPr>
        <w:spacing w:line="235" w:lineRule="auto" w:before="1"/>
        <w:ind w:left="705" w:right="167" w:firstLine="0"/>
        <w:jc w:val="both"/>
        <w:rPr>
          <w:sz w:val="20"/>
        </w:rPr>
      </w:pPr>
      <w:r>
        <w:rPr>
          <w:rFonts w:ascii="Arial" w:hAnsi="Arial"/>
          <w:i/>
          <w:sz w:val="20"/>
        </w:rPr>
        <w:t>Rep.</w:t>
      </w:r>
      <w:r>
        <w:rPr>
          <w:rFonts w:ascii="Arial" w:hAnsi="Arial"/>
          <w:i/>
          <w:spacing w:val="-3"/>
          <w:sz w:val="20"/>
        </w:rPr>
        <w:t> </w:t>
      </w:r>
      <w:r>
        <w:rPr>
          <w:rFonts w:ascii="Arial" w:hAnsi="Arial"/>
          <w:i/>
          <w:sz w:val="20"/>
        </w:rPr>
        <w:t>264</w:t>
      </w:r>
      <w:r>
        <w:rPr>
          <w:rFonts w:ascii="Arial" w:hAnsi="Arial"/>
          <w:i/>
          <w:spacing w:val="-3"/>
          <w:sz w:val="20"/>
        </w:rPr>
        <w:t> </w:t>
      </w:r>
      <w:r>
        <w:rPr>
          <w:sz w:val="20"/>
        </w:rPr>
        <w:t>at</w:t>
      </w:r>
      <w:r>
        <w:rPr>
          <w:spacing w:val="-3"/>
          <w:sz w:val="20"/>
        </w:rPr>
        <w:t> </w:t>
      </w:r>
      <w:r>
        <w:rPr>
          <w:sz w:val="20"/>
        </w:rPr>
        <w:t>[50];</w:t>
      </w:r>
      <w:r>
        <w:rPr>
          <w:spacing w:val="-3"/>
          <w:sz w:val="20"/>
        </w:rPr>
        <w:t> </w:t>
      </w:r>
      <w:r>
        <w:rPr>
          <w:sz w:val="20"/>
        </w:rPr>
        <w:t>affirmed</w:t>
      </w:r>
      <w:r>
        <w:rPr>
          <w:spacing w:val="-3"/>
          <w:sz w:val="20"/>
        </w:rPr>
        <w:t> </w:t>
      </w:r>
      <w:r>
        <w:rPr>
          <w:sz w:val="20"/>
        </w:rPr>
        <w:t>without</w:t>
      </w:r>
      <w:r>
        <w:rPr>
          <w:spacing w:val="-3"/>
          <w:sz w:val="20"/>
        </w:rPr>
        <w:t> </w:t>
      </w:r>
      <w:r>
        <w:rPr>
          <w:sz w:val="20"/>
        </w:rPr>
        <w:t>comment</w:t>
      </w:r>
      <w:r>
        <w:rPr>
          <w:spacing w:val="-3"/>
          <w:sz w:val="20"/>
        </w:rPr>
        <w:t> </w:t>
      </w:r>
      <w:r>
        <w:rPr>
          <w:sz w:val="20"/>
        </w:rPr>
        <w:t>on</w:t>
      </w:r>
      <w:r>
        <w:rPr>
          <w:spacing w:val="-3"/>
          <w:sz w:val="20"/>
        </w:rPr>
        <w:t> </w:t>
      </w:r>
      <w:r>
        <w:rPr>
          <w:sz w:val="20"/>
        </w:rPr>
        <w:t>this</w:t>
      </w:r>
      <w:r>
        <w:rPr>
          <w:spacing w:val="-3"/>
          <w:sz w:val="20"/>
        </w:rPr>
        <w:t> </w:t>
      </w:r>
      <w:r>
        <w:rPr>
          <w:sz w:val="20"/>
        </w:rPr>
        <w:t>point</w:t>
      </w:r>
      <w:r>
        <w:rPr>
          <w:spacing w:val="-3"/>
          <w:sz w:val="20"/>
        </w:rPr>
        <w:t> </w:t>
      </w:r>
      <w:r>
        <w:rPr>
          <w:rFonts w:ascii="Arial" w:hAnsi="Arial"/>
          <w:i/>
          <w:sz w:val="20"/>
        </w:rPr>
        <w:t>[2007]</w:t>
      </w:r>
      <w:r>
        <w:rPr>
          <w:rFonts w:ascii="Arial" w:hAnsi="Arial"/>
          <w:i/>
          <w:spacing w:val="-3"/>
          <w:sz w:val="20"/>
        </w:rPr>
        <w:t> </w:t>
      </w:r>
      <w:r>
        <w:rPr>
          <w:rFonts w:ascii="Arial" w:hAnsi="Arial"/>
          <w:i/>
          <w:sz w:val="20"/>
        </w:rPr>
        <w:t>EWCA</w:t>
      </w:r>
      <w:r>
        <w:rPr>
          <w:rFonts w:ascii="Arial" w:hAnsi="Arial"/>
          <w:i/>
          <w:spacing w:val="-3"/>
          <w:sz w:val="20"/>
        </w:rPr>
        <w:t> </w:t>
      </w:r>
      <w:r>
        <w:rPr>
          <w:rFonts w:ascii="Arial" w:hAnsi="Arial"/>
          <w:i/>
          <w:sz w:val="20"/>
        </w:rPr>
        <w:t>Civ</w:t>
      </w:r>
      <w:r>
        <w:rPr>
          <w:rFonts w:ascii="Arial" w:hAnsi="Arial"/>
          <w:i/>
          <w:spacing w:val="-3"/>
          <w:sz w:val="20"/>
        </w:rPr>
        <w:t> </w:t>
      </w:r>
      <w:r>
        <w:rPr>
          <w:rFonts w:ascii="Arial" w:hAnsi="Arial"/>
          <w:i/>
          <w:sz w:val="20"/>
        </w:rPr>
        <w:t>811,</w:t>
      </w:r>
      <w:r>
        <w:rPr>
          <w:rFonts w:ascii="Arial" w:hAnsi="Arial"/>
          <w:i/>
          <w:spacing w:val="-3"/>
          <w:sz w:val="20"/>
        </w:rPr>
        <w:t> </w:t>
      </w:r>
      <w:r>
        <w:rPr>
          <w:rFonts w:ascii="Arial" w:hAnsi="Arial"/>
          <w:i/>
          <w:sz w:val="20"/>
        </w:rPr>
        <w:t>[2007]</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Lloyd’s Rep. 449</w:t>
      </w:r>
      <w:r>
        <w:rPr>
          <w:sz w:val="20"/>
        </w:rPr>
        <w:t>. See also </w:t>
      </w:r>
      <w:r>
        <w:rPr>
          <w:rFonts w:ascii="Arial" w:hAnsi="Arial"/>
          <w:i/>
          <w:sz w:val="20"/>
        </w:rPr>
        <w:t>Springwell Navigation Corp v JP Morgan Chase Bank [2010] EWCA Civ 1221, [2010] 2 C.L.C. 705 </w:t>
      </w:r>
      <w:r>
        <w:rPr>
          <w:sz w:val="20"/>
        </w:rPr>
        <w:t>at [120]; </w:t>
      </w:r>
      <w:r>
        <w:rPr>
          <w:rFonts w:ascii="Arial" w:hAnsi="Arial"/>
          <w:i/>
          <w:sz w:val="20"/>
        </w:rPr>
        <w:t>Cassa di Risparmio della Repubblica di San Marino SpA v Barclays Bank Ltd [2011] EWHC 484 (Comm), [2011] 1 C.L.C. 701 </w:t>
      </w:r>
      <w:r>
        <w:rPr>
          <w:sz w:val="20"/>
        </w:rPr>
        <w:t>(“In order to determine whether any</w:t>
      </w:r>
      <w:r>
        <w:rPr>
          <w:spacing w:val="-1"/>
          <w:sz w:val="20"/>
        </w:rPr>
        <w:t> </w:t>
      </w:r>
      <w:r>
        <w:rPr>
          <w:sz w:val="20"/>
        </w:rPr>
        <w:t>and if</w:t>
      </w:r>
      <w:r>
        <w:rPr>
          <w:spacing w:val="-1"/>
          <w:sz w:val="20"/>
        </w:rPr>
        <w:t> </w:t>
      </w:r>
      <w:r>
        <w:rPr>
          <w:sz w:val="20"/>
        </w:rPr>
        <w:t>so what</w:t>
      </w:r>
      <w:r>
        <w:rPr>
          <w:spacing w:val="-1"/>
          <w:sz w:val="20"/>
        </w:rPr>
        <w:t> </w:t>
      </w:r>
      <w:r>
        <w:rPr>
          <w:sz w:val="20"/>
        </w:rPr>
        <w:t>representation was</w:t>
      </w:r>
      <w:r>
        <w:rPr>
          <w:spacing w:val="-1"/>
          <w:sz w:val="20"/>
        </w:rPr>
        <w:t> </w:t>
      </w:r>
      <w:r>
        <w:rPr>
          <w:sz w:val="20"/>
        </w:rPr>
        <w:t>made by</w:t>
      </w:r>
      <w:r>
        <w:rPr>
          <w:spacing w:val="-1"/>
          <w:sz w:val="20"/>
        </w:rPr>
        <w:t> </w:t>
      </w:r>
      <w:r>
        <w:rPr>
          <w:sz w:val="20"/>
        </w:rPr>
        <w:t>a statement</w:t>
      </w:r>
      <w:r>
        <w:rPr>
          <w:spacing w:val="-1"/>
          <w:sz w:val="20"/>
        </w:rPr>
        <w:t> </w:t>
      </w:r>
      <w:r>
        <w:rPr>
          <w:sz w:val="20"/>
        </w:rPr>
        <w:t>requires (1)</w:t>
      </w:r>
      <w:r>
        <w:rPr>
          <w:spacing w:val="-1"/>
          <w:sz w:val="20"/>
        </w:rPr>
        <w:t> </w:t>
      </w:r>
      <w:r>
        <w:rPr>
          <w:sz w:val="20"/>
        </w:rPr>
        <w:t>construing the statement in the context in which it was made, and (2) interpreting the statement objectively according to the impact it might be expected to have on a reasonable representee in the position and with the known characteristics of the actual representee”: Hamblen J. at [215]). As Christopher Clarke J. pointed out in </w:t>
      </w:r>
      <w:r>
        <w:rPr>
          <w:rFonts w:ascii="Arial" w:hAnsi="Arial"/>
          <w:i/>
          <w:sz w:val="20"/>
        </w:rPr>
        <w:t>Raiffeisen Zentralbank Osterreich AG v Royal Bank of Scotland Plc [2010] EWHC 1392 (Comm), [2011] 1 Lloyd’s Rep. 123 </w:t>
      </w:r>
      <w:r>
        <w:rPr>
          <w:sz w:val="20"/>
        </w:rPr>
        <w:t>at [87], the claimant must show that he understood the statement in the sense (so far as material) which the court</w:t>
      </w:r>
      <w:r>
        <w:rPr>
          <w:spacing w:val="40"/>
          <w:sz w:val="20"/>
        </w:rPr>
        <w:t> </w:t>
      </w:r>
      <w:r>
        <w:rPr>
          <w:sz w:val="20"/>
        </w:rPr>
        <w:t>ascribes to it and that, having that understanding, he relied on it.</w:t>
      </w:r>
    </w:p>
    <w:p>
      <w:pPr>
        <w:pStyle w:val="BodyText"/>
        <w:spacing w:before="5"/>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0928">
            <wp:simplePos x="0" y="0"/>
            <wp:positionH relativeFrom="page">
              <wp:posOffset>1257846</wp:posOffset>
            </wp:positionH>
            <wp:positionV relativeFrom="paragraph">
              <wp:posOffset>160718</wp:posOffset>
            </wp:positionV>
            <wp:extent cx="107988" cy="107988"/>
            <wp:effectExtent l="0" t="0" r="0" b="0"/>
            <wp:wrapNone/>
            <wp:docPr id="49" name="Image 49"/>
            <wp:cNvGraphicFramePr>
              <a:graphicFrameLocks/>
            </wp:cNvGraphicFramePr>
            <a:graphic>
              <a:graphicData uri="http://schemas.openxmlformats.org/drawingml/2006/picture">
                <pic:pic>
                  <pic:nvPicPr>
                    <pic:cNvPr id="49" name="Image 4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47" w:id="149"/>
      <w:bookmarkEnd w:id="149"/>
      <w:r>
        <w:rPr/>
      </w:r>
      <w:hyperlink w:history="true" w:anchor="_bookmark43">
        <w:r>
          <w:rPr>
            <w:color w:val="005DA1"/>
            <w:spacing w:val="-5"/>
            <w:sz w:val="14"/>
            <w:u w:val="single" w:color="005DA1"/>
          </w:rPr>
          <w:t>31</w:t>
        </w:r>
      </w:hyperlink>
      <w:r>
        <w:rPr>
          <w:spacing w:val="-5"/>
          <w:sz w:val="14"/>
        </w:rPr>
        <w:t>.</w:t>
      </w:r>
    </w:p>
    <w:p>
      <w:pPr>
        <w:spacing w:line="235" w:lineRule="auto" w:before="213"/>
        <w:ind w:left="165" w:right="167" w:firstLine="170"/>
        <w:jc w:val="both"/>
        <w:rPr>
          <w:sz w:val="20"/>
        </w:rPr>
      </w:pPr>
      <w:r>
        <w:rPr/>
        <w:br w:type="column"/>
      </w:r>
      <w:r>
        <w:rPr>
          <w:rFonts w:ascii="Arial" w:hAnsi="Arial"/>
          <w:i/>
          <w:sz w:val="20"/>
        </w:rPr>
        <w:t>Connolly Ltd v Bellway Homes Ltd [2007] EWHC 895, [2007] All E.R. (D) 182 (Apr)</w:t>
      </w:r>
      <w:r>
        <w:rPr>
          <w:sz w:val="20"/>
        </w:rPr>
        <w:t>. </w:t>
      </w:r>
      <w:r>
        <w:rPr>
          <w:sz w:val="20"/>
        </w:rPr>
        <w:t>The sentences in this paragraph were cited with approval in </w:t>
      </w:r>
      <w:r>
        <w:rPr>
          <w:rFonts w:ascii="Arial" w:hAnsi="Arial"/>
          <w:i/>
          <w:sz w:val="20"/>
        </w:rPr>
        <w:t>Economides v Commercial Union Assurance Co Plc [1998] Q.B. 587</w:t>
      </w:r>
      <w:r>
        <w:rPr>
          <w:sz w:val="20"/>
        </w:rPr>
        <w:t>, by Simon Brown L.J. at 598 (who considered that </w:t>
      </w:r>
      <w:r>
        <w:rPr>
          <w:rFonts w:ascii="Arial" w:hAnsi="Arial"/>
          <w:i/>
          <w:sz w:val="20"/>
        </w:rPr>
        <w:t>Brown v Raphael [1958] Ch. 636</w:t>
      </w:r>
      <w:r>
        <w:rPr>
          <w:sz w:val="20"/>
        </w:rPr>
        <w:t>, below, para.7-009, fell into a different category) and Sir Iain Glidewell (who considered that the statement summarised that case accurately also), 608–609. Another way to put the same point is that if a person states that he holds an opinion that in fact he does not hold, or that he has an intention that in fact he does not have, he makes a false statement</w:t>
      </w:r>
      <w:r>
        <w:rPr>
          <w:spacing w:val="40"/>
          <w:sz w:val="20"/>
        </w:rPr>
        <w:t> </w:t>
      </w:r>
      <w:r>
        <w:rPr>
          <w:sz w:val="20"/>
        </w:rPr>
        <w:t>of</w:t>
      </w:r>
      <w:r>
        <w:rPr>
          <w:spacing w:val="40"/>
          <w:sz w:val="20"/>
        </w:rPr>
        <w:t> </w:t>
      </w:r>
      <w:r>
        <w:rPr>
          <w:sz w:val="20"/>
        </w:rPr>
        <w:t>fact.</w:t>
      </w:r>
      <w:r>
        <w:rPr>
          <w:spacing w:val="40"/>
          <w:sz w:val="20"/>
        </w:rPr>
        <w:t> </w:t>
      </w:r>
      <w:r>
        <w:rPr>
          <w:sz w:val="20"/>
        </w:rPr>
        <w:t>See</w:t>
      </w:r>
      <w:r>
        <w:rPr>
          <w:spacing w:val="40"/>
          <w:sz w:val="20"/>
        </w:rPr>
        <w:t> </w:t>
      </w:r>
      <w:r>
        <w:rPr>
          <w:sz w:val="20"/>
        </w:rPr>
        <w:t>Cartwright,</w:t>
      </w:r>
      <w:r>
        <w:rPr>
          <w:spacing w:val="40"/>
          <w:sz w:val="20"/>
        </w:rPr>
        <w:t> </w:t>
      </w:r>
      <w:r>
        <w:rPr>
          <w:rFonts w:ascii="Arial" w:hAnsi="Arial"/>
          <w:i/>
          <w:sz w:val="20"/>
        </w:rPr>
        <w:t>Misrepresentation,</w:t>
      </w:r>
      <w:r>
        <w:rPr>
          <w:rFonts w:ascii="Arial" w:hAnsi="Arial"/>
          <w:i/>
          <w:spacing w:val="40"/>
          <w:sz w:val="20"/>
        </w:rPr>
        <w:t> </w:t>
      </w:r>
      <w:r>
        <w:rPr>
          <w:rFonts w:ascii="Arial" w:hAnsi="Arial"/>
          <w:i/>
          <w:sz w:val="20"/>
        </w:rPr>
        <w:t>Mistake</w:t>
      </w:r>
      <w:r>
        <w:rPr>
          <w:rFonts w:ascii="Arial" w:hAnsi="Arial"/>
          <w:i/>
          <w:spacing w:val="40"/>
          <w:sz w:val="20"/>
        </w:rPr>
        <w:t> </w:t>
      </w:r>
      <w:r>
        <w:rPr>
          <w:rFonts w:ascii="Arial" w:hAnsi="Arial"/>
          <w:i/>
          <w:sz w:val="20"/>
        </w:rPr>
        <w:t>and</w:t>
      </w:r>
      <w:r>
        <w:rPr>
          <w:rFonts w:ascii="Arial" w:hAnsi="Arial"/>
          <w:i/>
          <w:spacing w:val="40"/>
          <w:sz w:val="20"/>
        </w:rPr>
        <w:t> </w:t>
      </w:r>
      <w:r>
        <w:rPr>
          <w:rFonts w:ascii="Arial" w:hAnsi="Arial"/>
          <w:i/>
          <w:sz w:val="20"/>
        </w:rPr>
        <w:t>Non-disclosure</w:t>
      </w:r>
      <w:r>
        <w:rPr>
          <w:sz w:val="20"/>
        </w:rPr>
        <w:t>,</w:t>
      </w:r>
      <w:r>
        <w:rPr>
          <w:spacing w:val="40"/>
          <w:sz w:val="20"/>
        </w:rPr>
        <w:t> </w:t>
      </w:r>
      <w:r>
        <w:rPr>
          <w:sz w:val="20"/>
        </w:rPr>
        <w:t>4th</w:t>
      </w:r>
      <w:r>
        <w:rPr>
          <w:spacing w:val="40"/>
          <w:sz w:val="20"/>
        </w:rPr>
        <w:t> </w:t>
      </w:r>
      <w:r>
        <w:rPr>
          <w:sz w:val="20"/>
        </w:rPr>
        <w:t>edn</w:t>
      </w:r>
      <w:r>
        <w:rPr>
          <w:spacing w:val="40"/>
          <w:sz w:val="20"/>
        </w:rPr>
        <w:t> </w:t>
      </w:r>
      <w:r>
        <w:rPr>
          <w:sz w:val="20"/>
        </w:rPr>
        <w:t>(2016), </w:t>
      </w:r>
      <w:r>
        <w:rPr>
          <w:spacing w:val="-2"/>
          <w:sz w:val="20"/>
        </w:rPr>
        <w:t>para.3-17.</w:t>
      </w:r>
    </w:p>
    <w:p>
      <w:pPr>
        <w:spacing w:after="0" w:line="235" w:lineRule="auto"/>
        <w:jc w:val="both"/>
        <w:rPr>
          <w:sz w:val="20"/>
        </w:rPr>
        <w:sectPr>
          <w:type w:val="continuous"/>
          <w:pgSz w:w="11900" w:h="16840"/>
          <w:pgMar w:header="971" w:footer="0" w:top="1160" w:bottom="280" w:left="1275" w:right="1275"/>
          <w:cols w:num="2" w:equalWidth="0">
            <w:col w:w="400" w:space="141"/>
            <w:col w:w="8809"/>
          </w:cols>
        </w:sectPr>
      </w:pPr>
    </w:p>
    <w:p>
      <w:pPr>
        <w:pStyle w:val="BodyText"/>
        <w:spacing w:before="2"/>
      </w:pPr>
    </w:p>
    <w:p>
      <w:pPr>
        <w:tabs>
          <w:tab w:pos="705" w:val="left" w:leader="none"/>
        </w:tabs>
        <w:spacing w:before="0"/>
        <w:ind w:left="165" w:right="0" w:firstLine="0"/>
        <w:jc w:val="left"/>
        <w:rPr>
          <w:sz w:val="20"/>
        </w:rPr>
      </w:pPr>
      <w:bookmarkStart w:name="_bookmark148" w:id="150"/>
      <w:bookmarkEnd w:id="150"/>
      <w:r>
        <w:rPr/>
      </w:r>
      <w:hyperlink w:history="true" w:anchor="_bookmark44">
        <w:r>
          <w:rPr>
            <w:color w:val="005DA1"/>
            <w:spacing w:val="-5"/>
            <w:position w:val="5"/>
            <w:sz w:val="14"/>
            <w:u w:val="single" w:color="005DA1"/>
          </w:rPr>
          <w:t>32</w:t>
        </w:r>
      </w:hyperlink>
      <w:r>
        <w:rPr>
          <w:spacing w:val="-5"/>
          <w:position w:val="5"/>
          <w:sz w:val="14"/>
        </w:rPr>
        <w:t>.</w:t>
      </w:r>
      <w:r>
        <w:rPr>
          <w:position w:val="5"/>
          <w:sz w:val="14"/>
        </w:rPr>
        <w:tab/>
      </w:r>
      <w:r>
        <w:rPr>
          <w:rFonts w:ascii="Arial"/>
          <w:i/>
          <w:sz w:val="20"/>
        </w:rPr>
        <w:t>Smith v Land and House Property Corp (1884) 28 Ch. D. </w:t>
      </w:r>
      <w:r>
        <w:rPr>
          <w:rFonts w:ascii="Arial"/>
          <w:i/>
          <w:spacing w:val="-5"/>
          <w:sz w:val="20"/>
        </w:rPr>
        <w:t>7</w:t>
      </w:r>
      <w:r>
        <w:rPr>
          <w:spacing w:val="-5"/>
          <w:sz w:val="20"/>
        </w:rPr>
        <w:t>.</w:t>
      </w:r>
    </w:p>
    <w:p>
      <w:pPr>
        <w:pStyle w:val="BodyText"/>
        <w:spacing w:before="9"/>
      </w:pPr>
    </w:p>
    <w:p>
      <w:pPr>
        <w:spacing w:line="235" w:lineRule="auto" w:before="0"/>
        <w:ind w:left="705" w:right="167" w:hanging="541"/>
        <w:jc w:val="both"/>
        <w:rPr>
          <w:sz w:val="20"/>
        </w:rPr>
      </w:pPr>
      <w:bookmarkStart w:name="_bookmark149" w:id="151"/>
      <w:bookmarkEnd w:id="151"/>
      <w:r>
        <w:rPr/>
      </w:r>
      <w:hyperlink w:history="true" w:anchor="_bookmark45">
        <w:r>
          <w:rPr>
            <w:color w:val="005DA1"/>
            <w:position w:val="5"/>
            <w:sz w:val="14"/>
            <w:u w:val="single" w:color="005DA1"/>
          </w:rPr>
          <w:t>33</w:t>
        </w:r>
      </w:hyperlink>
      <w:r>
        <w:rPr>
          <w:position w:val="5"/>
          <w:sz w:val="14"/>
        </w:rPr>
        <w:t>.</w:t>
      </w:r>
      <w:r>
        <w:rPr>
          <w:spacing w:val="73"/>
          <w:position w:val="5"/>
          <w:sz w:val="14"/>
        </w:rPr>
        <w:t>   </w:t>
      </w:r>
      <w:r>
        <w:rPr>
          <w:rFonts w:ascii="Arial" w:hAnsi="Arial"/>
          <w:i/>
          <w:sz w:val="20"/>
        </w:rPr>
        <w:t>[1958] Ch. 636</w:t>
      </w:r>
      <w:r>
        <w:rPr>
          <w:sz w:val="20"/>
        </w:rPr>
        <w:t>; </w:t>
      </w:r>
      <w:r>
        <w:rPr>
          <w:rFonts w:ascii="Arial" w:hAnsi="Arial"/>
          <w:i/>
          <w:sz w:val="20"/>
        </w:rPr>
        <w:t>Crédit Lyonnais Bank Nederland v Export Credit Guarantee Department [1996] 1 Lloyd’s Rep. 200 </w:t>
      </w:r>
      <w:r>
        <w:rPr>
          <w:sz w:val="20"/>
        </w:rPr>
        <w:t>(bank’s statement that a management was “respectable and trustworthy” a misrepresentation as it was contrary to the bank’s actual experience of the management). </w:t>
      </w:r>
      <w:r>
        <w:rPr>
          <w:sz w:val="20"/>
        </w:rPr>
        <w:t>See also </w:t>
      </w:r>
      <w:r>
        <w:rPr>
          <w:rFonts w:ascii="Arial" w:hAnsi="Arial"/>
          <w:i/>
          <w:sz w:val="20"/>
        </w:rPr>
        <w:t>Patterson v Landsberg &amp; Son (1905) 7 F. 675</w:t>
      </w:r>
      <w:r>
        <w:rPr>
          <w:sz w:val="20"/>
        </w:rPr>
        <w:t>.</w:t>
      </w: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bookmarkStart w:name="_bookmark150" w:id="152"/>
      <w:bookmarkEnd w:id="152"/>
      <w:r>
        <w:rPr/>
      </w:r>
      <w:hyperlink w:history="true" w:anchor="_bookmark46">
        <w:r>
          <w:rPr>
            <w:color w:val="005DA1"/>
            <w:spacing w:val="-5"/>
            <w:sz w:val="14"/>
            <w:u w:val="single" w:color="005DA1"/>
          </w:rPr>
          <w:t>34</w:t>
        </w:r>
      </w:hyperlink>
      <w:r>
        <w:rPr>
          <w:spacing w:val="-5"/>
          <w:sz w:val="14"/>
        </w:rPr>
        <w:t>.</w:t>
      </w:r>
    </w:p>
    <w:p>
      <w:pPr>
        <w:pStyle w:val="BodyText"/>
        <w:spacing w:line="235" w:lineRule="auto" w:before="212"/>
        <w:ind w:left="165" w:right="167" w:firstLine="170"/>
        <w:jc w:val="both"/>
      </w:pPr>
      <w:r>
        <w:rPr/>
        <w:br w:type="column"/>
      </w:r>
      <w:r>
        <w:rPr/>
        <w:t>It is possible that </w:t>
      </w:r>
      <w:r>
        <w:rPr>
          <w:rFonts w:ascii="Arial"/>
          <w:i/>
        </w:rPr>
        <w:t>Smith v Land House Property Corp (1889) 28 Ch. D. 7 </w:t>
      </w:r>
      <w:r>
        <w:rPr/>
        <w:t>was also decided on the basis that the vendor was impliedly representing that he had reasonable grounds for </w:t>
      </w:r>
      <w:r>
        <w:rPr/>
        <w:t>his belief,</w:t>
      </w:r>
      <w:r>
        <w:rPr>
          <w:spacing w:val="6"/>
        </w:rPr>
        <w:t> </w:t>
      </w:r>
      <w:r>
        <w:rPr/>
        <w:t>or</w:t>
      </w:r>
      <w:r>
        <w:rPr>
          <w:spacing w:val="6"/>
        </w:rPr>
        <w:t> </w:t>
      </w:r>
      <w:r>
        <w:rPr/>
        <w:t>at</w:t>
      </w:r>
      <w:r>
        <w:rPr>
          <w:spacing w:val="6"/>
        </w:rPr>
        <w:t> </w:t>
      </w:r>
      <w:r>
        <w:rPr/>
        <w:t>least</w:t>
      </w:r>
      <w:r>
        <w:rPr>
          <w:spacing w:val="6"/>
        </w:rPr>
        <w:t> </w:t>
      </w:r>
      <w:r>
        <w:rPr/>
        <w:t>that</w:t>
      </w:r>
      <w:r>
        <w:rPr>
          <w:spacing w:val="6"/>
        </w:rPr>
        <w:t> </w:t>
      </w:r>
      <w:r>
        <w:rPr/>
        <w:t>he</w:t>
      </w:r>
      <w:r>
        <w:rPr>
          <w:spacing w:val="6"/>
        </w:rPr>
        <w:t> </w:t>
      </w:r>
      <w:r>
        <w:rPr/>
        <w:t>knew</w:t>
      </w:r>
      <w:r>
        <w:rPr>
          <w:spacing w:val="6"/>
        </w:rPr>
        <w:t> </w:t>
      </w:r>
      <w:r>
        <w:rPr/>
        <w:t>of</w:t>
      </w:r>
      <w:r>
        <w:rPr>
          <w:spacing w:val="6"/>
        </w:rPr>
        <w:t> </w:t>
      </w:r>
      <w:r>
        <w:rPr/>
        <w:t>nothing</w:t>
      </w:r>
      <w:r>
        <w:rPr>
          <w:spacing w:val="6"/>
        </w:rPr>
        <w:t> </w:t>
      </w:r>
      <w:r>
        <w:rPr/>
        <w:t>which</w:t>
      </w:r>
      <w:r>
        <w:rPr>
          <w:spacing w:val="6"/>
        </w:rPr>
        <w:t> </w:t>
      </w:r>
      <w:r>
        <w:rPr/>
        <w:t>might</w:t>
      </w:r>
      <w:r>
        <w:rPr>
          <w:spacing w:val="6"/>
        </w:rPr>
        <w:t> </w:t>
      </w:r>
      <w:r>
        <w:rPr/>
        <w:t>be</w:t>
      </w:r>
      <w:r>
        <w:rPr>
          <w:spacing w:val="6"/>
        </w:rPr>
        <w:t> </w:t>
      </w:r>
      <w:r>
        <w:rPr/>
        <w:t>inconsistent</w:t>
      </w:r>
      <w:r>
        <w:rPr>
          <w:spacing w:val="6"/>
        </w:rPr>
        <w:t> </w:t>
      </w:r>
      <w:r>
        <w:rPr/>
        <w:t>with</w:t>
      </w:r>
      <w:r>
        <w:rPr>
          <w:spacing w:val="6"/>
        </w:rPr>
        <w:t> </w:t>
      </w:r>
      <w:r>
        <w:rPr/>
        <w:t>it:</w:t>
      </w:r>
      <w:r>
        <w:rPr>
          <w:spacing w:val="6"/>
        </w:rPr>
        <w:t> </w:t>
      </w:r>
      <w:r>
        <w:rPr/>
        <w:t>Bennett</w:t>
      </w:r>
      <w:r>
        <w:rPr>
          <w:spacing w:val="6"/>
        </w:rPr>
        <w:t> </w:t>
      </w:r>
      <w:r>
        <w:rPr/>
        <w:t>(1998)</w:t>
      </w:r>
      <w:r>
        <w:rPr>
          <w:spacing w:val="6"/>
        </w:rPr>
        <w:t> </w:t>
      </w:r>
      <w:r>
        <w:rPr>
          <w:spacing w:val="-5"/>
        </w:rPr>
        <w:t>61</w:t>
      </w:r>
    </w:p>
    <w:p>
      <w:pPr>
        <w:spacing w:line="235" w:lineRule="auto" w:before="0"/>
        <w:ind w:left="165" w:right="167" w:firstLine="0"/>
        <w:jc w:val="both"/>
        <w:rPr>
          <w:sz w:val="20"/>
        </w:rPr>
      </w:pPr>
      <w:r>
        <w:rPr>
          <w:sz w:val="20"/>
        </w:rPr>
        <w:drawing>
          <wp:anchor distT="0" distB="0" distL="0" distR="0" allowOverlap="1" layoutInCell="1" locked="0" behindDoc="0" simplePos="0" relativeHeight="15741440">
            <wp:simplePos x="0" y="0"/>
            <wp:positionH relativeFrom="page">
              <wp:posOffset>1257846</wp:posOffset>
            </wp:positionH>
            <wp:positionV relativeFrom="paragraph">
              <wp:posOffset>-403811</wp:posOffset>
            </wp:positionV>
            <wp:extent cx="107988" cy="107988"/>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6" cstate="print"/>
                    <a:stretch>
                      <a:fillRect/>
                    </a:stretch>
                  </pic:blipFill>
                  <pic:spPr>
                    <a:xfrm>
                      <a:off x="0" y="0"/>
                      <a:ext cx="107988" cy="107988"/>
                    </a:xfrm>
                    <a:prstGeom prst="rect">
                      <a:avLst/>
                    </a:prstGeom>
                  </pic:spPr>
                </pic:pic>
              </a:graphicData>
            </a:graphic>
          </wp:anchor>
        </w:drawing>
      </w:r>
      <w:r>
        <w:rPr>
          <w:sz w:val="20"/>
        </w:rPr>
        <w:t>M.L.R. 886, 888. See also </w:t>
      </w:r>
      <w:r>
        <w:rPr>
          <w:rFonts w:ascii="Arial" w:hAnsi="Arial"/>
          <w:i/>
          <w:sz w:val="20"/>
        </w:rPr>
        <w:t>Highland Insurance Co v Continental Insurance Co [1987] 1 </w:t>
      </w:r>
      <w:r>
        <w:rPr>
          <w:rFonts w:ascii="Arial" w:hAnsi="Arial"/>
          <w:i/>
          <w:sz w:val="20"/>
        </w:rPr>
        <w:t>Lloyd’s Rep. 109</w:t>
      </w:r>
      <w:r>
        <w:rPr>
          <w:sz w:val="20"/>
        </w:rPr>
        <w:t>; </w:t>
      </w:r>
      <w:r>
        <w:rPr>
          <w:rFonts w:ascii="Arial" w:hAnsi="Arial"/>
          <w:i/>
          <w:sz w:val="20"/>
        </w:rPr>
        <w:t>Crédit Lyonnais Bank Nederland v Export Credit Guarantee Department [1996] 1 Lloyd’s Rep. 200</w:t>
      </w:r>
      <w:r>
        <w:rPr>
          <w:sz w:val="20"/>
        </w:rPr>
        <w:t>; </w:t>
      </w:r>
      <w:r>
        <w:rPr>
          <w:rFonts w:ascii="Arial" w:hAnsi="Arial"/>
          <w:i/>
          <w:sz w:val="20"/>
        </w:rPr>
        <w:t>Barings Plc (In Liquidation) v Coopers &amp; Lybrand [2002] EWHC 461 (Ch), [2002] 2 B.C.L.C. 410 </w:t>
      </w:r>
      <w:r>
        <w:rPr>
          <w:sz w:val="20"/>
        </w:rPr>
        <w:t>at [50]–[51]. A party who merely gives a contractual warranty does not necessarily represent that the fact warranted is true (see </w:t>
      </w:r>
      <w:r>
        <w:rPr>
          <w:rFonts w:ascii="Arial" w:hAnsi="Arial"/>
          <w:i/>
          <w:sz w:val="20"/>
        </w:rPr>
        <w:t>Sycamore Bidco Ltd v Breslin [2012] EWHC 3443 (Ch) </w:t>
      </w:r>
      <w:r>
        <w:rPr>
          <w:sz w:val="20"/>
        </w:rPr>
        <w:t>at [203]–[209] and </w:t>
      </w:r>
      <w:r>
        <w:rPr>
          <w:rFonts w:ascii="Arial" w:hAnsi="Arial"/>
          <w:i/>
          <w:sz w:val="20"/>
        </w:rPr>
        <w:t>Idemitsu Kosan Co Ltd v Sumitomo Corp [2016] EWHC 1909 (Comm)</w:t>
      </w:r>
      <w:r>
        <w:rPr>
          <w:sz w:val="20"/>
        </w:rPr>
        <w:t>, declining to follow the unreported decision in </w:t>
      </w:r>
      <w:r>
        <w:rPr>
          <w:rFonts w:ascii="Arial" w:hAnsi="Arial"/>
          <w:i/>
          <w:sz w:val="20"/>
        </w:rPr>
        <w:t>Invertec Ltd v De Mol Holding BV [2009] EWHC 2471 (Ch)</w:t>
      </w:r>
      <w:r>
        <w:rPr>
          <w:sz w:val="20"/>
        </w:rPr>
        <w:t>). Merely offering for signature a document containing the warranty is not</w:t>
      </w:r>
      <w:r>
        <w:rPr>
          <w:spacing w:val="61"/>
          <w:sz w:val="20"/>
        </w:rPr>
        <w:t> </w:t>
      </w:r>
      <w:r>
        <w:rPr>
          <w:sz w:val="20"/>
        </w:rPr>
        <w:t>a</w:t>
      </w:r>
      <w:r>
        <w:rPr>
          <w:spacing w:val="61"/>
          <w:sz w:val="20"/>
        </w:rPr>
        <w:t> </w:t>
      </w:r>
      <w:r>
        <w:rPr>
          <w:sz w:val="20"/>
        </w:rPr>
        <w:t>representation</w:t>
      </w:r>
      <w:r>
        <w:rPr>
          <w:spacing w:val="61"/>
          <w:sz w:val="20"/>
        </w:rPr>
        <w:t> </w:t>
      </w:r>
      <w:r>
        <w:rPr>
          <w:sz w:val="20"/>
        </w:rPr>
        <w:t>of</w:t>
      </w:r>
      <w:r>
        <w:rPr>
          <w:spacing w:val="61"/>
          <w:sz w:val="20"/>
        </w:rPr>
        <w:t> </w:t>
      </w:r>
      <w:r>
        <w:rPr>
          <w:sz w:val="20"/>
        </w:rPr>
        <w:t>the</w:t>
      </w:r>
      <w:r>
        <w:rPr>
          <w:spacing w:val="61"/>
          <w:sz w:val="20"/>
        </w:rPr>
        <w:t> </w:t>
      </w:r>
      <w:r>
        <w:rPr>
          <w:sz w:val="20"/>
        </w:rPr>
        <w:t>truth</w:t>
      </w:r>
      <w:r>
        <w:rPr>
          <w:spacing w:val="61"/>
          <w:sz w:val="20"/>
        </w:rPr>
        <w:t> </w:t>
      </w:r>
      <w:r>
        <w:rPr>
          <w:sz w:val="20"/>
        </w:rPr>
        <w:t>of</w:t>
      </w:r>
      <w:r>
        <w:rPr>
          <w:spacing w:val="61"/>
          <w:sz w:val="20"/>
        </w:rPr>
        <w:t> </w:t>
      </w:r>
      <w:r>
        <w:rPr>
          <w:sz w:val="20"/>
        </w:rPr>
        <w:t>the</w:t>
      </w:r>
      <w:r>
        <w:rPr>
          <w:spacing w:val="61"/>
          <w:sz w:val="20"/>
        </w:rPr>
        <w:t> </w:t>
      </w:r>
      <w:r>
        <w:rPr>
          <w:sz w:val="20"/>
        </w:rPr>
        <w:t>facts</w:t>
      </w:r>
      <w:r>
        <w:rPr>
          <w:spacing w:val="61"/>
          <w:sz w:val="20"/>
        </w:rPr>
        <w:t> </w:t>
      </w:r>
      <w:r>
        <w:rPr>
          <w:sz w:val="20"/>
        </w:rPr>
        <w:t>warranted:</w:t>
      </w:r>
      <w:r>
        <w:rPr>
          <w:spacing w:val="61"/>
          <w:sz w:val="20"/>
        </w:rPr>
        <w:t> </w:t>
      </w:r>
      <w:r>
        <w:rPr>
          <w:rFonts w:ascii="Arial" w:hAnsi="Arial"/>
          <w:i/>
          <w:sz w:val="20"/>
        </w:rPr>
        <w:t>[2016]</w:t>
      </w:r>
      <w:r>
        <w:rPr>
          <w:rFonts w:ascii="Arial" w:hAnsi="Arial"/>
          <w:i/>
          <w:spacing w:val="61"/>
          <w:sz w:val="20"/>
        </w:rPr>
        <w:t> </w:t>
      </w:r>
      <w:r>
        <w:rPr>
          <w:rFonts w:ascii="Arial" w:hAnsi="Arial"/>
          <w:i/>
          <w:sz w:val="20"/>
        </w:rPr>
        <w:t>EWHC</w:t>
      </w:r>
      <w:r>
        <w:rPr>
          <w:rFonts w:ascii="Arial" w:hAnsi="Arial"/>
          <w:i/>
          <w:spacing w:val="61"/>
          <w:sz w:val="20"/>
        </w:rPr>
        <w:t> </w:t>
      </w:r>
      <w:r>
        <w:rPr>
          <w:rFonts w:ascii="Arial" w:hAnsi="Arial"/>
          <w:i/>
          <w:sz w:val="20"/>
        </w:rPr>
        <w:t>1909</w:t>
      </w:r>
      <w:r>
        <w:rPr>
          <w:rFonts w:ascii="Arial" w:hAnsi="Arial"/>
          <w:i/>
          <w:spacing w:val="61"/>
          <w:sz w:val="20"/>
        </w:rPr>
        <w:t> </w:t>
      </w:r>
      <w:r>
        <w:rPr>
          <w:rFonts w:ascii="Arial" w:hAnsi="Arial"/>
          <w:i/>
          <w:sz w:val="20"/>
        </w:rPr>
        <w:t>(Comm)</w:t>
      </w:r>
      <w:r>
        <w:rPr>
          <w:rFonts w:ascii="Arial" w:hAnsi="Arial"/>
          <w:i/>
          <w:spacing w:val="61"/>
          <w:sz w:val="20"/>
        </w:rPr>
        <w:t> </w:t>
      </w:r>
      <w:r>
        <w:rPr>
          <w:spacing w:val="-5"/>
          <w:sz w:val="20"/>
        </w:rPr>
        <w:t>at</w:t>
      </w:r>
    </w:p>
    <w:p>
      <w:pPr>
        <w:spacing w:line="235" w:lineRule="auto" w:before="0"/>
        <w:ind w:left="165" w:right="167" w:firstLine="0"/>
        <w:jc w:val="both"/>
        <w:rPr>
          <w:sz w:val="20"/>
        </w:rPr>
      </w:pPr>
      <w:r>
        <w:rPr>
          <w:sz w:val="20"/>
        </w:rPr>
        <w:t>[28]–[30]. If there was a previous representation, followed by a warranty, the fact of the</w:t>
      </w:r>
      <w:r>
        <w:rPr>
          <w:spacing w:val="40"/>
          <w:sz w:val="20"/>
        </w:rPr>
        <w:t> </w:t>
      </w:r>
      <w:r>
        <w:rPr>
          <w:sz w:val="20"/>
        </w:rPr>
        <w:t>warranty does tend to imply that the party giving the warranty has reasonable grounds for believing the facts warranted: </w:t>
      </w:r>
      <w:r>
        <w:rPr>
          <w:rFonts w:ascii="Arial" w:hAnsi="Arial"/>
          <w:i/>
          <w:sz w:val="20"/>
        </w:rPr>
        <w:t>Avrora Fine Arts Investment Ltd v Christie, Manson &amp; Woods Ltd [2012] EWHC 2198 (Ch) </w:t>
      </w:r>
      <w:r>
        <w:rPr>
          <w:sz w:val="20"/>
        </w:rPr>
        <w:t>at [133].</w:t>
      </w:r>
    </w:p>
    <w:p>
      <w:pPr>
        <w:spacing w:after="0" w:line="235" w:lineRule="auto"/>
        <w:jc w:val="both"/>
        <w:rPr>
          <w:sz w:val="20"/>
        </w:rPr>
        <w:sectPr>
          <w:type w:val="continuous"/>
          <w:pgSz w:w="11900" w:h="16840"/>
          <w:pgMar w:header="971" w:footer="0" w:top="1160" w:bottom="280" w:left="1275" w:right="1275"/>
          <w:cols w:num="2" w:equalWidth="0">
            <w:col w:w="400" w:space="141"/>
            <w:col w:w="8809"/>
          </w:cols>
        </w:sectPr>
      </w:pPr>
    </w:p>
    <w:p>
      <w:pPr>
        <w:pStyle w:val="BodyText"/>
      </w:pPr>
    </w:p>
    <w:p>
      <w:pPr>
        <w:tabs>
          <w:tab w:pos="705" w:val="left" w:leader="none"/>
        </w:tabs>
        <w:spacing w:before="0"/>
        <w:ind w:left="165" w:right="0" w:firstLine="0"/>
        <w:jc w:val="left"/>
        <w:rPr>
          <w:sz w:val="20"/>
        </w:rPr>
      </w:pPr>
      <w:bookmarkStart w:name="_bookmark151" w:id="153"/>
      <w:bookmarkEnd w:id="153"/>
      <w:r>
        <w:rPr/>
      </w:r>
      <w:hyperlink w:history="true" w:anchor="_bookmark47">
        <w:r>
          <w:rPr>
            <w:color w:val="005DA1"/>
            <w:spacing w:val="-5"/>
            <w:position w:val="5"/>
            <w:sz w:val="14"/>
            <w:u w:val="single" w:color="005DA1"/>
          </w:rPr>
          <w:t>35</w:t>
        </w:r>
      </w:hyperlink>
      <w:r>
        <w:rPr>
          <w:spacing w:val="-5"/>
          <w:position w:val="5"/>
          <w:sz w:val="14"/>
        </w:rPr>
        <w:t>.</w:t>
      </w:r>
      <w:r>
        <w:rPr>
          <w:position w:val="5"/>
          <w:sz w:val="14"/>
        </w:rPr>
        <w:tab/>
      </w:r>
      <w:r>
        <w:rPr>
          <w:rFonts w:ascii="Arial"/>
          <w:i/>
          <w:sz w:val="20"/>
        </w:rPr>
        <w:t>Bisset</w:t>
      </w:r>
      <w:r>
        <w:rPr>
          <w:rFonts w:ascii="Arial"/>
          <w:i/>
          <w:spacing w:val="-1"/>
          <w:sz w:val="20"/>
        </w:rPr>
        <w:t> </w:t>
      </w:r>
      <w:r>
        <w:rPr>
          <w:rFonts w:ascii="Arial"/>
          <w:i/>
          <w:sz w:val="20"/>
        </w:rPr>
        <w:t>v Wilkinson [1927] A.C. 177</w:t>
      </w:r>
      <w:r>
        <w:rPr>
          <w:sz w:val="20"/>
        </w:rPr>
        <w:t>; </w:t>
      </w:r>
      <w:r>
        <w:rPr>
          <w:rFonts w:ascii="Arial"/>
          <w:i/>
          <w:sz w:val="20"/>
        </w:rPr>
        <w:t>Hummingbird Motors Ltd v Hobbs [1986] R.T.R. </w:t>
      </w:r>
      <w:r>
        <w:rPr>
          <w:rFonts w:ascii="Arial"/>
          <w:i/>
          <w:spacing w:val="-4"/>
          <w:sz w:val="20"/>
        </w:rPr>
        <w:t>276</w:t>
      </w:r>
      <w:r>
        <w:rPr>
          <w:spacing w:val="-4"/>
          <w:sz w:val="20"/>
        </w:rPr>
        <w:t>.</w:t>
      </w:r>
    </w:p>
    <w:p>
      <w:pPr>
        <w:pStyle w:val="BodyText"/>
        <w:spacing w:before="8"/>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1952">
            <wp:simplePos x="0" y="0"/>
            <wp:positionH relativeFrom="page">
              <wp:posOffset>1257846</wp:posOffset>
            </wp:positionH>
            <wp:positionV relativeFrom="paragraph">
              <wp:posOffset>160767</wp:posOffset>
            </wp:positionV>
            <wp:extent cx="107988" cy="107988"/>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52" w:id="154"/>
      <w:bookmarkEnd w:id="154"/>
      <w:r>
        <w:rPr/>
      </w:r>
      <w:hyperlink w:history="true" w:anchor="_bookmark48">
        <w:r>
          <w:rPr>
            <w:color w:val="005DA1"/>
            <w:spacing w:val="-5"/>
            <w:sz w:val="14"/>
            <w:u w:val="single" w:color="005DA1"/>
          </w:rPr>
          <w:t>36</w:t>
        </w:r>
      </w:hyperlink>
      <w:r>
        <w:rPr>
          <w:spacing w:val="-5"/>
          <w:sz w:val="14"/>
        </w:rPr>
        <w:t>.</w:t>
      </w:r>
    </w:p>
    <w:p>
      <w:pPr>
        <w:pStyle w:val="BodyText"/>
        <w:spacing w:line="235" w:lineRule="auto" w:before="213"/>
        <w:ind w:left="165" w:right="167" w:firstLine="170"/>
        <w:jc w:val="both"/>
      </w:pPr>
      <w:r>
        <w:rPr/>
        <w:br w:type="column"/>
      </w:r>
      <w:r>
        <w:rPr>
          <w:rFonts w:ascii="Arial"/>
          <w:i/>
        </w:rPr>
        <w:t>[1998] Q.B. 587</w:t>
      </w:r>
      <w:r>
        <w:rPr/>
        <w:t>. Simon Brown and Peter Gibson L.JJ. expressed the view that under the Marine Insurance Act 1906 s.20(5), which states that a representation as to a matter of expectation</w:t>
      </w:r>
      <w:r>
        <w:rPr>
          <w:spacing w:val="5"/>
        </w:rPr>
        <w:t> </w:t>
      </w:r>
      <w:r>
        <w:rPr/>
        <w:t>or</w:t>
      </w:r>
      <w:r>
        <w:rPr>
          <w:spacing w:val="7"/>
        </w:rPr>
        <w:t> </w:t>
      </w:r>
      <w:r>
        <w:rPr/>
        <w:t>belief</w:t>
      </w:r>
      <w:r>
        <w:rPr>
          <w:spacing w:val="7"/>
        </w:rPr>
        <w:t> </w:t>
      </w:r>
      <w:r>
        <w:rPr/>
        <w:t>is</w:t>
      </w:r>
      <w:r>
        <w:rPr>
          <w:spacing w:val="7"/>
        </w:rPr>
        <w:t> </w:t>
      </w:r>
      <w:r>
        <w:rPr/>
        <w:t>true</w:t>
      </w:r>
      <w:r>
        <w:rPr>
          <w:spacing w:val="7"/>
        </w:rPr>
        <w:t> </w:t>
      </w:r>
      <w:r>
        <w:rPr/>
        <w:t>if</w:t>
      </w:r>
      <w:r>
        <w:rPr>
          <w:spacing w:val="7"/>
        </w:rPr>
        <w:t> </w:t>
      </w:r>
      <w:r>
        <w:rPr/>
        <w:t>it</w:t>
      </w:r>
      <w:r>
        <w:rPr>
          <w:spacing w:val="7"/>
        </w:rPr>
        <w:t> </w:t>
      </w:r>
      <w:r>
        <w:rPr/>
        <w:t>be</w:t>
      </w:r>
      <w:r>
        <w:rPr>
          <w:spacing w:val="7"/>
        </w:rPr>
        <w:t> </w:t>
      </w:r>
      <w:r>
        <w:rPr/>
        <w:t>made</w:t>
      </w:r>
      <w:r>
        <w:rPr>
          <w:spacing w:val="7"/>
        </w:rPr>
        <w:t> </w:t>
      </w:r>
      <w:r>
        <w:rPr/>
        <w:t>in</w:t>
      </w:r>
      <w:r>
        <w:rPr>
          <w:spacing w:val="7"/>
        </w:rPr>
        <w:t> </w:t>
      </w:r>
      <w:r>
        <w:rPr/>
        <w:t>good</w:t>
      </w:r>
      <w:r>
        <w:rPr>
          <w:spacing w:val="7"/>
        </w:rPr>
        <w:t> </w:t>
      </w:r>
      <w:r>
        <w:rPr/>
        <w:t>faith,</w:t>
      </w:r>
      <w:r>
        <w:rPr>
          <w:spacing w:val="7"/>
        </w:rPr>
        <w:t> </w:t>
      </w:r>
      <w:r>
        <w:rPr/>
        <w:t>there</w:t>
      </w:r>
      <w:r>
        <w:rPr>
          <w:spacing w:val="7"/>
        </w:rPr>
        <w:t> </w:t>
      </w:r>
      <w:r>
        <w:rPr/>
        <w:t>is</w:t>
      </w:r>
      <w:r>
        <w:rPr>
          <w:spacing w:val="7"/>
        </w:rPr>
        <w:t> </w:t>
      </w:r>
      <w:r>
        <w:rPr/>
        <w:t>no</w:t>
      </w:r>
      <w:r>
        <w:rPr>
          <w:spacing w:val="7"/>
        </w:rPr>
        <w:t> </w:t>
      </w:r>
      <w:r>
        <w:rPr/>
        <w:t>room</w:t>
      </w:r>
      <w:r>
        <w:rPr>
          <w:spacing w:val="7"/>
        </w:rPr>
        <w:t> </w:t>
      </w:r>
      <w:r>
        <w:rPr/>
        <w:t>for</w:t>
      </w:r>
      <w:r>
        <w:rPr>
          <w:spacing w:val="7"/>
        </w:rPr>
        <w:t> </w:t>
      </w:r>
      <w:r>
        <w:rPr/>
        <w:t>such</w:t>
      </w:r>
      <w:r>
        <w:rPr>
          <w:spacing w:val="7"/>
        </w:rPr>
        <w:t> </w:t>
      </w:r>
      <w:r>
        <w:rPr/>
        <w:t>an</w:t>
      </w:r>
      <w:r>
        <w:rPr>
          <w:spacing w:val="7"/>
        </w:rPr>
        <w:t> </w:t>
      </w:r>
      <w:r>
        <w:rPr>
          <w:spacing w:val="-2"/>
        </w:rPr>
        <w:t>implication,</w:t>
      </w:r>
    </w:p>
    <w:p>
      <w:pPr>
        <w:pStyle w:val="BodyText"/>
        <w:spacing w:after="0" w:line="235" w:lineRule="auto"/>
        <w:jc w:val="both"/>
        <w:sectPr>
          <w:type w:val="continuous"/>
          <w:pgSz w:w="11900" w:h="16840"/>
          <w:pgMar w:header="971" w:footer="0" w:top="1160" w:bottom="280" w:left="1275" w:right="1275"/>
          <w:cols w:num="2" w:equalWidth="0">
            <w:col w:w="400" w:space="141"/>
            <w:col w:w="8809"/>
          </w:cols>
        </w:sectPr>
      </w:pPr>
    </w:p>
    <w:p>
      <w:pPr>
        <w:pStyle w:val="BodyText"/>
        <w:spacing w:before="24"/>
      </w:pPr>
    </w:p>
    <w:p>
      <w:pPr>
        <w:spacing w:line="235" w:lineRule="auto" w:before="1"/>
        <w:ind w:left="705" w:right="167" w:firstLine="0"/>
        <w:jc w:val="both"/>
        <w:rPr>
          <w:sz w:val="20"/>
        </w:rPr>
      </w:pPr>
      <w:r>
        <w:rPr>
          <w:sz w:val="20"/>
        </w:rPr>
        <w:t>doubting a dictum to the contrary by Steyn J. in </w:t>
      </w:r>
      <w:r>
        <w:rPr>
          <w:rFonts w:ascii="Arial" w:hAnsi="Arial"/>
          <w:i/>
          <w:sz w:val="20"/>
        </w:rPr>
        <w:t>Highlands Insurance Co v </w:t>
      </w:r>
      <w:r>
        <w:rPr>
          <w:rFonts w:ascii="Arial" w:hAnsi="Arial"/>
          <w:i/>
          <w:sz w:val="20"/>
        </w:rPr>
        <w:t>Continental</w:t>
      </w:r>
      <w:r>
        <w:rPr>
          <w:rFonts w:ascii="Arial" w:hAnsi="Arial"/>
          <w:i/>
          <w:spacing w:val="40"/>
          <w:sz w:val="20"/>
        </w:rPr>
        <w:t> </w:t>
      </w:r>
      <w:r>
        <w:rPr>
          <w:rFonts w:ascii="Arial" w:hAnsi="Arial"/>
          <w:i/>
          <w:sz w:val="20"/>
        </w:rPr>
        <w:t>Insurance Co [1987] 1 Lloyd’s Rep. 109, 112–113</w:t>
      </w:r>
      <w:r>
        <w:rPr>
          <w:sz w:val="20"/>
        </w:rPr>
        <w:t>. Sir Iain Glidewell preferred to leave the matter</w:t>
      </w:r>
      <w:r>
        <w:rPr>
          <w:spacing w:val="-2"/>
          <w:sz w:val="20"/>
        </w:rPr>
        <w:t> </w:t>
      </w:r>
      <w:r>
        <w:rPr>
          <w:sz w:val="20"/>
        </w:rPr>
        <w:t>open.</w:t>
      </w:r>
      <w:r>
        <w:rPr>
          <w:spacing w:val="-2"/>
          <w:sz w:val="20"/>
        </w:rPr>
        <w:t> </w:t>
      </w:r>
      <w:r>
        <w:rPr>
          <w:sz w:val="20"/>
        </w:rPr>
        <w:t>But</w:t>
      </w:r>
      <w:r>
        <w:rPr>
          <w:spacing w:val="-2"/>
          <w:sz w:val="20"/>
        </w:rPr>
        <w:t> </w:t>
      </w:r>
      <w:r>
        <w:rPr>
          <w:sz w:val="20"/>
        </w:rPr>
        <w:t>see</w:t>
      </w:r>
      <w:r>
        <w:rPr>
          <w:spacing w:val="-2"/>
          <w:sz w:val="20"/>
        </w:rPr>
        <w:t> </w:t>
      </w:r>
      <w:r>
        <w:rPr>
          <w:sz w:val="20"/>
        </w:rPr>
        <w:t>Bennett</w:t>
      </w:r>
      <w:r>
        <w:rPr>
          <w:spacing w:val="-2"/>
          <w:sz w:val="20"/>
        </w:rPr>
        <w:t> </w:t>
      </w:r>
      <w:r>
        <w:rPr>
          <w:sz w:val="20"/>
        </w:rPr>
        <w:t>(1998)</w:t>
      </w:r>
      <w:r>
        <w:rPr>
          <w:spacing w:val="-2"/>
          <w:sz w:val="20"/>
        </w:rPr>
        <w:t> </w:t>
      </w:r>
      <w:r>
        <w:rPr>
          <w:sz w:val="20"/>
        </w:rPr>
        <w:t>61</w:t>
      </w:r>
      <w:r>
        <w:rPr>
          <w:spacing w:val="-2"/>
          <w:sz w:val="20"/>
        </w:rPr>
        <w:t> </w:t>
      </w:r>
      <w:r>
        <w:rPr>
          <w:sz w:val="20"/>
        </w:rPr>
        <w:t>M.L.R.</w:t>
      </w:r>
      <w:r>
        <w:rPr>
          <w:spacing w:val="-2"/>
          <w:sz w:val="20"/>
        </w:rPr>
        <w:t> </w:t>
      </w:r>
      <w:r>
        <w:rPr>
          <w:sz w:val="20"/>
        </w:rPr>
        <w:t>886;</w:t>
      </w:r>
      <w:r>
        <w:rPr>
          <w:spacing w:val="-2"/>
          <w:sz w:val="20"/>
        </w:rPr>
        <w:t> </w:t>
      </w:r>
      <w:r>
        <w:rPr>
          <w:sz w:val="20"/>
        </w:rPr>
        <w:t>Cartwright,</w:t>
      </w:r>
      <w:r>
        <w:rPr>
          <w:spacing w:val="-3"/>
          <w:sz w:val="20"/>
        </w:rPr>
        <w:t> </w:t>
      </w:r>
      <w:r>
        <w:rPr>
          <w:rFonts w:ascii="Arial" w:hAnsi="Arial"/>
          <w:i/>
          <w:sz w:val="20"/>
        </w:rPr>
        <w:t>Misrepresentation,</w:t>
      </w:r>
      <w:r>
        <w:rPr>
          <w:rFonts w:ascii="Arial" w:hAnsi="Arial"/>
          <w:i/>
          <w:spacing w:val="-2"/>
          <w:sz w:val="20"/>
        </w:rPr>
        <w:t> </w:t>
      </w:r>
      <w:r>
        <w:rPr>
          <w:rFonts w:ascii="Arial" w:hAnsi="Arial"/>
          <w:i/>
          <w:sz w:val="20"/>
        </w:rPr>
        <w:t>Mistake</w:t>
      </w:r>
      <w:r>
        <w:rPr>
          <w:rFonts w:ascii="Arial" w:hAnsi="Arial"/>
          <w:i/>
          <w:spacing w:val="-2"/>
          <w:sz w:val="20"/>
        </w:rPr>
        <w:t> </w:t>
      </w:r>
      <w:r>
        <w:rPr>
          <w:rFonts w:ascii="Arial" w:hAnsi="Arial"/>
          <w:i/>
          <w:sz w:val="20"/>
        </w:rPr>
        <w:t>and Non-disclosure</w:t>
      </w:r>
      <w:r>
        <w:rPr>
          <w:sz w:val="20"/>
        </w:rPr>
        <w:t>, 4th edn (2016), para.3-16. See further below, paras 7-012 and 42-038. Section 20 will be repealed when the Insurance Act 2015 comes into force (see below, para.7-159): </w:t>
      </w:r>
      <w:r>
        <w:rPr>
          <w:spacing w:val="-2"/>
          <w:sz w:val="20"/>
        </w:rPr>
        <w:t>s.21(2).</w:t>
      </w:r>
    </w:p>
    <w:p>
      <w:pPr>
        <w:pStyle w:val="BodyText"/>
        <w:spacing w:before="7"/>
      </w:pPr>
    </w:p>
    <w:p>
      <w:pPr>
        <w:tabs>
          <w:tab w:pos="705" w:val="left" w:leader="none"/>
        </w:tabs>
        <w:spacing w:line="235" w:lineRule="auto" w:before="0"/>
        <w:ind w:left="705" w:right="167" w:hanging="541"/>
        <w:jc w:val="left"/>
        <w:rPr>
          <w:sz w:val="20"/>
        </w:rPr>
      </w:pPr>
      <w:bookmarkStart w:name="_bookmark153" w:id="155"/>
      <w:bookmarkEnd w:id="155"/>
      <w:r>
        <w:rPr/>
      </w:r>
      <w:hyperlink w:history="true" w:anchor="_bookmark49">
        <w:r>
          <w:rPr>
            <w:color w:val="005DA1"/>
            <w:spacing w:val="-4"/>
            <w:position w:val="5"/>
            <w:sz w:val="14"/>
            <w:u w:val="single" w:color="005DA1"/>
          </w:rPr>
          <w:t>37</w:t>
        </w:r>
      </w:hyperlink>
      <w:r>
        <w:rPr>
          <w:spacing w:val="-4"/>
          <w:position w:val="5"/>
          <w:sz w:val="14"/>
        </w:rPr>
        <w:t>.</w:t>
      </w:r>
      <w:r>
        <w:rPr>
          <w:position w:val="5"/>
          <w:sz w:val="14"/>
        </w:rPr>
        <w:tab/>
      </w:r>
      <w:r>
        <w:rPr>
          <w:rFonts w:ascii="Arial"/>
          <w:i/>
          <w:sz w:val="20"/>
        </w:rPr>
        <w:t>Kyle</w:t>
      </w:r>
      <w:r>
        <w:rPr>
          <w:rFonts w:ascii="Arial"/>
          <w:i/>
          <w:spacing w:val="80"/>
          <w:sz w:val="20"/>
        </w:rPr>
        <w:t> </w:t>
      </w:r>
      <w:r>
        <w:rPr>
          <w:rFonts w:ascii="Arial"/>
          <w:i/>
          <w:sz w:val="20"/>
        </w:rPr>
        <w:t>Bay</w:t>
      </w:r>
      <w:r>
        <w:rPr>
          <w:rFonts w:ascii="Arial"/>
          <w:i/>
          <w:spacing w:val="80"/>
          <w:sz w:val="20"/>
        </w:rPr>
        <w:t> </w:t>
      </w:r>
      <w:r>
        <w:rPr>
          <w:rFonts w:ascii="Arial"/>
          <w:i/>
          <w:sz w:val="20"/>
        </w:rPr>
        <w:t>Ltd</w:t>
      </w:r>
      <w:r>
        <w:rPr>
          <w:rFonts w:ascii="Arial"/>
          <w:i/>
          <w:spacing w:val="80"/>
          <w:sz w:val="20"/>
        </w:rPr>
        <w:t> </w:t>
      </w:r>
      <w:r>
        <w:rPr>
          <w:rFonts w:ascii="Arial"/>
          <w:i/>
          <w:sz w:val="20"/>
        </w:rPr>
        <w:t>(trading</w:t>
      </w:r>
      <w:r>
        <w:rPr>
          <w:rFonts w:ascii="Arial"/>
          <w:i/>
          <w:spacing w:val="80"/>
          <w:sz w:val="20"/>
        </w:rPr>
        <w:t> </w:t>
      </w:r>
      <w:r>
        <w:rPr>
          <w:rFonts w:ascii="Arial"/>
          <w:i/>
          <w:sz w:val="20"/>
        </w:rPr>
        <w:t>as</w:t>
      </w:r>
      <w:r>
        <w:rPr>
          <w:rFonts w:ascii="Arial"/>
          <w:i/>
          <w:spacing w:val="80"/>
          <w:sz w:val="20"/>
        </w:rPr>
        <w:t> </w:t>
      </w:r>
      <w:r>
        <w:rPr>
          <w:rFonts w:ascii="Arial"/>
          <w:i/>
          <w:sz w:val="20"/>
        </w:rPr>
        <w:t>Astons</w:t>
      </w:r>
      <w:r>
        <w:rPr>
          <w:rFonts w:ascii="Arial"/>
          <w:i/>
          <w:spacing w:val="80"/>
          <w:sz w:val="20"/>
        </w:rPr>
        <w:t> </w:t>
      </w:r>
      <w:r>
        <w:rPr>
          <w:rFonts w:ascii="Arial"/>
          <w:i/>
          <w:sz w:val="20"/>
        </w:rPr>
        <w:t>Nightclub)</w:t>
      </w:r>
      <w:r>
        <w:rPr>
          <w:rFonts w:ascii="Arial"/>
          <w:i/>
          <w:spacing w:val="80"/>
          <w:sz w:val="20"/>
        </w:rPr>
        <w:t> </w:t>
      </w:r>
      <w:r>
        <w:rPr>
          <w:rFonts w:ascii="Arial"/>
          <w:i/>
          <w:sz w:val="20"/>
        </w:rPr>
        <w:t>v</w:t>
      </w:r>
      <w:r>
        <w:rPr>
          <w:rFonts w:ascii="Arial"/>
          <w:i/>
          <w:spacing w:val="80"/>
          <w:sz w:val="20"/>
        </w:rPr>
        <w:t> </w:t>
      </w:r>
      <w:r>
        <w:rPr>
          <w:rFonts w:ascii="Arial"/>
          <w:i/>
          <w:sz w:val="20"/>
        </w:rPr>
        <w:t>Underwriters</w:t>
      </w:r>
      <w:r>
        <w:rPr>
          <w:rFonts w:ascii="Arial"/>
          <w:i/>
          <w:spacing w:val="80"/>
          <w:sz w:val="20"/>
        </w:rPr>
        <w:t> </w:t>
      </w:r>
      <w:r>
        <w:rPr>
          <w:rFonts w:ascii="Arial"/>
          <w:i/>
          <w:sz w:val="20"/>
        </w:rPr>
        <w:t>subscribing</w:t>
      </w:r>
      <w:r>
        <w:rPr>
          <w:rFonts w:ascii="Arial"/>
          <w:i/>
          <w:spacing w:val="80"/>
          <w:sz w:val="20"/>
        </w:rPr>
        <w:t> </w:t>
      </w:r>
      <w:r>
        <w:rPr>
          <w:rFonts w:ascii="Arial"/>
          <w:i/>
          <w:sz w:val="20"/>
        </w:rPr>
        <w:t>under</w:t>
      </w:r>
      <w:r>
        <w:rPr>
          <w:rFonts w:ascii="Arial"/>
          <w:i/>
          <w:spacing w:val="80"/>
          <w:sz w:val="20"/>
        </w:rPr>
        <w:t> </w:t>
      </w:r>
      <w:r>
        <w:rPr>
          <w:rFonts w:ascii="Arial"/>
          <w:i/>
          <w:sz w:val="20"/>
        </w:rPr>
        <w:t>policy</w:t>
      </w:r>
      <w:r>
        <w:rPr>
          <w:rFonts w:ascii="Arial"/>
          <w:i/>
          <w:spacing w:val="80"/>
          <w:sz w:val="20"/>
        </w:rPr>
        <w:t> </w:t>
      </w:r>
      <w:r>
        <w:rPr>
          <w:rFonts w:ascii="Arial"/>
          <w:i/>
          <w:sz w:val="20"/>
        </w:rPr>
        <w:t>019057/08/01</w:t>
      </w:r>
      <w:r>
        <w:rPr>
          <w:rFonts w:ascii="Arial"/>
          <w:i/>
          <w:spacing w:val="4"/>
          <w:sz w:val="20"/>
        </w:rPr>
        <w:t> </w:t>
      </w:r>
      <w:r>
        <w:rPr>
          <w:rFonts w:ascii="Arial"/>
          <w:i/>
          <w:sz w:val="20"/>
        </w:rPr>
        <w:t>[2006]</w:t>
      </w:r>
      <w:r>
        <w:rPr>
          <w:rFonts w:ascii="Arial"/>
          <w:i/>
          <w:spacing w:val="5"/>
          <w:sz w:val="20"/>
        </w:rPr>
        <w:t> </w:t>
      </w:r>
      <w:r>
        <w:rPr>
          <w:rFonts w:ascii="Arial"/>
          <w:i/>
          <w:sz w:val="20"/>
        </w:rPr>
        <w:t>EWHC</w:t>
      </w:r>
      <w:r>
        <w:rPr>
          <w:rFonts w:ascii="Arial"/>
          <w:i/>
          <w:spacing w:val="5"/>
          <w:sz w:val="20"/>
        </w:rPr>
        <w:t> </w:t>
      </w:r>
      <w:r>
        <w:rPr>
          <w:rFonts w:ascii="Arial"/>
          <w:i/>
          <w:sz w:val="20"/>
        </w:rPr>
        <w:t>607</w:t>
      </w:r>
      <w:r>
        <w:rPr>
          <w:rFonts w:ascii="Arial"/>
          <w:i/>
          <w:spacing w:val="5"/>
          <w:sz w:val="20"/>
        </w:rPr>
        <w:t> </w:t>
      </w:r>
      <w:r>
        <w:rPr>
          <w:rFonts w:ascii="Arial"/>
          <w:i/>
          <w:sz w:val="20"/>
        </w:rPr>
        <w:t>(Comm),</w:t>
      </w:r>
      <w:r>
        <w:rPr>
          <w:rFonts w:ascii="Arial"/>
          <w:i/>
          <w:spacing w:val="5"/>
          <w:sz w:val="20"/>
        </w:rPr>
        <w:t> </w:t>
      </w:r>
      <w:r>
        <w:rPr>
          <w:rFonts w:ascii="Arial"/>
          <w:i/>
          <w:sz w:val="20"/>
        </w:rPr>
        <w:t>[2006]</w:t>
      </w:r>
      <w:r>
        <w:rPr>
          <w:rFonts w:ascii="Arial"/>
          <w:i/>
          <w:spacing w:val="5"/>
          <w:sz w:val="20"/>
        </w:rPr>
        <w:t> </w:t>
      </w:r>
      <w:r>
        <w:rPr>
          <w:rFonts w:ascii="Arial"/>
          <w:i/>
          <w:sz w:val="20"/>
        </w:rPr>
        <w:t>All</w:t>
      </w:r>
      <w:r>
        <w:rPr>
          <w:rFonts w:ascii="Arial"/>
          <w:i/>
          <w:spacing w:val="5"/>
          <w:sz w:val="20"/>
        </w:rPr>
        <w:t> </w:t>
      </w:r>
      <w:r>
        <w:rPr>
          <w:rFonts w:ascii="Arial"/>
          <w:i/>
          <w:sz w:val="20"/>
        </w:rPr>
        <w:t>E.R.</w:t>
      </w:r>
      <w:r>
        <w:rPr>
          <w:rFonts w:ascii="Arial"/>
          <w:i/>
          <w:spacing w:val="5"/>
          <w:sz w:val="20"/>
        </w:rPr>
        <w:t> </w:t>
      </w:r>
      <w:r>
        <w:rPr>
          <w:rFonts w:ascii="Arial"/>
          <w:i/>
          <w:sz w:val="20"/>
        </w:rPr>
        <w:t>(D)</w:t>
      </w:r>
      <w:r>
        <w:rPr>
          <w:rFonts w:ascii="Arial"/>
          <w:i/>
          <w:spacing w:val="5"/>
          <w:sz w:val="20"/>
        </w:rPr>
        <w:t> </w:t>
      </w:r>
      <w:r>
        <w:rPr>
          <w:rFonts w:ascii="Arial"/>
          <w:i/>
          <w:sz w:val="20"/>
        </w:rPr>
        <w:t>433</w:t>
      </w:r>
      <w:r>
        <w:rPr>
          <w:rFonts w:ascii="Arial"/>
          <w:i/>
          <w:spacing w:val="5"/>
          <w:sz w:val="20"/>
        </w:rPr>
        <w:t> </w:t>
      </w:r>
      <w:r>
        <w:rPr>
          <w:rFonts w:ascii="Arial"/>
          <w:i/>
          <w:sz w:val="20"/>
        </w:rPr>
        <w:t>(Mar)</w:t>
      </w:r>
      <w:r>
        <w:rPr>
          <w:sz w:val="20"/>
        </w:rPr>
        <w:t>,</w:t>
      </w:r>
      <w:r>
        <w:rPr>
          <w:spacing w:val="5"/>
          <w:sz w:val="20"/>
        </w:rPr>
        <w:t> </w:t>
      </w:r>
      <w:r>
        <w:rPr>
          <w:sz w:val="20"/>
        </w:rPr>
        <w:t>Jonathan</w:t>
      </w:r>
      <w:r>
        <w:rPr>
          <w:spacing w:val="5"/>
          <w:sz w:val="20"/>
        </w:rPr>
        <w:t> </w:t>
      </w:r>
      <w:r>
        <w:rPr>
          <w:sz w:val="20"/>
        </w:rPr>
        <w:t>Hirst</w:t>
      </w:r>
      <w:r>
        <w:rPr>
          <w:spacing w:val="5"/>
          <w:sz w:val="20"/>
        </w:rPr>
        <w:t> </w:t>
      </w:r>
      <w:r>
        <w:rPr>
          <w:sz w:val="20"/>
        </w:rPr>
        <w:t>Q.C.</w:t>
      </w:r>
      <w:r>
        <w:rPr>
          <w:spacing w:val="5"/>
          <w:sz w:val="20"/>
        </w:rPr>
        <w:t> </w:t>
      </w:r>
      <w:r>
        <w:rPr>
          <w:spacing w:val="-5"/>
          <w:sz w:val="20"/>
        </w:rPr>
        <w:t>at</w:t>
      </w:r>
    </w:p>
    <w:p>
      <w:pPr>
        <w:spacing w:line="235" w:lineRule="auto" w:before="0"/>
        <w:ind w:left="705" w:right="167" w:firstLine="0"/>
        <w:jc w:val="both"/>
        <w:rPr>
          <w:rFonts w:ascii="Arial" w:hAnsi="Arial"/>
          <w:i/>
          <w:sz w:val="20"/>
        </w:rPr>
      </w:pPr>
      <w:r>
        <w:rPr>
          <w:sz w:val="20"/>
        </w:rPr>
        <w:t>[45]–[47], [52]–[54]. On appeal, this was accepted as the correct approach in principle: </w:t>
      </w:r>
      <w:r>
        <w:rPr>
          <w:rFonts w:ascii="Arial" w:hAnsi="Arial"/>
          <w:i/>
          <w:sz w:val="20"/>
        </w:rPr>
        <w:t>[2007] EWCA Civ 57, [2007] 1 C.L.C. 164 </w:t>
      </w:r>
      <w:r>
        <w:rPr>
          <w:sz w:val="20"/>
        </w:rPr>
        <w:t>at [31]; see above, para.7-006. Likewise, when a party had expressly stated that it was giving no representation as to the accuracy of the information provided, there was no implication that it had no further information suggesting that what was stated might not be correct. The question is what would the reasonable person in the context have inferred was being implicitly represented: </w:t>
      </w:r>
      <w:r>
        <w:rPr>
          <w:rFonts w:ascii="Arial" w:hAnsi="Arial"/>
          <w:i/>
          <w:sz w:val="20"/>
        </w:rPr>
        <w:t>IFE Fund SA v Goldman Sachs </w:t>
      </w:r>
      <w:r>
        <w:rPr>
          <w:rFonts w:ascii="Arial" w:hAnsi="Arial"/>
          <w:i/>
          <w:sz w:val="20"/>
        </w:rPr>
        <w:t>International [2006]</w:t>
      </w:r>
      <w:r>
        <w:rPr>
          <w:rFonts w:ascii="Arial" w:hAnsi="Arial"/>
          <w:i/>
          <w:spacing w:val="6"/>
          <w:sz w:val="20"/>
        </w:rPr>
        <w:t> </w:t>
      </w:r>
      <w:r>
        <w:rPr>
          <w:rFonts w:ascii="Arial" w:hAnsi="Arial"/>
          <w:i/>
          <w:sz w:val="20"/>
        </w:rPr>
        <w:t>EWHC</w:t>
      </w:r>
      <w:r>
        <w:rPr>
          <w:rFonts w:ascii="Arial" w:hAnsi="Arial"/>
          <w:i/>
          <w:spacing w:val="6"/>
          <w:sz w:val="20"/>
        </w:rPr>
        <w:t> </w:t>
      </w:r>
      <w:r>
        <w:rPr>
          <w:rFonts w:ascii="Arial" w:hAnsi="Arial"/>
          <w:i/>
          <w:sz w:val="20"/>
        </w:rPr>
        <w:t>2887</w:t>
      </w:r>
      <w:r>
        <w:rPr>
          <w:rFonts w:ascii="Arial" w:hAnsi="Arial"/>
          <w:i/>
          <w:spacing w:val="6"/>
          <w:sz w:val="20"/>
        </w:rPr>
        <w:t> </w:t>
      </w:r>
      <w:r>
        <w:rPr>
          <w:rFonts w:ascii="Arial" w:hAnsi="Arial"/>
          <w:i/>
          <w:sz w:val="20"/>
        </w:rPr>
        <w:t>(Comm),</w:t>
      </w:r>
      <w:r>
        <w:rPr>
          <w:rFonts w:ascii="Arial" w:hAnsi="Arial"/>
          <w:i/>
          <w:spacing w:val="6"/>
          <w:sz w:val="20"/>
        </w:rPr>
        <w:t> </w:t>
      </w:r>
      <w:r>
        <w:rPr>
          <w:rFonts w:ascii="Arial" w:hAnsi="Arial"/>
          <w:i/>
          <w:sz w:val="20"/>
        </w:rPr>
        <w:t>[2007]</w:t>
      </w:r>
      <w:r>
        <w:rPr>
          <w:rFonts w:ascii="Arial" w:hAnsi="Arial"/>
          <w:i/>
          <w:spacing w:val="6"/>
          <w:sz w:val="20"/>
        </w:rPr>
        <w:t> </w:t>
      </w:r>
      <w:r>
        <w:rPr>
          <w:rFonts w:ascii="Arial" w:hAnsi="Arial"/>
          <w:i/>
          <w:sz w:val="20"/>
        </w:rPr>
        <w:t>1</w:t>
      </w:r>
      <w:r>
        <w:rPr>
          <w:rFonts w:ascii="Arial" w:hAnsi="Arial"/>
          <w:i/>
          <w:spacing w:val="6"/>
          <w:sz w:val="20"/>
        </w:rPr>
        <w:t> </w:t>
      </w:r>
      <w:r>
        <w:rPr>
          <w:rFonts w:ascii="Arial" w:hAnsi="Arial"/>
          <w:i/>
          <w:sz w:val="20"/>
        </w:rPr>
        <w:t>Lloyd’s</w:t>
      </w:r>
      <w:r>
        <w:rPr>
          <w:rFonts w:ascii="Arial" w:hAnsi="Arial"/>
          <w:i/>
          <w:spacing w:val="6"/>
          <w:sz w:val="20"/>
        </w:rPr>
        <w:t> </w:t>
      </w:r>
      <w:r>
        <w:rPr>
          <w:rFonts w:ascii="Arial" w:hAnsi="Arial"/>
          <w:i/>
          <w:sz w:val="20"/>
        </w:rPr>
        <w:t>Rep.</w:t>
      </w:r>
      <w:r>
        <w:rPr>
          <w:rFonts w:ascii="Arial" w:hAnsi="Arial"/>
          <w:i/>
          <w:spacing w:val="6"/>
          <w:sz w:val="20"/>
        </w:rPr>
        <w:t> </w:t>
      </w:r>
      <w:r>
        <w:rPr>
          <w:rFonts w:ascii="Arial" w:hAnsi="Arial"/>
          <w:i/>
          <w:sz w:val="20"/>
        </w:rPr>
        <w:t>264</w:t>
      </w:r>
      <w:r>
        <w:rPr>
          <w:rFonts w:ascii="Arial" w:hAnsi="Arial"/>
          <w:i/>
          <w:spacing w:val="6"/>
          <w:sz w:val="20"/>
        </w:rPr>
        <w:t> </w:t>
      </w:r>
      <w:r>
        <w:rPr>
          <w:rFonts w:ascii="Arial" w:hAnsi="Arial"/>
          <w:i/>
          <w:sz w:val="20"/>
        </w:rPr>
        <w:t>at</w:t>
      </w:r>
      <w:r>
        <w:rPr>
          <w:rFonts w:ascii="Arial" w:hAnsi="Arial"/>
          <w:i/>
          <w:spacing w:val="6"/>
          <w:sz w:val="20"/>
        </w:rPr>
        <w:t> </w:t>
      </w:r>
      <w:r>
        <w:rPr>
          <w:rFonts w:ascii="Arial" w:hAnsi="Arial"/>
          <w:i/>
          <w:sz w:val="20"/>
        </w:rPr>
        <w:t>[50];</w:t>
      </w:r>
      <w:r>
        <w:rPr>
          <w:rFonts w:ascii="Arial" w:hAnsi="Arial"/>
          <w:i/>
          <w:spacing w:val="6"/>
          <w:sz w:val="20"/>
        </w:rPr>
        <w:t> </w:t>
      </w:r>
      <w:r>
        <w:rPr>
          <w:rFonts w:ascii="Arial" w:hAnsi="Arial"/>
          <w:i/>
          <w:sz w:val="20"/>
        </w:rPr>
        <w:t>affirmed</w:t>
      </w:r>
      <w:r>
        <w:rPr>
          <w:rFonts w:ascii="Arial" w:hAnsi="Arial"/>
          <w:i/>
          <w:spacing w:val="6"/>
          <w:sz w:val="20"/>
        </w:rPr>
        <w:t> </w:t>
      </w:r>
      <w:r>
        <w:rPr>
          <w:rFonts w:ascii="Arial" w:hAnsi="Arial"/>
          <w:i/>
          <w:sz w:val="20"/>
        </w:rPr>
        <w:t>[2007]</w:t>
      </w:r>
      <w:r>
        <w:rPr>
          <w:rFonts w:ascii="Arial" w:hAnsi="Arial"/>
          <w:i/>
          <w:spacing w:val="6"/>
          <w:sz w:val="20"/>
        </w:rPr>
        <w:t> </w:t>
      </w:r>
      <w:r>
        <w:rPr>
          <w:rFonts w:ascii="Arial" w:hAnsi="Arial"/>
          <w:i/>
          <w:sz w:val="20"/>
        </w:rPr>
        <w:t>EWCA</w:t>
      </w:r>
      <w:r>
        <w:rPr>
          <w:rFonts w:ascii="Arial" w:hAnsi="Arial"/>
          <w:i/>
          <w:spacing w:val="6"/>
          <w:sz w:val="20"/>
        </w:rPr>
        <w:t> </w:t>
      </w:r>
      <w:r>
        <w:rPr>
          <w:rFonts w:ascii="Arial" w:hAnsi="Arial"/>
          <w:i/>
          <w:sz w:val="20"/>
        </w:rPr>
        <w:t>Civ</w:t>
      </w:r>
      <w:r>
        <w:rPr>
          <w:rFonts w:ascii="Arial" w:hAnsi="Arial"/>
          <w:i/>
          <w:spacing w:val="6"/>
          <w:sz w:val="20"/>
        </w:rPr>
        <w:t> </w:t>
      </w:r>
      <w:r>
        <w:rPr>
          <w:rFonts w:ascii="Arial" w:hAnsi="Arial"/>
          <w:i/>
          <w:spacing w:val="-4"/>
          <w:sz w:val="20"/>
        </w:rPr>
        <w:t>811</w:t>
      </w:r>
      <w:r>
        <w:rPr>
          <w:rFonts w:ascii="Arial" w:hAnsi="Arial"/>
          <w:i/>
          <w:spacing w:val="-4"/>
          <w:sz w:val="20"/>
        </w:rPr>
        <w:t>,</w:t>
      </w:r>
    </w:p>
    <w:p>
      <w:pPr>
        <w:pStyle w:val="BodyText"/>
        <w:spacing w:line="235" w:lineRule="auto"/>
        <w:ind w:left="705" w:right="167"/>
        <w:jc w:val="both"/>
      </w:pPr>
      <w:r>
        <w:rPr>
          <w:rFonts w:ascii="Arial" w:hAnsi="Arial"/>
          <w:i/>
        </w:rPr>
        <w:t>[2007] 2 Lloyd’s Rep. 449</w:t>
      </w:r>
      <w:r>
        <w:rPr/>
        <w:t>. There might be an implied representation that the information </w:t>
      </w:r>
      <w:r>
        <w:rPr/>
        <w:t>was supplied in good faith, but not one that the party knew of nothing that might possibly cast doubt on it: </w:t>
      </w:r>
      <w:r>
        <w:rPr>
          <w:rFonts w:ascii="Arial" w:hAnsi="Arial"/>
          <w:i/>
        </w:rPr>
        <w:t>[2006] EWCA 2887 </w:t>
      </w:r>
      <w:r>
        <w:rPr/>
        <w:t>at [60].</w:t>
      </w:r>
    </w:p>
    <w:p>
      <w:pPr>
        <w:pStyle w:val="BodyText"/>
        <w:spacing w:before="2"/>
      </w:pPr>
    </w:p>
    <w:p>
      <w:pPr>
        <w:tabs>
          <w:tab w:pos="705" w:val="left" w:leader="none"/>
        </w:tabs>
        <w:spacing w:line="227" w:lineRule="exact" w:before="0"/>
        <w:ind w:left="165" w:right="0" w:firstLine="0"/>
        <w:jc w:val="left"/>
        <w:rPr>
          <w:rFonts w:ascii="Arial"/>
          <w:i/>
          <w:sz w:val="20"/>
        </w:rPr>
      </w:pPr>
      <w:bookmarkStart w:name="_bookmark154" w:id="156"/>
      <w:bookmarkEnd w:id="156"/>
      <w:r>
        <w:rPr/>
      </w:r>
      <w:hyperlink w:history="true" w:anchor="_bookmark50">
        <w:r>
          <w:rPr>
            <w:color w:val="005DA1"/>
            <w:spacing w:val="-5"/>
            <w:position w:val="5"/>
            <w:sz w:val="14"/>
            <w:u w:val="single" w:color="005DA1"/>
          </w:rPr>
          <w:t>38</w:t>
        </w:r>
      </w:hyperlink>
      <w:r>
        <w:rPr>
          <w:spacing w:val="-5"/>
          <w:position w:val="5"/>
          <w:sz w:val="14"/>
        </w:rPr>
        <w:t>.</w:t>
      </w:r>
      <w:r>
        <w:rPr>
          <w:position w:val="5"/>
          <w:sz w:val="14"/>
        </w:rPr>
        <w:tab/>
      </w:r>
      <w:r>
        <w:rPr>
          <w:rFonts w:ascii="Arial"/>
          <w:i/>
          <w:sz w:val="20"/>
        </w:rPr>
        <w:t>Springwell</w:t>
      </w:r>
      <w:r>
        <w:rPr>
          <w:rFonts w:ascii="Arial"/>
          <w:i/>
          <w:spacing w:val="12"/>
          <w:sz w:val="20"/>
        </w:rPr>
        <w:t> </w:t>
      </w:r>
      <w:r>
        <w:rPr>
          <w:rFonts w:ascii="Arial"/>
          <w:i/>
          <w:sz w:val="20"/>
        </w:rPr>
        <w:t>Navigation</w:t>
      </w:r>
      <w:r>
        <w:rPr>
          <w:rFonts w:ascii="Arial"/>
          <w:i/>
          <w:spacing w:val="12"/>
          <w:sz w:val="20"/>
        </w:rPr>
        <w:t> </w:t>
      </w:r>
      <w:r>
        <w:rPr>
          <w:rFonts w:ascii="Arial"/>
          <w:i/>
          <w:sz w:val="20"/>
        </w:rPr>
        <w:t>Corp</w:t>
      </w:r>
      <w:r>
        <w:rPr>
          <w:rFonts w:ascii="Arial"/>
          <w:i/>
          <w:spacing w:val="12"/>
          <w:sz w:val="20"/>
        </w:rPr>
        <w:t> </w:t>
      </w:r>
      <w:r>
        <w:rPr>
          <w:rFonts w:ascii="Arial"/>
          <w:i/>
          <w:sz w:val="20"/>
        </w:rPr>
        <w:t>v</w:t>
      </w:r>
      <w:r>
        <w:rPr>
          <w:rFonts w:ascii="Arial"/>
          <w:i/>
          <w:spacing w:val="12"/>
          <w:sz w:val="20"/>
        </w:rPr>
        <w:t> </w:t>
      </w:r>
      <w:r>
        <w:rPr>
          <w:rFonts w:ascii="Arial"/>
          <w:i/>
          <w:sz w:val="20"/>
        </w:rPr>
        <w:t>JP</w:t>
      </w:r>
      <w:r>
        <w:rPr>
          <w:rFonts w:ascii="Arial"/>
          <w:i/>
          <w:spacing w:val="12"/>
          <w:sz w:val="20"/>
        </w:rPr>
        <w:t> </w:t>
      </w:r>
      <w:r>
        <w:rPr>
          <w:rFonts w:ascii="Arial"/>
          <w:i/>
          <w:sz w:val="20"/>
        </w:rPr>
        <w:t>Morgan</w:t>
      </w:r>
      <w:r>
        <w:rPr>
          <w:rFonts w:ascii="Arial"/>
          <w:i/>
          <w:spacing w:val="12"/>
          <w:sz w:val="20"/>
        </w:rPr>
        <w:t> </w:t>
      </w:r>
      <w:r>
        <w:rPr>
          <w:rFonts w:ascii="Arial"/>
          <w:i/>
          <w:sz w:val="20"/>
        </w:rPr>
        <w:t>Chase</w:t>
      </w:r>
      <w:r>
        <w:rPr>
          <w:rFonts w:ascii="Arial"/>
          <w:i/>
          <w:spacing w:val="12"/>
          <w:sz w:val="20"/>
        </w:rPr>
        <w:t> </w:t>
      </w:r>
      <w:r>
        <w:rPr>
          <w:rFonts w:ascii="Arial"/>
          <w:i/>
          <w:sz w:val="20"/>
        </w:rPr>
        <w:t>Bank</w:t>
      </w:r>
      <w:r>
        <w:rPr>
          <w:rFonts w:ascii="Arial"/>
          <w:i/>
          <w:spacing w:val="12"/>
          <w:sz w:val="20"/>
        </w:rPr>
        <w:t> </w:t>
      </w:r>
      <w:r>
        <w:rPr>
          <w:rFonts w:ascii="Arial"/>
          <w:i/>
          <w:sz w:val="20"/>
        </w:rPr>
        <w:t>[2010]</w:t>
      </w:r>
      <w:r>
        <w:rPr>
          <w:rFonts w:ascii="Arial"/>
          <w:i/>
          <w:spacing w:val="12"/>
          <w:sz w:val="20"/>
        </w:rPr>
        <w:t> </w:t>
      </w:r>
      <w:r>
        <w:rPr>
          <w:rFonts w:ascii="Arial"/>
          <w:i/>
          <w:sz w:val="20"/>
        </w:rPr>
        <w:t>EWCA</w:t>
      </w:r>
      <w:r>
        <w:rPr>
          <w:rFonts w:ascii="Arial"/>
          <w:i/>
          <w:spacing w:val="12"/>
          <w:sz w:val="20"/>
        </w:rPr>
        <w:t> </w:t>
      </w:r>
      <w:r>
        <w:rPr>
          <w:rFonts w:ascii="Arial"/>
          <w:i/>
          <w:sz w:val="20"/>
        </w:rPr>
        <w:t>Civ</w:t>
      </w:r>
      <w:r>
        <w:rPr>
          <w:rFonts w:ascii="Arial"/>
          <w:i/>
          <w:spacing w:val="12"/>
          <w:sz w:val="20"/>
        </w:rPr>
        <w:t> </w:t>
      </w:r>
      <w:r>
        <w:rPr>
          <w:rFonts w:ascii="Arial"/>
          <w:i/>
          <w:sz w:val="20"/>
        </w:rPr>
        <w:t>1221,</w:t>
      </w:r>
      <w:r>
        <w:rPr>
          <w:rFonts w:ascii="Arial"/>
          <w:i/>
          <w:spacing w:val="12"/>
          <w:sz w:val="20"/>
        </w:rPr>
        <w:t> </w:t>
      </w:r>
      <w:r>
        <w:rPr>
          <w:rFonts w:ascii="Arial"/>
          <w:i/>
          <w:sz w:val="20"/>
        </w:rPr>
        <w:t>[2010]</w:t>
      </w:r>
      <w:r>
        <w:rPr>
          <w:rFonts w:ascii="Arial"/>
          <w:i/>
          <w:spacing w:val="12"/>
          <w:sz w:val="20"/>
        </w:rPr>
        <w:t> </w:t>
      </w:r>
      <w:r>
        <w:rPr>
          <w:rFonts w:ascii="Arial"/>
          <w:i/>
          <w:sz w:val="20"/>
        </w:rPr>
        <w:t>2</w:t>
      </w:r>
      <w:r>
        <w:rPr>
          <w:rFonts w:ascii="Arial"/>
          <w:i/>
          <w:spacing w:val="12"/>
          <w:sz w:val="20"/>
        </w:rPr>
        <w:t> </w:t>
      </w:r>
      <w:r>
        <w:rPr>
          <w:rFonts w:ascii="Arial"/>
          <w:i/>
          <w:spacing w:val="-2"/>
          <w:sz w:val="20"/>
        </w:rPr>
        <w:t>C.L.C.</w:t>
      </w:r>
    </w:p>
    <w:p>
      <w:pPr>
        <w:spacing w:line="227" w:lineRule="exact" w:before="0"/>
        <w:ind w:left="705" w:right="0" w:firstLine="0"/>
        <w:jc w:val="left"/>
        <w:rPr>
          <w:sz w:val="20"/>
        </w:rPr>
      </w:pPr>
      <w:r>
        <w:rPr>
          <w:rFonts w:ascii="Arial"/>
          <w:i/>
          <w:sz w:val="20"/>
        </w:rPr>
        <w:t>705</w:t>
      </w:r>
      <w:r>
        <w:rPr>
          <w:rFonts w:ascii="Arial"/>
          <w:i/>
          <w:spacing w:val="-1"/>
          <w:sz w:val="20"/>
        </w:rPr>
        <w:t> </w:t>
      </w:r>
      <w:r>
        <w:rPr>
          <w:sz w:val="20"/>
        </w:rPr>
        <w:t>at </w:t>
      </w:r>
      <w:r>
        <w:rPr>
          <w:spacing w:val="-2"/>
          <w:sz w:val="20"/>
        </w:rPr>
        <w:t>[121].</w:t>
      </w:r>
    </w:p>
    <w:p>
      <w:pPr>
        <w:pStyle w:val="BodyText"/>
        <w:spacing w:before="5"/>
      </w:pPr>
    </w:p>
    <w:p>
      <w:pPr>
        <w:tabs>
          <w:tab w:pos="705" w:val="left" w:leader="none"/>
        </w:tabs>
        <w:spacing w:before="0"/>
        <w:ind w:left="165" w:right="0" w:firstLine="0"/>
        <w:jc w:val="left"/>
        <w:rPr>
          <w:sz w:val="20"/>
        </w:rPr>
      </w:pPr>
      <w:bookmarkStart w:name="_bookmark155" w:id="157"/>
      <w:bookmarkEnd w:id="157"/>
      <w:r>
        <w:rPr/>
      </w:r>
      <w:hyperlink w:history="true" w:anchor="_bookmark51">
        <w:r>
          <w:rPr>
            <w:color w:val="005DA1"/>
            <w:spacing w:val="-5"/>
            <w:position w:val="5"/>
            <w:sz w:val="14"/>
            <w:u w:val="single" w:color="005DA1"/>
          </w:rPr>
          <w:t>39</w:t>
        </w:r>
      </w:hyperlink>
      <w:r>
        <w:rPr>
          <w:spacing w:val="-5"/>
          <w:position w:val="5"/>
          <w:sz w:val="14"/>
        </w:rPr>
        <w:t>.</w:t>
      </w:r>
      <w:r>
        <w:rPr>
          <w:position w:val="5"/>
          <w:sz w:val="14"/>
        </w:rPr>
        <w:tab/>
      </w:r>
      <w:r>
        <w:rPr>
          <w:rFonts w:ascii="Arial"/>
          <w:i/>
          <w:sz w:val="20"/>
        </w:rPr>
        <w:t>[1958]</w:t>
      </w:r>
      <w:r>
        <w:rPr>
          <w:rFonts w:ascii="Arial"/>
          <w:i/>
          <w:spacing w:val="-2"/>
          <w:sz w:val="20"/>
        </w:rPr>
        <w:t> </w:t>
      </w:r>
      <w:r>
        <w:rPr>
          <w:rFonts w:ascii="Arial"/>
          <w:i/>
          <w:sz w:val="20"/>
        </w:rPr>
        <w:t>Ch. </w:t>
      </w:r>
      <w:r>
        <w:rPr>
          <w:rFonts w:ascii="Arial"/>
          <w:i/>
          <w:spacing w:val="-4"/>
          <w:sz w:val="20"/>
        </w:rPr>
        <w:t>636</w:t>
      </w:r>
      <w:r>
        <w:rPr>
          <w:spacing w:val="-4"/>
          <w:sz w:val="20"/>
        </w:rPr>
        <w:t>.</w:t>
      </w:r>
    </w:p>
    <w:p>
      <w:pPr>
        <w:pStyle w:val="BodyText"/>
        <w:spacing w:before="9"/>
      </w:pPr>
    </w:p>
    <w:p>
      <w:pPr>
        <w:spacing w:line="235" w:lineRule="auto" w:before="0"/>
        <w:ind w:left="705" w:right="168" w:hanging="541"/>
        <w:jc w:val="both"/>
        <w:rPr>
          <w:sz w:val="20"/>
        </w:rPr>
      </w:pPr>
      <w:bookmarkStart w:name="_bookmark156" w:id="158"/>
      <w:bookmarkEnd w:id="158"/>
      <w:r>
        <w:rPr/>
      </w:r>
      <w:hyperlink w:history="true" w:anchor="_bookmark52">
        <w:r>
          <w:rPr>
            <w:color w:val="005DA1"/>
            <w:position w:val="5"/>
            <w:sz w:val="14"/>
            <w:u w:val="single" w:color="005DA1"/>
          </w:rPr>
          <w:t>40</w:t>
        </w:r>
      </w:hyperlink>
      <w:r>
        <w:rPr>
          <w:position w:val="5"/>
          <w:sz w:val="14"/>
        </w:rPr>
        <w:t>.</w:t>
      </w:r>
      <w:r>
        <w:rPr>
          <w:spacing w:val="80"/>
          <w:position w:val="5"/>
          <w:sz w:val="14"/>
        </w:rPr>
        <w:t>  </w:t>
      </w:r>
      <w:r>
        <w:rPr>
          <w:rFonts w:ascii="Arial"/>
          <w:i/>
          <w:sz w:val="20"/>
        </w:rPr>
        <w:t>New Brunswick and Canada Ry and Land Co v Conybeare (1862) 9 H.L.C. 711</w:t>
      </w:r>
      <w:r>
        <w:rPr>
          <w:sz w:val="20"/>
        </w:rPr>
        <w:t>; </w:t>
      </w:r>
      <w:r>
        <w:rPr>
          <w:rFonts w:ascii="Arial"/>
          <w:i/>
          <w:sz w:val="20"/>
        </w:rPr>
        <w:t>Anderson v Pacific Insurance Co (1872) L.R. 7 C.P. 65</w:t>
      </w:r>
      <w:r>
        <w:rPr>
          <w:sz w:val="20"/>
        </w:rPr>
        <w:t>; </w:t>
      </w:r>
      <w:r>
        <w:rPr>
          <w:rFonts w:ascii="Arial"/>
          <w:i/>
          <w:sz w:val="20"/>
        </w:rPr>
        <w:t>Bisset v Wilkinson [1927] A.C. 177</w:t>
      </w:r>
      <w:r>
        <w:rPr>
          <w:sz w:val="20"/>
        </w:rPr>
        <w:t>; </w:t>
      </w:r>
      <w:r>
        <w:rPr>
          <w:rFonts w:ascii="Arial"/>
          <w:i/>
          <w:sz w:val="20"/>
        </w:rPr>
        <w:t>Sanders v Gall [1952] Current Property Law 343</w:t>
      </w:r>
      <w:r>
        <w:rPr>
          <w:sz w:val="20"/>
        </w:rPr>
        <w:t>.</w:t>
      </w:r>
    </w:p>
    <w:p>
      <w:pPr>
        <w:pStyle w:val="BodyText"/>
        <w:spacing w:before="5"/>
      </w:pPr>
    </w:p>
    <w:p>
      <w:pPr>
        <w:tabs>
          <w:tab w:pos="705" w:val="left" w:leader="none"/>
        </w:tabs>
        <w:spacing w:before="0"/>
        <w:ind w:left="165" w:right="0" w:firstLine="0"/>
        <w:jc w:val="left"/>
        <w:rPr>
          <w:sz w:val="20"/>
        </w:rPr>
      </w:pPr>
      <w:bookmarkStart w:name="_bookmark157" w:id="159"/>
      <w:bookmarkEnd w:id="159"/>
      <w:r>
        <w:rPr/>
      </w:r>
      <w:hyperlink w:history="true" w:anchor="_bookmark53">
        <w:r>
          <w:rPr>
            <w:color w:val="005DA1"/>
            <w:spacing w:val="-5"/>
            <w:position w:val="5"/>
            <w:sz w:val="14"/>
            <w:u w:val="single" w:color="005DA1"/>
          </w:rPr>
          <w:t>41</w:t>
        </w:r>
      </w:hyperlink>
      <w:r>
        <w:rPr>
          <w:spacing w:val="-5"/>
          <w:position w:val="5"/>
          <w:sz w:val="14"/>
        </w:rPr>
        <w:t>.</w:t>
      </w:r>
      <w:r>
        <w:rPr>
          <w:position w:val="5"/>
          <w:sz w:val="14"/>
        </w:rPr>
        <w:tab/>
      </w:r>
      <w:r>
        <w:rPr>
          <w:sz w:val="20"/>
        </w:rPr>
        <w:t>See</w:t>
      </w:r>
      <w:r>
        <w:rPr>
          <w:spacing w:val="-1"/>
          <w:sz w:val="20"/>
        </w:rPr>
        <w:t> </w:t>
      </w:r>
      <w:r>
        <w:rPr>
          <w:rFonts w:ascii="Arial"/>
          <w:i/>
          <w:sz w:val="20"/>
        </w:rPr>
        <w:t>Reese River Silver Mining Co Ltd v Smith (1869) L.R. 4 H.L. </w:t>
      </w:r>
      <w:r>
        <w:rPr>
          <w:rFonts w:ascii="Arial"/>
          <w:i/>
          <w:spacing w:val="-5"/>
          <w:sz w:val="20"/>
        </w:rPr>
        <w:t>64</w:t>
      </w:r>
      <w:r>
        <w:rPr>
          <w:spacing w:val="-5"/>
          <w:sz w:val="20"/>
        </w:rPr>
        <w:t>.</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158" w:id="160"/>
      <w:bookmarkEnd w:id="160"/>
      <w:r>
        <w:rPr/>
      </w:r>
      <w:hyperlink w:history="true" w:anchor="_bookmark54">
        <w:r>
          <w:rPr>
            <w:color w:val="005DA1"/>
            <w:spacing w:val="-5"/>
            <w:position w:val="5"/>
            <w:sz w:val="14"/>
            <w:u w:val="single" w:color="005DA1"/>
          </w:rPr>
          <w:t>42</w:t>
        </w:r>
      </w:hyperlink>
      <w:r>
        <w:rPr>
          <w:spacing w:val="-5"/>
          <w:position w:val="5"/>
          <w:sz w:val="14"/>
        </w:rPr>
        <w:t>.</w:t>
      </w:r>
      <w:r>
        <w:rPr>
          <w:position w:val="5"/>
          <w:sz w:val="14"/>
        </w:rPr>
        <w:tab/>
      </w:r>
      <w:r>
        <w:rPr>
          <w:rFonts w:ascii="Arial" w:hAnsi="Arial"/>
          <w:i/>
          <w:sz w:val="20"/>
        </w:rPr>
        <w:t>IFE</w:t>
      </w:r>
      <w:r>
        <w:rPr>
          <w:rFonts w:ascii="Arial" w:hAnsi="Arial"/>
          <w:i/>
          <w:spacing w:val="35"/>
          <w:sz w:val="20"/>
        </w:rPr>
        <w:t> </w:t>
      </w:r>
      <w:r>
        <w:rPr>
          <w:rFonts w:ascii="Arial" w:hAnsi="Arial"/>
          <w:i/>
          <w:sz w:val="20"/>
        </w:rPr>
        <w:t>Fund</w:t>
      </w:r>
      <w:r>
        <w:rPr>
          <w:rFonts w:ascii="Arial" w:hAnsi="Arial"/>
          <w:i/>
          <w:spacing w:val="35"/>
          <w:sz w:val="20"/>
        </w:rPr>
        <w:t> </w:t>
      </w:r>
      <w:r>
        <w:rPr>
          <w:rFonts w:ascii="Arial" w:hAnsi="Arial"/>
          <w:i/>
          <w:sz w:val="20"/>
        </w:rPr>
        <w:t>SA</w:t>
      </w:r>
      <w:r>
        <w:rPr>
          <w:rFonts w:ascii="Arial" w:hAnsi="Arial"/>
          <w:i/>
          <w:spacing w:val="35"/>
          <w:sz w:val="20"/>
        </w:rPr>
        <w:t> </w:t>
      </w:r>
      <w:r>
        <w:rPr>
          <w:rFonts w:ascii="Arial" w:hAnsi="Arial"/>
          <w:i/>
          <w:sz w:val="20"/>
        </w:rPr>
        <w:t>v</w:t>
      </w:r>
      <w:r>
        <w:rPr>
          <w:rFonts w:ascii="Arial" w:hAnsi="Arial"/>
          <w:i/>
          <w:spacing w:val="35"/>
          <w:sz w:val="20"/>
        </w:rPr>
        <w:t> </w:t>
      </w:r>
      <w:r>
        <w:rPr>
          <w:rFonts w:ascii="Arial" w:hAnsi="Arial"/>
          <w:i/>
          <w:sz w:val="20"/>
        </w:rPr>
        <w:t>Goldman</w:t>
      </w:r>
      <w:r>
        <w:rPr>
          <w:rFonts w:ascii="Arial" w:hAnsi="Arial"/>
          <w:i/>
          <w:spacing w:val="35"/>
          <w:sz w:val="20"/>
        </w:rPr>
        <w:t> </w:t>
      </w:r>
      <w:r>
        <w:rPr>
          <w:rFonts w:ascii="Arial" w:hAnsi="Arial"/>
          <w:i/>
          <w:sz w:val="20"/>
        </w:rPr>
        <w:t>Sachs</w:t>
      </w:r>
      <w:r>
        <w:rPr>
          <w:rFonts w:ascii="Arial" w:hAnsi="Arial"/>
          <w:i/>
          <w:spacing w:val="35"/>
          <w:sz w:val="20"/>
        </w:rPr>
        <w:t> </w:t>
      </w:r>
      <w:r>
        <w:rPr>
          <w:rFonts w:ascii="Arial" w:hAnsi="Arial"/>
          <w:i/>
          <w:sz w:val="20"/>
        </w:rPr>
        <w:t>International</w:t>
      </w:r>
      <w:r>
        <w:rPr>
          <w:rFonts w:ascii="Arial" w:hAnsi="Arial"/>
          <w:i/>
          <w:spacing w:val="35"/>
          <w:sz w:val="20"/>
        </w:rPr>
        <w:t> </w:t>
      </w:r>
      <w:r>
        <w:rPr>
          <w:rFonts w:ascii="Arial" w:hAnsi="Arial"/>
          <w:i/>
          <w:sz w:val="20"/>
        </w:rPr>
        <w:t>[2006]</w:t>
      </w:r>
      <w:r>
        <w:rPr>
          <w:rFonts w:ascii="Arial" w:hAnsi="Arial"/>
          <w:i/>
          <w:spacing w:val="35"/>
          <w:sz w:val="20"/>
        </w:rPr>
        <w:t> </w:t>
      </w:r>
      <w:r>
        <w:rPr>
          <w:rFonts w:ascii="Arial" w:hAnsi="Arial"/>
          <w:i/>
          <w:sz w:val="20"/>
        </w:rPr>
        <w:t>EWHC</w:t>
      </w:r>
      <w:r>
        <w:rPr>
          <w:rFonts w:ascii="Arial" w:hAnsi="Arial"/>
          <w:i/>
          <w:spacing w:val="35"/>
          <w:sz w:val="20"/>
        </w:rPr>
        <w:t> </w:t>
      </w:r>
      <w:r>
        <w:rPr>
          <w:rFonts w:ascii="Arial" w:hAnsi="Arial"/>
          <w:i/>
          <w:sz w:val="20"/>
        </w:rPr>
        <w:t>2887</w:t>
      </w:r>
      <w:r>
        <w:rPr>
          <w:rFonts w:ascii="Arial" w:hAnsi="Arial"/>
          <w:i/>
          <w:spacing w:val="35"/>
          <w:sz w:val="20"/>
        </w:rPr>
        <w:t> </w:t>
      </w:r>
      <w:r>
        <w:rPr>
          <w:rFonts w:ascii="Arial" w:hAnsi="Arial"/>
          <w:i/>
          <w:sz w:val="20"/>
        </w:rPr>
        <w:t>(Comm),</w:t>
      </w:r>
      <w:r>
        <w:rPr>
          <w:rFonts w:ascii="Arial" w:hAnsi="Arial"/>
          <w:i/>
          <w:spacing w:val="35"/>
          <w:sz w:val="20"/>
        </w:rPr>
        <w:t> </w:t>
      </w:r>
      <w:r>
        <w:rPr>
          <w:rFonts w:ascii="Arial" w:hAnsi="Arial"/>
          <w:i/>
          <w:sz w:val="20"/>
        </w:rPr>
        <w:t>[2007]</w:t>
      </w:r>
      <w:r>
        <w:rPr>
          <w:rFonts w:ascii="Arial" w:hAnsi="Arial"/>
          <w:i/>
          <w:spacing w:val="35"/>
          <w:sz w:val="20"/>
        </w:rPr>
        <w:t> </w:t>
      </w:r>
      <w:r>
        <w:rPr>
          <w:rFonts w:ascii="Arial" w:hAnsi="Arial"/>
          <w:i/>
          <w:sz w:val="20"/>
        </w:rPr>
        <w:t>1</w:t>
      </w:r>
      <w:r>
        <w:rPr>
          <w:rFonts w:ascii="Arial" w:hAnsi="Arial"/>
          <w:i/>
          <w:spacing w:val="35"/>
          <w:sz w:val="20"/>
        </w:rPr>
        <w:t> </w:t>
      </w:r>
      <w:r>
        <w:rPr>
          <w:rFonts w:ascii="Arial" w:hAnsi="Arial"/>
          <w:i/>
          <w:spacing w:val="-2"/>
          <w:sz w:val="20"/>
        </w:rPr>
        <w:t>Lloyd’s</w:t>
      </w:r>
    </w:p>
    <w:p>
      <w:pPr>
        <w:spacing w:line="235" w:lineRule="auto" w:before="1"/>
        <w:ind w:left="705" w:right="167" w:firstLine="0"/>
        <w:jc w:val="both"/>
        <w:rPr>
          <w:sz w:val="20"/>
        </w:rPr>
      </w:pPr>
      <w:r>
        <w:rPr>
          <w:rFonts w:ascii="Arial" w:hAnsi="Arial"/>
          <w:i/>
          <w:sz w:val="20"/>
        </w:rPr>
        <w:t>Rep. 264 at [50]; affirmed [2007] EWCA Civ 811, [2007] 2 Lloyd’s Rep. 449</w:t>
      </w:r>
      <w:r>
        <w:rPr>
          <w:sz w:val="20"/>
        </w:rPr>
        <w:t>. See also</w:t>
      </w:r>
      <w:r>
        <w:rPr>
          <w:spacing w:val="40"/>
          <w:sz w:val="20"/>
        </w:rPr>
        <w:t> </w:t>
      </w:r>
      <w:r>
        <w:rPr>
          <w:rFonts w:ascii="Arial" w:hAnsi="Arial"/>
          <w:i/>
          <w:sz w:val="20"/>
        </w:rPr>
        <w:t>Springwell Navigation Corp v JP Morgan Chase Bank [2010] EWCA Civ 1221, [2010] 2 </w:t>
      </w:r>
      <w:r>
        <w:rPr>
          <w:rFonts w:ascii="Arial" w:hAnsi="Arial"/>
          <w:i/>
          <w:sz w:val="20"/>
        </w:rPr>
        <w:t>C.L.C. 705</w:t>
      </w:r>
      <w:r>
        <w:rPr>
          <w:sz w:val="20"/>
        </w:rPr>
        <w:t>, at [120]; </w:t>
      </w:r>
      <w:r>
        <w:rPr>
          <w:rFonts w:ascii="Arial" w:hAnsi="Arial"/>
          <w:i/>
          <w:sz w:val="20"/>
        </w:rPr>
        <w:t>Cassa di Risparmio della Repubblica di San Marino SpA v Barclays Bank Ltd [2011] EWHC 484 (Comm), [2011] 1 C.L.C. 701 </w:t>
      </w:r>
      <w:r>
        <w:rPr>
          <w:sz w:val="20"/>
        </w:rPr>
        <w:t>(“In order to determine whether any and if so what representation was made by a statement requires (1) construing the statement in the context in which it was made, and (2) interpreting the statement objectively according to the impact it might be expected to have on a reasonable representee in the position and with the known characteristics of the actual representee”: Hamblen J. at [215]).</w:t>
      </w:r>
    </w:p>
    <w:p>
      <w:pPr>
        <w:pStyle w:val="BodyText"/>
        <w:spacing w:before="7"/>
      </w:pPr>
    </w:p>
    <w:p>
      <w:pPr>
        <w:pStyle w:val="BodyText"/>
        <w:spacing w:line="235" w:lineRule="auto"/>
        <w:ind w:left="705" w:right="167" w:hanging="541"/>
        <w:jc w:val="both"/>
      </w:pPr>
      <w:bookmarkStart w:name="_bookmark159" w:id="161"/>
      <w:bookmarkEnd w:id="161"/>
      <w:r>
        <w:rPr/>
      </w:r>
      <w:hyperlink w:history="true" w:anchor="_bookmark55">
        <w:r>
          <w:rPr>
            <w:color w:val="005DA1"/>
            <w:position w:val="5"/>
            <w:sz w:val="14"/>
            <w:u w:val="single" w:color="005DA1"/>
          </w:rPr>
          <w:t>43</w:t>
        </w:r>
      </w:hyperlink>
      <w:r>
        <w:rPr>
          <w:position w:val="5"/>
          <w:sz w:val="14"/>
        </w:rPr>
        <w:t>.</w:t>
      </w:r>
      <w:r>
        <w:rPr>
          <w:spacing w:val="40"/>
          <w:position w:val="5"/>
          <w:sz w:val="14"/>
        </w:rPr>
        <w:t>  </w:t>
      </w:r>
      <w:r>
        <w:rPr>
          <w:rFonts w:ascii="Arial" w:hAnsi="Arial"/>
          <w:i/>
        </w:rPr>
        <w:t>Kyle Bay Ltd (t/a Astons Nightclub) v Underwriters Subscribing under Policy No.019057/08/01 [2007] EWCA Civ 57, [2007] 1 C.L.C. 164 </w:t>
      </w:r>
      <w:r>
        <w:rPr/>
        <w:t>at [33]–[35]; distinguishing </w:t>
      </w:r>
      <w:r>
        <w:rPr>
          <w:rFonts w:ascii="Arial" w:hAnsi="Arial"/>
          <w:i/>
        </w:rPr>
        <w:t>Wauton v Coppard [1899] 1 Ch. 92</w:t>
      </w:r>
      <w:r>
        <w:rPr/>
        <w:t>. In that case the statement was by a vendor’s agent as to the effect of a restrictive covenant to a lay person who, as a prospective purchaser, did not (to the knowledge of </w:t>
      </w:r>
      <w:r>
        <w:rPr/>
        <w:t>the vendor’s agent) have a copy of the covenant. In </w:t>
      </w:r>
      <w:r>
        <w:rPr>
          <w:rFonts w:ascii="Arial" w:hAnsi="Arial"/>
          <w:i/>
        </w:rPr>
        <w:t>Hayward v Zurich Insurance Co Plc [2015] EWCA Civ 327 </w:t>
      </w:r>
      <w:r>
        <w:rPr/>
        <w:t>at [24] Underhill L.J. drew a parallel with </w:t>
      </w:r>
      <w:r>
        <w:rPr>
          <w:rFonts w:ascii="Arial" w:hAnsi="Arial"/>
          <w:i/>
        </w:rPr>
        <w:t>Kyle Bay </w:t>
      </w:r>
      <w:r>
        <w:rPr/>
        <w:t>in a case in which it was decided that a party to a settlement cannot claim to rescind the settlement even if it can now show that the claims put forward by the other side were in fact false, if at the time of the settlement it did not believe the claims put forward by the other side but was influenced by a</w:t>
      </w:r>
      <w:r>
        <w:rPr>
          <w:spacing w:val="40"/>
        </w:rPr>
        <w:t> </w:t>
      </w:r>
      <w:r>
        <w:rPr/>
        <w:t>fear that they might be believed by the court. The suggestion seems to be that claims made in negotiating a settlement should not necessarily be treated as statements of fact rather than contentions. It might be different if the claim had been accepted as honest and later had been found to be fraudulent (at [19]; see also per Briggs L.J. at [30]). The actual decision rested on the absence of reliance, see below, para.7-035.</w:t>
      </w:r>
    </w:p>
    <w:p>
      <w:pPr>
        <w:pStyle w:val="BodyText"/>
        <w:spacing w:before="1"/>
      </w:pPr>
    </w:p>
    <w:p>
      <w:pPr>
        <w:pStyle w:val="BodyText"/>
        <w:tabs>
          <w:tab w:pos="705" w:val="left" w:leader="none"/>
        </w:tabs>
        <w:ind w:left="165"/>
      </w:pPr>
      <w:bookmarkStart w:name="_bookmark160" w:id="162"/>
      <w:bookmarkEnd w:id="162"/>
      <w:r>
        <w:rPr/>
      </w:r>
      <w:hyperlink w:history="true" w:anchor="_bookmark56">
        <w:r>
          <w:rPr>
            <w:color w:val="005DA1"/>
            <w:spacing w:val="-5"/>
            <w:position w:val="5"/>
            <w:sz w:val="14"/>
            <w:u w:val="single" w:color="005DA1"/>
          </w:rPr>
          <w:t>44</w:t>
        </w:r>
      </w:hyperlink>
      <w:r>
        <w:rPr>
          <w:spacing w:val="-5"/>
          <w:position w:val="5"/>
          <w:sz w:val="14"/>
        </w:rPr>
        <w:t>.</w:t>
      </w:r>
      <w:r>
        <w:rPr>
          <w:position w:val="5"/>
          <w:sz w:val="14"/>
        </w:rPr>
        <w:tab/>
      </w:r>
      <w:r>
        <w:rPr/>
        <w:t>See below, paras 7-144 and 7-</w:t>
      </w:r>
      <w:r>
        <w:rPr>
          <w:spacing w:val="-4"/>
        </w:rPr>
        <w:t>145.</w:t>
      </w:r>
    </w:p>
    <w:p>
      <w:pPr>
        <w:pStyle w:val="BodyText"/>
        <w:spacing w:before="9"/>
      </w:pPr>
    </w:p>
    <w:p>
      <w:pPr>
        <w:spacing w:line="235" w:lineRule="auto" w:before="0"/>
        <w:ind w:left="705" w:right="167" w:hanging="541"/>
        <w:jc w:val="both"/>
        <w:rPr>
          <w:sz w:val="20"/>
        </w:rPr>
      </w:pPr>
      <w:bookmarkStart w:name="_bookmark161" w:id="163"/>
      <w:bookmarkEnd w:id="163"/>
      <w:r>
        <w:rPr/>
      </w:r>
      <w:hyperlink w:history="true" w:anchor="_bookmark57">
        <w:r>
          <w:rPr>
            <w:color w:val="005DA1"/>
            <w:position w:val="5"/>
            <w:sz w:val="14"/>
            <w:u w:val="single" w:color="005DA1"/>
          </w:rPr>
          <w:t>45</w:t>
        </w:r>
      </w:hyperlink>
      <w:r>
        <w:rPr>
          <w:position w:val="5"/>
          <w:sz w:val="14"/>
        </w:rPr>
        <w:t>.</w:t>
      </w:r>
      <w:r>
        <w:rPr>
          <w:spacing w:val="80"/>
          <w:position w:val="5"/>
          <w:sz w:val="14"/>
        </w:rPr>
        <w:t>  </w:t>
      </w:r>
      <w:r>
        <w:rPr>
          <w:rFonts w:ascii="Arial" w:hAnsi="Arial"/>
          <w:i/>
          <w:sz w:val="20"/>
        </w:rPr>
        <w:t>Highlands Insurance Co v Continental Insurance Co [1987] 1 Lloyd’s Rep. 109, 111–112</w:t>
      </w:r>
      <w:r>
        <w:rPr>
          <w:sz w:val="20"/>
        </w:rPr>
        <w:t>; </w:t>
      </w:r>
      <w:r>
        <w:rPr>
          <w:rFonts w:ascii="Arial" w:hAnsi="Arial"/>
          <w:i/>
          <w:sz w:val="20"/>
        </w:rPr>
        <w:t>Sirius International Insurance Corp v Oriental Insurance Corp [1999] 1 All E.R. (Comm) 699, </w:t>
      </w:r>
      <w:r>
        <w:rPr>
          <w:rFonts w:ascii="Arial" w:hAnsi="Arial"/>
          <w:i/>
          <w:sz w:val="20"/>
        </w:rPr>
        <w:t>709 </w:t>
      </w:r>
      <w:r>
        <w:rPr>
          <w:sz w:val="20"/>
        </w:rPr>
        <w:t>(statements by reinsureds or brokers to reinsurers).</w:t>
      </w:r>
    </w:p>
    <w:p>
      <w:pPr>
        <w:spacing w:after="0" w:line="235" w:lineRule="auto"/>
        <w:jc w:val="both"/>
        <w:rPr>
          <w:sz w:val="20"/>
        </w:rPr>
        <w:sectPr>
          <w:pgSz w:w="11900" w:h="16840"/>
          <w:pgMar w:header="971" w:footer="0" w:top="1160" w:bottom="280" w:left="1275" w:right="1275"/>
        </w:sectPr>
      </w:pPr>
    </w:p>
    <w:p>
      <w:pPr>
        <w:pStyle w:val="BodyText"/>
        <w:spacing w:before="84"/>
      </w:pPr>
    </w:p>
    <w:p>
      <w:pPr>
        <w:tabs>
          <w:tab w:pos="705" w:val="left" w:leader="none"/>
        </w:tabs>
        <w:spacing w:line="235" w:lineRule="auto" w:before="1"/>
        <w:ind w:left="705" w:right="168" w:hanging="541"/>
        <w:jc w:val="left"/>
        <w:rPr>
          <w:sz w:val="20"/>
        </w:rPr>
      </w:pPr>
      <w:hyperlink w:history="true" w:anchor="_bookmark58">
        <w:r>
          <w:rPr>
            <w:color w:val="005DA1"/>
            <w:spacing w:val="-4"/>
            <w:position w:val="5"/>
            <w:sz w:val="14"/>
            <w:u w:val="single" w:color="005DA1"/>
          </w:rPr>
          <w:t>46</w:t>
        </w:r>
      </w:hyperlink>
      <w:r>
        <w:rPr>
          <w:spacing w:val="-4"/>
          <w:position w:val="5"/>
          <w:sz w:val="14"/>
        </w:rPr>
        <w:t>.</w:t>
      </w:r>
      <w:r>
        <w:rPr>
          <w:position w:val="5"/>
          <w:sz w:val="14"/>
        </w:rPr>
        <w:tab/>
      </w:r>
      <w:r>
        <w:rPr>
          <w:rFonts w:ascii="Arial"/>
          <w:i/>
          <w:sz w:val="20"/>
        </w:rPr>
        <w:t>FoodCo UK LLP (t/a Muffin Break) v Henry Boot Developments Ltd [2010] EWHC 358 (Ch) </w:t>
      </w:r>
      <w:r>
        <w:rPr>
          <w:sz w:val="20"/>
        </w:rPr>
        <w:t>at </w:t>
      </w:r>
      <w:r>
        <w:rPr>
          <w:spacing w:val="-2"/>
          <w:sz w:val="20"/>
        </w:rPr>
        <w:t>[218].</w:t>
      </w:r>
    </w:p>
    <w:p>
      <w:pPr>
        <w:pStyle w:val="BodyText"/>
        <w:spacing w:before="9"/>
      </w:pPr>
    </w:p>
    <w:p>
      <w:pPr>
        <w:spacing w:line="235" w:lineRule="auto" w:before="0"/>
        <w:ind w:left="705" w:right="167" w:hanging="541"/>
        <w:jc w:val="both"/>
        <w:rPr>
          <w:sz w:val="20"/>
        </w:rPr>
      </w:pPr>
      <w:bookmarkStart w:name="_bookmark162" w:id="164"/>
      <w:bookmarkEnd w:id="164"/>
      <w:r>
        <w:rPr/>
      </w:r>
      <w:hyperlink w:history="true" w:anchor="_bookmark59">
        <w:r>
          <w:rPr>
            <w:color w:val="005DA1"/>
            <w:position w:val="5"/>
            <w:sz w:val="14"/>
            <w:u w:val="single" w:color="005DA1"/>
          </w:rPr>
          <w:t>47</w:t>
        </w:r>
      </w:hyperlink>
      <w:r>
        <w:rPr>
          <w:position w:val="5"/>
          <w:sz w:val="14"/>
        </w:rPr>
        <w:t>.</w:t>
      </w:r>
      <w:r>
        <w:rPr>
          <w:spacing w:val="80"/>
          <w:w w:val="150"/>
          <w:position w:val="5"/>
          <w:sz w:val="14"/>
        </w:rPr>
        <w:t>  </w:t>
      </w:r>
      <w:r>
        <w:rPr>
          <w:rFonts w:ascii="Arial" w:hAnsi="Arial"/>
          <w:i/>
          <w:sz w:val="20"/>
        </w:rPr>
        <w:t>IFE</w:t>
      </w:r>
      <w:r>
        <w:rPr>
          <w:rFonts w:ascii="Arial" w:hAnsi="Arial"/>
          <w:i/>
          <w:spacing w:val="21"/>
          <w:sz w:val="20"/>
        </w:rPr>
        <w:t> </w:t>
      </w:r>
      <w:r>
        <w:rPr>
          <w:rFonts w:ascii="Arial" w:hAnsi="Arial"/>
          <w:i/>
          <w:sz w:val="20"/>
        </w:rPr>
        <w:t>Fund</w:t>
      </w:r>
      <w:r>
        <w:rPr>
          <w:rFonts w:ascii="Arial" w:hAnsi="Arial"/>
          <w:i/>
          <w:spacing w:val="21"/>
          <w:sz w:val="20"/>
        </w:rPr>
        <w:t> </w:t>
      </w:r>
      <w:r>
        <w:rPr>
          <w:rFonts w:ascii="Arial" w:hAnsi="Arial"/>
          <w:i/>
          <w:sz w:val="20"/>
        </w:rPr>
        <w:t>SA</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Goldman</w:t>
      </w:r>
      <w:r>
        <w:rPr>
          <w:rFonts w:ascii="Arial" w:hAnsi="Arial"/>
          <w:i/>
          <w:spacing w:val="21"/>
          <w:sz w:val="20"/>
        </w:rPr>
        <w:t> </w:t>
      </w:r>
      <w:r>
        <w:rPr>
          <w:rFonts w:ascii="Arial" w:hAnsi="Arial"/>
          <w:i/>
          <w:sz w:val="20"/>
        </w:rPr>
        <w:t>Sachs</w:t>
      </w:r>
      <w:r>
        <w:rPr>
          <w:rFonts w:ascii="Arial" w:hAnsi="Arial"/>
          <w:i/>
          <w:spacing w:val="21"/>
          <w:sz w:val="20"/>
        </w:rPr>
        <w:t> </w:t>
      </w:r>
      <w:r>
        <w:rPr>
          <w:rFonts w:ascii="Arial" w:hAnsi="Arial"/>
          <w:i/>
          <w:sz w:val="20"/>
        </w:rPr>
        <w:t>International</w:t>
      </w:r>
      <w:r>
        <w:rPr>
          <w:rFonts w:ascii="Arial" w:hAnsi="Arial"/>
          <w:i/>
          <w:spacing w:val="21"/>
          <w:sz w:val="20"/>
        </w:rPr>
        <w:t> </w:t>
      </w:r>
      <w:r>
        <w:rPr>
          <w:rFonts w:ascii="Arial" w:hAnsi="Arial"/>
          <w:i/>
          <w:sz w:val="20"/>
        </w:rPr>
        <w:t>[2006]</w:t>
      </w:r>
      <w:r>
        <w:rPr>
          <w:rFonts w:ascii="Arial" w:hAnsi="Arial"/>
          <w:i/>
          <w:spacing w:val="21"/>
          <w:sz w:val="20"/>
        </w:rPr>
        <w:t> </w:t>
      </w:r>
      <w:r>
        <w:rPr>
          <w:rFonts w:ascii="Arial" w:hAnsi="Arial"/>
          <w:i/>
          <w:sz w:val="20"/>
        </w:rPr>
        <w:t>EWHC</w:t>
      </w:r>
      <w:r>
        <w:rPr>
          <w:rFonts w:ascii="Arial" w:hAnsi="Arial"/>
          <w:i/>
          <w:spacing w:val="21"/>
          <w:sz w:val="20"/>
        </w:rPr>
        <w:t> </w:t>
      </w:r>
      <w:r>
        <w:rPr>
          <w:rFonts w:ascii="Arial" w:hAnsi="Arial"/>
          <w:i/>
          <w:sz w:val="20"/>
        </w:rPr>
        <w:t>2887,</w:t>
      </w:r>
      <w:r>
        <w:rPr>
          <w:rFonts w:ascii="Arial" w:hAnsi="Arial"/>
          <w:i/>
          <w:spacing w:val="21"/>
          <w:sz w:val="20"/>
        </w:rPr>
        <w:t> </w:t>
      </w:r>
      <w:r>
        <w:rPr>
          <w:rFonts w:ascii="Arial" w:hAnsi="Arial"/>
          <w:i/>
          <w:sz w:val="20"/>
        </w:rPr>
        <w:t>[2007]</w:t>
      </w:r>
      <w:r>
        <w:rPr>
          <w:rFonts w:ascii="Arial" w:hAnsi="Arial"/>
          <w:i/>
          <w:spacing w:val="21"/>
          <w:sz w:val="20"/>
        </w:rPr>
        <w:t> </w:t>
      </w:r>
      <w:r>
        <w:rPr>
          <w:rFonts w:ascii="Arial" w:hAnsi="Arial"/>
          <w:i/>
          <w:sz w:val="20"/>
        </w:rPr>
        <w:t>1</w:t>
      </w:r>
      <w:r>
        <w:rPr>
          <w:rFonts w:ascii="Arial" w:hAnsi="Arial"/>
          <w:i/>
          <w:spacing w:val="21"/>
          <w:sz w:val="20"/>
        </w:rPr>
        <w:t> </w:t>
      </w:r>
      <w:r>
        <w:rPr>
          <w:rFonts w:ascii="Arial" w:hAnsi="Arial"/>
          <w:i/>
          <w:sz w:val="20"/>
        </w:rPr>
        <w:t>Lloyd’s</w:t>
      </w:r>
      <w:r>
        <w:rPr>
          <w:rFonts w:ascii="Arial" w:hAnsi="Arial"/>
          <w:i/>
          <w:spacing w:val="21"/>
          <w:sz w:val="20"/>
        </w:rPr>
        <w:t> </w:t>
      </w:r>
      <w:r>
        <w:rPr>
          <w:rFonts w:ascii="Arial" w:hAnsi="Arial"/>
          <w:i/>
          <w:sz w:val="20"/>
        </w:rPr>
        <w:t>Rep.</w:t>
      </w:r>
      <w:r>
        <w:rPr>
          <w:rFonts w:ascii="Arial" w:hAnsi="Arial"/>
          <w:i/>
          <w:spacing w:val="21"/>
          <w:sz w:val="20"/>
        </w:rPr>
        <w:t> </w:t>
      </w:r>
      <w:r>
        <w:rPr>
          <w:rFonts w:ascii="Arial" w:hAnsi="Arial"/>
          <w:i/>
          <w:sz w:val="20"/>
        </w:rPr>
        <w:t>264</w:t>
      </w:r>
      <w:r>
        <w:rPr>
          <w:sz w:val="20"/>
        </w:rPr>
        <w:t>, per Toulson J. at [54] (affirmed without comment on this point </w:t>
      </w:r>
      <w:r>
        <w:rPr>
          <w:rFonts w:ascii="Arial" w:hAnsi="Arial"/>
          <w:i/>
          <w:sz w:val="20"/>
        </w:rPr>
        <w:t>[2007] EWCA Civ 811, [2007] 2 Lloyd’s Rep. 449</w:t>
      </w:r>
      <w:r>
        <w:rPr>
          <w:sz w:val="20"/>
        </w:rPr>
        <w:t>). See also </w:t>
      </w:r>
      <w:r>
        <w:rPr>
          <w:rFonts w:ascii="Arial" w:hAnsi="Arial"/>
          <w:i/>
          <w:sz w:val="20"/>
        </w:rPr>
        <w:t>Webster v Liddington [2014] EWCA Civ 560</w:t>
      </w:r>
      <w:r>
        <w:rPr>
          <w:rFonts w:ascii="Arial" w:hAnsi="Arial"/>
          <w:i/>
          <w:spacing w:val="-1"/>
          <w:sz w:val="20"/>
        </w:rPr>
        <w:t> </w:t>
      </w:r>
      <w:r>
        <w:rPr>
          <w:sz w:val="20"/>
        </w:rPr>
        <w:t>(party may warrant the accuracy of the information; may adopt it as his own; may represent that he believes on reasonable grounds that it is accurate; or may merely pass it on as material about which he has no knowledge or belief (at [46], Jackson L.J.)).</w:t>
      </w:r>
    </w:p>
    <w:p>
      <w:pPr>
        <w:pStyle w:val="BodyText"/>
        <w:spacing w:before="8"/>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2464">
            <wp:simplePos x="0" y="0"/>
            <wp:positionH relativeFrom="page">
              <wp:posOffset>1257846</wp:posOffset>
            </wp:positionH>
            <wp:positionV relativeFrom="paragraph">
              <wp:posOffset>160158</wp:posOffset>
            </wp:positionV>
            <wp:extent cx="107988" cy="107988"/>
            <wp:effectExtent l="0" t="0" r="0" b="0"/>
            <wp:wrapNone/>
            <wp:docPr id="52" name="Image 52"/>
            <wp:cNvGraphicFramePr>
              <a:graphicFrameLocks/>
            </wp:cNvGraphicFramePr>
            <a:graphic>
              <a:graphicData uri="http://schemas.openxmlformats.org/drawingml/2006/picture">
                <pic:pic>
                  <pic:nvPicPr>
                    <pic:cNvPr id="52" name="Image 5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63" w:id="165"/>
      <w:bookmarkEnd w:id="165"/>
      <w:r>
        <w:rPr/>
      </w:r>
      <w:hyperlink w:history="true" w:anchor="_bookmark60">
        <w:r>
          <w:rPr>
            <w:color w:val="005DA1"/>
            <w:spacing w:val="-5"/>
            <w:sz w:val="14"/>
            <w:u w:val="single" w:color="005DA1"/>
          </w:rPr>
          <w:t>48</w:t>
        </w:r>
      </w:hyperlink>
      <w:r>
        <w:rPr>
          <w:spacing w:val="-5"/>
          <w:sz w:val="14"/>
        </w:rPr>
        <w:t>.</w:t>
      </w:r>
    </w:p>
    <w:p>
      <w:pPr>
        <w:spacing w:line="235" w:lineRule="auto" w:before="212"/>
        <w:ind w:left="165" w:right="167" w:firstLine="170"/>
        <w:jc w:val="both"/>
        <w:rPr>
          <w:sz w:val="20"/>
        </w:rPr>
      </w:pPr>
      <w:r>
        <w:rPr/>
        <w:br w:type="column"/>
      </w:r>
      <w:r>
        <w:rPr>
          <w:sz w:val="20"/>
        </w:rPr>
        <w:t>See </w:t>
      </w:r>
      <w:r>
        <w:rPr>
          <w:rFonts w:ascii="Arial"/>
          <w:i/>
          <w:sz w:val="20"/>
        </w:rPr>
        <w:t>Edgington v Fitzmaurice (1885) 29 Ch. D. 459</w:t>
      </w:r>
      <w:r>
        <w:rPr>
          <w:sz w:val="20"/>
        </w:rPr>
        <w:t>; </w:t>
      </w:r>
      <w:r>
        <w:rPr>
          <w:rFonts w:ascii="Arial"/>
          <w:i/>
          <w:sz w:val="20"/>
        </w:rPr>
        <w:t>Angus v Clifford [1891] 2 Ch. 449, 470</w:t>
      </w:r>
      <w:r>
        <w:rPr>
          <w:sz w:val="20"/>
        </w:rPr>
        <w:t>; </w:t>
      </w:r>
      <w:r>
        <w:rPr>
          <w:rFonts w:ascii="Arial"/>
          <w:i/>
          <w:sz w:val="20"/>
        </w:rPr>
        <w:t>Goff v Gauthier (1991) P. &amp; C.R. 388</w:t>
      </w:r>
      <w:r>
        <w:rPr>
          <w:sz w:val="20"/>
        </w:rPr>
        <w:t>; </w:t>
      </w:r>
      <w:r>
        <w:rPr>
          <w:rFonts w:ascii="Arial"/>
          <w:i/>
          <w:sz w:val="20"/>
        </w:rPr>
        <w:t>C21 London Estates Ltd v Maurice Macneill Iona </w:t>
      </w:r>
      <w:r>
        <w:rPr>
          <w:rFonts w:ascii="Arial"/>
          <w:i/>
          <w:sz w:val="20"/>
        </w:rPr>
        <w:t>Ltd [2017] EWHC 998 (Ch) </w:t>
      </w:r>
      <w:r>
        <w:rPr>
          <w:sz w:val="20"/>
        </w:rPr>
        <w:t>at [44], applying this paragraph (but in that case it was not shown that the representation was false).; cf. </w:t>
      </w:r>
      <w:r>
        <w:rPr>
          <w:rFonts w:ascii="Arial"/>
          <w:i/>
          <w:sz w:val="20"/>
        </w:rPr>
        <w:t>Lewin v Barratt Homes Ltd [2000] Crim. L.R. 323 </w:t>
      </w:r>
      <w:r>
        <w:rPr>
          <w:sz w:val="20"/>
        </w:rPr>
        <w:t>(a case under Property Misdescriptions Act 1991 s.1). As David Richards J. said in </w:t>
      </w:r>
      <w:r>
        <w:rPr>
          <w:rFonts w:ascii="Arial"/>
          <w:i/>
          <w:sz w:val="20"/>
        </w:rPr>
        <w:t>Abbar v Saudi Economic &amp; Development Co (SEDCO) Real Estate Ltd [2013] EWHC 1414 (Ch) </w:t>
      </w:r>
      <w:r>
        <w:rPr>
          <w:sz w:val="20"/>
        </w:rPr>
        <w:t>at [197], it is difficult to see how a party could negligently, as opposed to fraudulently, misrepresent his own intentions. Nonetheless, the judge could see the possibility that a party might state its current intention yet negligently omit to reveal that his intention was qualified in that he had considered reviewing it at a later date: at [207].</w:t>
      </w:r>
    </w:p>
    <w:p>
      <w:pPr>
        <w:spacing w:after="0" w:line="235" w:lineRule="auto"/>
        <w:jc w:val="both"/>
        <w:rPr>
          <w:sz w:val="20"/>
        </w:rPr>
        <w:sectPr>
          <w:type w:val="continuous"/>
          <w:pgSz w:w="11900" w:h="16840"/>
          <w:pgMar w:header="971" w:footer="0" w:top="1160" w:bottom="280" w:left="1275" w:right="1275"/>
          <w:cols w:num="2" w:equalWidth="0">
            <w:col w:w="400" w:space="141"/>
            <w:col w:w="8809"/>
          </w:cols>
        </w:sectPr>
      </w:pPr>
    </w:p>
    <w:p>
      <w:pPr>
        <w:pStyle w:val="BodyText"/>
        <w:spacing w:before="6"/>
      </w:pPr>
    </w:p>
    <w:p>
      <w:pPr>
        <w:tabs>
          <w:tab w:pos="705" w:val="left" w:leader="none"/>
        </w:tabs>
        <w:spacing w:line="235" w:lineRule="auto" w:before="0"/>
        <w:ind w:left="705" w:right="168" w:hanging="541"/>
        <w:jc w:val="left"/>
        <w:rPr>
          <w:sz w:val="20"/>
        </w:rPr>
      </w:pPr>
      <w:bookmarkStart w:name="_bookmark164" w:id="166"/>
      <w:bookmarkEnd w:id="166"/>
      <w:r>
        <w:rPr/>
      </w:r>
      <w:hyperlink w:history="true" w:anchor="_bookmark61">
        <w:r>
          <w:rPr>
            <w:color w:val="005DA1"/>
            <w:spacing w:val="-4"/>
            <w:position w:val="5"/>
            <w:sz w:val="14"/>
            <w:u w:val="single" w:color="005DA1"/>
          </w:rPr>
          <w:t>49</w:t>
        </w:r>
      </w:hyperlink>
      <w:r>
        <w:rPr>
          <w:spacing w:val="-4"/>
          <w:position w:val="5"/>
          <w:sz w:val="14"/>
        </w:rPr>
        <w:t>.</w:t>
      </w:r>
      <w:r>
        <w:rPr>
          <w:position w:val="5"/>
          <w:sz w:val="14"/>
        </w:rPr>
        <w:tab/>
      </w:r>
      <w:r>
        <w:rPr>
          <w:rFonts w:ascii="Arial"/>
          <w:i/>
          <w:sz w:val="20"/>
        </w:rPr>
        <w:t>Re Shackleton Ex p. Whittaker (1875) L.R. 10 Ch. App. 446</w:t>
      </w:r>
      <w:r>
        <w:rPr>
          <w:sz w:val="20"/>
        </w:rPr>
        <w:t>; </w:t>
      </w:r>
      <w:r>
        <w:rPr>
          <w:rFonts w:ascii="Arial"/>
          <w:i/>
          <w:sz w:val="20"/>
        </w:rPr>
        <w:t>Ray v Sempers [1974] A.C. </w:t>
      </w:r>
      <w:r>
        <w:rPr>
          <w:rFonts w:ascii="Arial"/>
          <w:i/>
          <w:sz w:val="20"/>
        </w:rPr>
        <w:t>370</w:t>
      </w:r>
      <w:r>
        <w:rPr>
          <w:sz w:val="20"/>
        </w:rPr>
        <w:t>; </w:t>
      </w:r>
      <w:r>
        <w:rPr>
          <w:rFonts w:ascii="Arial"/>
          <w:i/>
          <w:sz w:val="20"/>
        </w:rPr>
        <w:t>Re Gerald Cooper Chemicals Ltd [1978] Ch. 262</w:t>
      </w:r>
      <w:r>
        <w:rPr>
          <w:sz w:val="20"/>
        </w:rPr>
        <w:t>.</w:t>
      </w:r>
    </w:p>
    <w:p>
      <w:pPr>
        <w:pStyle w:val="BodyText"/>
        <w:spacing w:before="5"/>
      </w:pPr>
    </w:p>
    <w:p>
      <w:pPr>
        <w:tabs>
          <w:tab w:pos="705" w:val="left" w:leader="none"/>
        </w:tabs>
        <w:spacing w:before="0"/>
        <w:ind w:left="165" w:right="0" w:firstLine="0"/>
        <w:jc w:val="left"/>
        <w:rPr>
          <w:sz w:val="20"/>
        </w:rPr>
      </w:pPr>
      <w:bookmarkStart w:name="_bookmark165" w:id="167"/>
      <w:bookmarkEnd w:id="167"/>
      <w:r>
        <w:rPr/>
      </w:r>
      <w:hyperlink w:history="true" w:anchor="_bookmark62">
        <w:r>
          <w:rPr>
            <w:color w:val="005DA1"/>
            <w:spacing w:val="-5"/>
            <w:position w:val="5"/>
            <w:sz w:val="14"/>
            <w:u w:val="single" w:color="005DA1"/>
          </w:rPr>
          <w:t>50</w:t>
        </w:r>
      </w:hyperlink>
      <w:r>
        <w:rPr>
          <w:spacing w:val="-5"/>
          <w:position w:val="5"/>
          <w:sz w:val="14"/>
        </w:rPr>
        <w:t>.</w:t>
      </w:r>
      <w:r>
        <w:rPr>
          <w:position w:val="5"/>
          <w:sz w:val="14"/>
        </w:rPr>
        <w:tab/>
      </w:r>
      <w:r>
        <w:rPr>
          <w:sz w:val="20"/>
        </w:rPr>
        <w:t>cf. </w:t>
      </w:r>
      <w:r>
        <w:rPr>
          <w:rFonts w:ascii="Arial"/>
          <w:i/>
          <w:sz w:val="20"/>
        </w:rPr>
        <w:t>Brown v Raphael [1958] Ch. 636</w:t>
      </w:r>
      <w:r>
        <w:rPr>
          <w:rFonts w:ascii="Arial"/>
          <w:i/>
          <w:spacing w:val="-1"/>
          <w:sz w:val="20"/>
        </w:rPr>
        <w:t> </w:t>
      </w:r>
      <w:r>
        <w:rPr>
          <w:sz w:val="20"/>
        </w:rPr>
        <w:t>above, para.7-</w:t>
      </w:r>
      <w:r>
        <w:rPr>
          <w:spacing w:val="-4"/>
          <w:sz w:val="20"/>
        </w:rPr>
        <w:t>009.</w:t>
      </w:r>
    </w:p>
    <w:p>
      <w:pPr>
        <w:pStyle w:val="BodyText"/>
        <w:spacing w:before="5"/>
      </w:pPr>
    </w:p>
    <w:p>
      <w:pPr>
        <w:tabs>
          <w:tab w:pos="705" w:val="left" w:leader="none"/>
        </w:tabs>
        <w:spacing w:before="0"/>
        <w:ind w:left="165" w:right="0" w:firstLine="0"/>
        <w:jc w:val="left"/>
        <w:rPr>
          <w:sz w:val="20"/>
        </w:rPr>
      </w:pPr>
      <w:bookmarkStart w:name="_bookmark166" w:id="168"/>
      <w:bookmarkEnd w:id="168"/>
      <w:r>
        <w:rPr/>
      </w:r>
      <w:hyperlink w:history="true" w:anchor="_bookmark63">
        <w:r>
          <w:rPr>
            <w:color w:val="005DA1"/>
            <w:spacing w:val="-5"/>
            <w:position w:val="5"/>
            <w:sz w:val="14"/>
            <w:u w:val="single" w:color="005DA1"/>
          </w:rPr>
          <w:t>51</w:t>
        </w:r>
      </w:hyperlink>
      <w:r>
        <w:rPr>
          <w:spacing w:val="-5"/>
          <w:position w:val="5"/>
          <w:sz w:val="14"/>
        </w:rPr>
        <w:t>.</w:t>
      </w:r>
      <w:r>
        <w:rPr>
          <w:position w:val="5"/>
          <w:sz w:val="14"/>
        </w:rPr>
        <w:tab/>
      </w:r>
      <w:r>
        <w:rPr>
          <w:rFonts w:ascii="Arial" w:hAnsi="Arial"/>
          <w:i/>
          <w:sz w:val="20"/>
        </w:rPr>
        <w:t>Smelter Corp of Ireland Ltd v O’Driscoll [1977] I.R. </w:t>
      </w:r>
      <w:r>
        <w:rPr>
          <w:rFonts w:ascii="Arial" w:hAnsi="Arial"/>
          <w:i/>
          <w:spacing w:val="-4"/>
          <w:sz w:val="20"/>
        </w:rPr>
        <w:t>305</w:t>
      </w:r>
      <w:r>
        <w:rPr>
          <w:spacing w:val="-4"/>
          <w:sz w:val="20"/>
        </w:rPr>
        <w:t>.</w:t>
      </w:r>
    </w:p>
    <w:p>
      <w:pPr>
        <w:pStyle w:val="BodyText"/>
        <w:spacing w:before="9"/>
      </w:pPr>
    </w:p>
    <w:p>
      <w:pPr>
        <w:spacing w:line="235" w:lineRule="auto" w:before="0"/>
        <w:ind w:left="705" w:right="168" w:hanging="541"/>
        <w:jc w:val="both"/>
        <w:rPr>
          <w:sz w:val="20"/>
        </w:rPr>
      </w:pPr>
      <w:bookmarkStart w:name="_bookmark167" w:id="169"/>
      <w:bookmarkEnd w:id="169"/>
      <w:r>
        <w:rPr/>
      </w:r>
      <w:hyperlink w:history="true" w:anchor="_bookmark64">
        <w:r>
          <w:rPr>
            <w:color w:val="005DA1"/>
            <w:position w:val="5"/>
            <w:sz w:val="14"/>
            <w:u w:val="single" w:color="005DA1"/>
          </w:rPr>
          <w:t>52</w:t>
        </w:r>
      </w:hyperlink>
      <w:r>
        <w:rPr>
          <w:position w:val="5"/>
          <w:sz w:val="14"/>
        </w:rPr>
        <w:t>.</w:t>
      </w:r>
      <w:r>
        <w:rPr>
          <w:spacing w:val="80"/>
          <w:position w:val="5"/>
          <w:sz w:val="14"/>
        </w:rPr>
        <w:t>  </w:t>
      </w:r>
      <w:r>
        <w:rPr>
          <w:sz w:val="20"/>
        </w:rPr>
        <w:t>See </w:t>
      </w:r>
      <w:r>
        <w:rPr>
          <w:rFonts w:ascii="Arial"/>
          <w:i/>
          <w:sz w:val="20"/>
        </w:rPr>
        <w:t>Spice Girls Ltd v Aprilia World Service BV [2002] E.M.L.R. 27, 29</w:t>
      </w:r>
      <w:r>
        <w:rPr>
          <w:sz w:val="20"/>
        </w:rPr>
        <w:t>; </w:t>
      </w:r>
      <w:r>
        <w:rPr>
          <w:rFonts w:ascii="Arial"/>
          <w:i/>
          <w:sz w:val="20"/>
        </w:rPr>
        <w:t>Fitzroy Robinson Ltd v Mentmore Towers Ltd [2009] EWHC 1552 (TCC) </w:t>
      </w:r>
      <w:r>
        <w:rPr>
          <w:sz w:val="20"/>
        </w:rPr>
        <w:t>at [160]; </w:t>
      </w:r>
      <w:r>
        <w:rPr>
          <w:rFonts w:ascii="Arial"/>
          <w:i/>
          <w:sz w:val="20"/>
        </w:rPr>
        <w:t>FoodCo UK LLP (t/a Muffin Break) v Henry Boot Developments Ltd [2010] EWHC 358 (Ch) </w:t>
      </w:r>
      <w:r>
        <w:rPr>
          <w:sz w:val="20"/>
        </w:rPr>
        <w:t>at [198].</w:t>
      </w:r>
    </w:p>
    <w:p>
      <w:pPr>
        <w:pStyle w:val="BodyText"/>
        <w:spacing w:before="5"/>
      </w:pPr>
    </w:p>
    <w:p>
      <w:pPr>
        <w:tabs>
          <w:tab w:pos="705" w:val="left" w:leader="none"/>
        </w:tabs>
        <w:spacing w:before="0"/>
        <w:ind w:left="165" w:right="0" w:firstLine="0"/>
        <w:jc w:val="left"/>
        <w:rPr>
          <w:sz w:val="20"/>
        </w:rPr>
      </w:pPr>
      <w:bookmarkStart w:name="_bookmark168" w:id="170"/>
      <w:bookmarkEnd w:id="170"/>
      <w:r>
        <w:rPr/>
      </w:r>
      <w:hyperlink w:history="true" w:anchor="_bookmark65">
        <w:r>
          <w:rPr>
            <w:color w:val="005DA1"/>
            <w:spacing w:val="-5"/>
            <w:position w:val="5"/>
            <w:sz w:val="14"/>
            <w:u w:val="single" w:color="005DA1"/>
          </w:rPr>
          <w:t>53</w:t>
        </w:r>
      </w:hyperlink>
      <w:r>
        <w:rPr>
          <w:spacing w:val="-5"/>
          <w:position w:val="5"/>
          <w:sz w:val="14"/>
        </w:rPr>
        <w:t>.</w:t>
      </w:r>
      <w:r>
        <w:rPr>
          <w:position w:val="5"/>
          <w:sz w:val="14"/>
        </w:rPr>
        <w:tab/>
      </w:r>
      <w:r>
        <w:rPr>
          <w:rFonts w:ascii="Arial" w:hAnsi="Arial"/>
          <w:i/>
          <w:sz w:val="20"/>
        </w:rPr>
        <w:t>Jaffray v Society of Lloyd’s [2002] EWCA Civ 1101</w:t>
      </w:r>
      <w:r>
        <w:rPr>
          <w:rFonts w:ascii="Arial" w:hAnsi="Arial"/>
          <w:i/>
          <w:spacing w:val="-1"/>
          <w:sz w:val="20"/>
        </w:rPr>
        <w:t> </w:t>
      </w:r>
      <w:r>
        <w:rPr>
          <w:sz w:val="20"/>
        </w:rPr>
        <w:t>at </w:t>
      </w:r>
      <w:r>
        <w:rPr>
          <w:spacing w:val="-2"/>
          <w:sz w:val="20"/>
        </w:rPr>
        <w:t>[59].</w:t>
      </w:r>
    </w:p>
    <w:p>
      <w:pPr>
        <w:pStyle w:val="BodyText"/>
        <w:spacing w:before="5"/>
      </w:pPr>
    </w:p>
    <w:p>
      <w:pPr>
        <w:tabs>
          <w:tab w:pos="705" w:val="left" w:leader="none"/>
        </w:tabs>
        <w:spacing w:before="0"/>
        <w:ind w:left="165" w:right="0" w:firstLine="0"/>
        <w:jc w:val="left"/>
        <w:rPr>
          <w:sz w:val="20"/>
        </w:rPr>
      </w:pPr>
      <w:bookmarkStart w:name="_bookmark169" w:id="171"/>
      <w:bookmarkEnd w:id="171"/>
      <w:r>
        <w:rPr/>
      </w:r>
      <w:hyperlink w:history="true" w:anchor="_bookmark66">
        <w:r>
          <w:rPr>
            <w:color w:val="005DA1"/>
            <w:spacing w:val="-5"/>
            <w:position w:val="5"/>
            <w:sz w:val="14"/>
            <w:u w:val="single" w:color="005DA1"/>
          </w:rPr>
          <w:t>54</w:t>
        </w:r>
      </w:hyperlink>
      <w:r>
        <w:rPr>
          <w:spacing w:val="-5"/>
          <w:position w:val="5"/>
          <w:sz w:val="14"/>
        </w:rPr>
        <w:t>.</w:t>
      </w:r>
      <w:r>
        <w:rPr>
          <w:position w:val="5"/>
          <w:sz w:val="14"/>
        </w:rPr>
        <w:tab/>
      </w:r>
      <w:r>
        <w:rPr>
          <w:rFonts w:ascii="Arial"/>
          <w:i/>
          <w:sz w:val="20"/>
        </w:rPr>
        <w:t>[1958]</w:t>
      </w:r>
      <w:r>
        <w:rPr>
          <w:rFonts w:ascii="Arial"/>
          <w:i/>
          <w:spacing w:val="-1"/>
          <w:sz w:val="20"/>
        </w:rPr>
        <w:t> </w:t>
      </w:r>
      <w:r>
        <w:rPr>
          <w:rFonts w:ascii="Arial"/>
          <w:i/>
          <w:sz w:val="20"/>
        </w:rPr>
        <w:t>Ch. 636</w:t>
      </w:r>
      <w:r>
        <w:rPr>
          <w:sz w:val="20"/>
        </w:rPr>
        <w:t>; above, para.7-</w:t>
      </w:r>
      <w:r>
        <w:rPr>
          <w:spacing w:val="-4"/>
          <w:sz w:val="20"/>
        </w:rPr>
        <w:t>009.</w:t>
      </w:r>
    </w:p>
    <w:p>
      <w:pPr>
        <w:pStyle w:val="BodyText"/>
        <w:spacing w:before="5"/>
      </w:pPr>
    </w:p>
    <w:p>
      <w:pPr>
        <w:pStyle w:val="BodyText"/>
        <w:tabs>
          <w:tab w:pos="705" w:val="left" w:leader="none"/>
        </w:tabs>
        <w:ind w:left="165"/>
      </w:pPr>
      <w:bookmarkStart w:name="_bookmark170" w:id="172"/>
      <w:bookmarkEnd w:id="172"/>
      <w:r>
        <w:rPr/>
      </w:r>
      <w:hyperlink w:history="true" w:anchor="_bookmark67">
        <w:r>
          <w:rPr>
            <w:color w:val="005DA1"/>
            <w:spacing w:val="-5"/>
            <w:position w:val="5"/>
            <w:sz w:val="14"/>
            <w:u w:val="single" w:color="005DA1"/>
          </w:rPr>
          <w:t>55</w:t>
        </w:r>
      </w:hyperlink>
      <w:r>
        <w:rPr>
          <w:spacing w:val="-5"/>
          <w:position w:val="5"/>
          <w:sz w:val="14"/>
        </w:rPr>
        <w:t>.</w:t>
      </w:r>
      <w:r>
        <w:rPr>
          <w:position w:val="5"/>
          <w:sz w:val="14"/>
        </w:rPr>
        <w:tab/>
      </w:r>
      <w:r>
        <w:rPr/>
        <w:t>See</w:t>
      </w:r>
      <w:r>
        <w:rPr>
          <w:spacing w:val="-2"/>
        </w:rPr>
        <w:t> </w:t>
      </w:r>
      <w:r>
        <w:rPr/>
        <w:t>below, para.7-</w:t>
      </w:r>
      <w:r>
        <w:rPr>
          <w:spacing w:val="-4"/>
        </w:rPr>
        <w:t>018.</w:t>
      </w:r>
    </w:p>
    <w:p>
      <w:pPr>
        <w:pStyle w:val="BodyText"/>
        <w:spacing w:before="5"/>
      </w:pPr>
    </w:p>
    <w:p>
      <w:pPr>
        <w:tabs>
          <w:tab w:pos="705" w:val="left" w:leader="none"/>
        </w:tabs>
        <w:spacing w:before="0"/>
        <w:ind w:left="165" w:right="0" w:firstLine="0"/>
        <w:jc w:val="left"/>
        <w:rPr>
          <w:sz w:val="20"/>
        </w:rPr>
      </w:pPr>
      <w:bookmarkStart w:name="_bookmark171" w:id="173"/>
      <w:bookmarkEnd w:id="173"/>
      <w:r>
        <w:rPr/>
      </w:r>
      <w:hyperlink w:history="true" w:anchor="_bookmark67">
        <w:r>
          <w:rPr>
            <w:color w:val="005DA1"/>
            <w:spacing w:val="-5"/>
            <w:position w:val="5"/>
            <w:sz w:val="14"/>
            <w:u w:val="single" w:color="005DA1"/>
          </w:rPr>
          <w:t>56</w:t>
        </w:r>
      </w:hyperlink>
      <w:r>
        <w:rPr>
          <w:spacing w:val="-5"/>
          <w:position w:val="5"/>
          <w:sz w:val="14"/>
        </w:rPr>
        <w:t>.</w:t>
      </w:r>
      <w:r>
        <w:rPr>
          <w:position w:val="5"/>
          <w:sz w:val="14"/>
        </w:rPr>
        <w:tab/>
      </w:r>
      <w:r>
        <w:rPr>
          <w:rFonts w:ascii="Arial"/>
          <w:i/>
          <w:sz w:val="20"/>
        </w:rPr>
        <w:t>[2002] EWCA Civ 15, [2002] E.M.L.R. 27</w:t>
      </w:r>
      <w:r>
        <w:rPr>
          <w:rFonts w:ascii="Arial"/>
          <w:i/>
          <w:spacing w:val="-1"/>
          <w:sz w:val="20"/>
        </w:rPr>
        <w:t> </w:t>
      </w:r>
      <w:r>
        <w:rPr>
          <w:sz w:val="20"/>
        </w:rPr>
        <w:t>at </w:t>
      </w:r>
      <w:r>
        <w:rPr>
          <w:spacing w:val="-4"/>
          <w:sz w:val="20"/>
        </w:rPr>
        <w:t>[54].</w:t>
      </w:r>
    </w:p>
    <w:p>
      <w:pPr>
        <w:pStyle w:val="BodyText"/>
        <w:spacing w:before="9"/>
      </w:pPr>
    </w:p>
    <w:p>
      <w:pPr>
        <w:pStyle w:val="BodyText"/>
        <w:spacing w:line="235" w:lineRule="auto"/>
        <w:ind w:left="705" w:right="167" w:hanging="541"/>
        <w:jc w:val="both"/>
      </w:pPr>
      <w:bookmarkStart w:name="_bookmark172" w:id="174"/>
      <w:bookmarkEnd w:id="174"/>
      <w:r>
        <w:rPr/>
      </w:r>
      <w:hyperlink w:history="true" w:anchor="_bookmark68">
        <w:r>
          <w:rPr>
            <w:color w:val="005DA1"/>
            <w:position w:val="5"/>
            <w:sz w:val="14"/>
            <w:u w:val="single" w:color="005DA1"/>
          </w:rPr>
          <w:t>57</w:t>
        </w:r>
      </w:hyperlink>
      <w:r>
        <w:rPr>
          <w:position w:val="5"/>
          <w:sz w:val="14"/>
        </w:rPr>
        <w:t>.</w:t>
      </w:r>
      <w:r>
        <w:rPr>
          <w:spacing w:val="80"/>
          <w:position w:val="5"/>
          <w:sz w:val="14"/>
        </w:rPr>
        <w:t>  </w:t>
      </w:r>
      <w:r>
        <w:rPr>
          <w:rFonts w:ascii="Arial" w:hAnsi="Arial"/>
          <w:i/>
        </w:rPr>
        <w:t>Laurence v Lexcourt Holdings Ltd [1978] 1 W.L.R. 1128</w:t>
      </w:r>
      <w:r>
        <w:rPr/>
        <w:t>. In the criminal law the concept of an implied representation is widely relied upon in prosecutions under the Theft Act; for instance, it has been</w:t>
      </w:r>
      <w:r>
        <w:rPr>
          <w:spacing w:val="-1"/>
        </w:rPr>
        <w:t> </w:t>
      </w:r>
      <w:r>
        <w:rPr/>
        <w:t>held that</w:t>
      </w:r>
      <w:r>
        <w:rPr>
          <w:spacing w:val="-1"/>
        </w:rPr>
        <w:t> </w:t>
      </w:r>
      <w:r>
        <w:rPr/>
        <w:t>a minicab</w:t>
      </w:r>
      <w:r>
        <w:rPr>
          <w:spacing w:val="-1"/>
        </w:rPr>
        <w:t> </w:t>
      </w:r>
      <w:r>
        <w:rPr/>
        <w:t>driver who</w:t>
      </w:r>
      <w:r>
        <w:rPr>
          <w:spacing w:val="-1"/>
        </w:rPr>
        <w:t> </w:t>
      </w:r>
      <w:r>
        <w:rPr/>
        <w:t>solicited a</w:t>
      </w:r>
      <w:r>
        <w:rPr>
          <w:spacing w:val="-1"/>
        </w:rPr>
        <w:t> </w:t>
      </w:r>
      <w:r>
        <w:rPr/>
        <w:t>customer at</w:t>
      </w:r>
      <w:r>
        <w:rPr>
          <w:spacing w:val="-1"/>
        </w:rPr>
        <w:t> </w:t>
      </w:r>
      <w:r>
        <w:rPr/>
        <w:t>a London</w:t>
      </w:r>
      <w:r>
        <w:rPr>
          <w:spacing w:val="-1"/>
        </w:rPr>
        <w:t> </w:t>
      </w:r>
      <w:r>
        <w:rPr/>
        <w:t>airport, saying,</w:t>
      </w:r>
      <w:r>
        <w:rPr>
          <w:spacing w:val="-1"/>
        </w:rPr>
        <w:t> </w:t>
      </w:r>
      <w:r>
        <w:rPr/>
        <w:t>“yes, </w:t>
      </w:r>
      <w:r>
        <w:rPr/>
        <w:t>I am an airport taxi”, and subsequently assured the customer that £27.50 was the “correct fare” was guilty of representing that he was an officially licensed taxi driver and that the fare was somehow at an officially approved rate: </w:t>
      </w:r>
      <w:r>
        <w:rPr>
          <w:rFonts w:ascii="Arial" w:hAnsi="Arial"/>
          <w:i/>
        </w:rPr>
        <w:t>R. v Banaster [1979] R.T.R 113</w:t>
      </w:r>
      <w:r>
        <w:rPr/>
        <w:t>. See also below,</w:t>
      </w:r>
      <w:r>
        <w:rPr>
          <w:spacing w:val="40"/>
        </w:rPr>
        <w:t> </w:t>
      </w:r>
      <w:r>
        <w:rPr>
          <w:spacing w:val="-2"/>
        </w:rPr>
        <w:t>para.7-018.</w:t>
      </w:r>
    </w:p>
    <w:p>
      <w:pPr>
        <w:pStyle w:val="BodyText"/>
        <w:spacing w:before="7"/>
      </w:pPr>
    </w:p>
    <w:p>
      <w:pPr>
        <w:spacing w:line="235" w:lineRule="auto" w:before="1"/>
        <w:ind w:left="705" w:right="168" w:hanging="541"/>
        <w:jc w:val="both"/>
        <w:rPr>
          <w:sz w:val="20"/>
        </w:rPr>
      </w:pPr>
      <w:bookmarkStart w:name="_bookmark173" w:id="175"/>
      <w:bookmarkEnd w:id="175"/>
      <w:r>
        <w:rPr/>
      </w:r>
      <w:hyperlink w:history="true" w:anchor="_bookmark69">
        <w:r>
          <w:rPr>
            <w:color w:val="005DA1"/>
            <w:position w:val="5"/>
            <w:sz w:val="14"/>
            <w:u w:val="single" w:color="005DA1"/>
          </w:rPr>
          <w:t>58</w:t>
        </w:r>
      </w:hyperlink>
      <w:r>
        <w:rPr>
          <w:position w:val="5"/>
          <w:sz w:val="14"/>
        </w:rPr>
        <w:t>.</w:t>
      </w:r>
      <w:r>
        <w:rPr>
          <w:spacing w:val="80"/>
          <w:position w:val="5"/>
          <w:sz w:val="14"/>
        </w:rPr>
        <w:t>  </w:t>
      </w:r>
      <w:r>
        <w:rPr>
          <w:rFonts w:ascii="Arial" w:hAnsi="Arial"/>
          <w:i/>
          <w:sz w:val="20"/>
        </w:rPr>
        <w:t>IFE Fund SA v Goldman Sachs International [2007] 1 Lloyd’s Rep. 264</w:t>
      </w:r>
      <w:r>
        <w:rPr>
          <w:sz w:val="20"/>
        </w:rPr>
        <w:t>, per Toulson J. at </w:t>
      </w:r>
      <w:r>
        <w:rPr>
          <w:sz w:val="20"/>
        </w:rPr>
        <w:t>[50] (affirmed without comment on this point </w:t>
      </w:r>
      <w:r>
        <w:rPr>
          <w:rFonts w:ascii="Arial" w:hAnsi="Arial"/>
          <w:i/>
          <w:sz w:val="20"/>
        </w:rPr>
        <w:t>[2007] EWCA Civ 811, [2007] 2 Lloyd’s Rep. 449</w:t>
      </w:r>
      <w:r>
        <w:rPr>
          <w:sz w:val="20"/>
        </w:rPr>
        <w:t>); </w:t>
      </w:r>
      <w:r>
        <w:rPr>
          <w:rFonts w:ascii="Arial" w:hAnsi="Arial"/>
          <w:i/>
          <w:sz w:val="20"/>
        </w:rPr>
        <w:t>Merrill Lynch International v Amorim Partners Ltd [2014] EWHC 74 (QB) </w:t>
      </w:r>
      <w:r>
        <w:rPr>
          <w:sz w:val="20"/>
        </w:rPr>
        <w:t>at [43], referring to a dictum of Mance J. in </w:t>
      </w:r>
      <w:r>
        <w:rPr>
          <w:rFonts w:ascii="Arial" w:hAnsi="Arial"/>
          <w:i/>
          <w:sz w:val="20"/>
        </w:rPr>
        <w:t>Bankers Trust International v PT Dharmala Sakti Sejahtera [1996] C.L.C. 518 </w:t>
      </w:r>
      <w:r>
        <w:rPr>
          <w:sz w:val="20"/>
        </w:rPr>
        <w:t>at 531, cited above, para. 7-006 n.26.</w:t>
      </w:r>
    </w:p>
    <w:p>
      <w:pPr>
        <w:pStyle w:val="BodyText"/>
        <w:spacing w:before="8"/>
      </w:pPr>
    </w:p>
    <w:p>
      <w:pPr>
        <w:spacing w:line="235" w:lineRule="auto" w:before="0"/>
        <w:ind w:left="705" w:right="167" w:hanging="541"/>
        <w:jc w:val="both"/>
        <w:rPr>
          <w:sz w:val="20"/>
        </w:rPr>
      </w:pPr>
      <w:bookmarkStart w:name="_bookmark174" w:id="176"/>
      <w:bookmarkEnd w:id="176"/>
      <w:r>
        <w:rPr/>
      </w:r>
      <w:hyperlink w:history="true" w:anchor="_bookmark70">
        <w:r>
          <w:rPr>
            <w:color w:val="005DA1"/>
            <w:position w:val="5"/>
            <w:sz w:val="14"/>
            <w:u w:val="single" w:color="005DA1"/>
          </w:rPr>
          <w:t>59</w:t>
        </w:r>
      </w:hyperlink>
      <w:r>
        <w:rPr>
          <w:position w:val="5"/>
          <w:sz w:val="14"/>
        </w:rPr>
        <w:t>.</w:t>
      </w:r>
      <w:r>
        <w:rPr>
          <w:spacing w:val="40"/>
          <w:position w:val="5"/>
          <w:sz w:val="14"/>
        </w:rPr>
        <w:t>  </w:t>
      </w:r>
      <w:r>
        <w:rPr>
          <w:rFonts w:ascii="Arial" w:hAnsi="Arial"/>
          <w:i/>
          <w:sz w:val="20"/>
        </w:rPr>
        <w:t>Geest Plc v Fyffes Plc [1999] 1 All E.R. (Comm) 672, 683</w:t>
      </w:r>
      <w:r>
        <w:rPr>
          <w:sz w:val="20"/>
        </w:rPr>
        <w:t>. See also </w:t>
      </w:r>
      <w:r>
        <w:rPr>
          <w:rFonts w:ascii="Arial" w:hAnsi="Arial"/>
          <w:i/>
          <w:sz w:val="20"/>
        </w:rPr>
        <w:t>Raiffeisen </w:t>
      </w:r>
      <w:r>
        <w:rPr>
          <w:rFonts w:ascii="Arial" w:hAnsi="Arial"/>
          <w:i/>
          <w:sz w:val="20"/>
        </w:rPr>
        <w:t>Zentralbank Osterreich AG v The Royal Bank of Scotland Plc [2010] EWHC 1392 (Comm) </w:t>
      </w:r>
      <w:r>
        <w:rPr>
          <w:sz w:val="20"/>
        </w:rPr>
        <w:t>at [84]–[85]; </w:t>
      </w:r>
      <w:r>
        <w:rPr>
          <w:rFonts w:ascii="Arial" w:hAnsi="Arial"/>
          <w:i/>
          <w:sz w:val="20"/>
        </w:rPr>
        <w:t>Cassa di Risparmio della Repubblica di San Marino SpA v Barclays Bank Ltd [2011] EWHC</w:t>
      </w:r>
      <w:r>
        <w:rPr>
          <w:rFonts w:ascii="Arial" w:hAnsi="Arial"/>
          <w:i/>
          <w:spacing w:val="40"/>
          <w:sz w:val="20"/>
        </w:rPr>
        <w:t> </w:t>
      </w:r>
      <w:r>
        <w:rPr>
          <w:rFonts w:ascii="Arial" w:hAnsi="Arial"/>
          <w:i/>
          <w:sz w:val="20"/>
        </w:rPr>
        <w:t>484</w:t>
      </w:r>
      <w:r>
        <w:rPr>
          <w:rFonts w:ascii="Arial" w:hAnsi="Arial"/>
          <w:i/>
          <w:spacing w:val="-1"/>
          <w:sz w:val="20"/>
        </w:rPr>
        <w:t> </w:t>
      </w:r>
      <w:r>
        <w:rPr>
          <w:rFonts w:ascii="Arial" w:hAnsi="Arial"/>
          <w:i/>
          <w:sz w:val="20"/>
        </w:rPr>
        <w:t>(Comm)</w:t>
      </w:r>
      <w:r>
        <w:rPr>
          <w:rFonts w:ascii="Arial" w:hAnsi="Arial"/>
          <w:i/>
          <w:spacing w:val="-1"/>
          <w:sz w:val="20"/>
        </w:rPr>
        <w:t> </w:t>
      </w:r>
      <w:r>
        <w:rPr>
          <w:sz w:val="20"/>
        </w:rPr>
        <w:t>at</w:t>
      </w:r>
      <w:r>
        <w:rPr>
          <w:spacing w:val="-1"/>
          <w:sz w:val="20"/>
        </w:rPr>
        <w:t> </w:t>
      </w:r>
      <w:r>
        <w:rPr>
          <w:sz w:val="20"/>
        </w:rPr>
        <w:t>[215];</w:t>
      </w:r>
      <w:r>
        <w:rPr>
          <w:spacing w:val="-1"/>
          <w:sz w:val="20"/>
        </w:rPr>
        <w:t> </w:t>
      </w:r>
      <w:r>
        <w:rPr>
          <w:rFonts w:ascii="Arial" w:hAnsi="Arial"/>
          <w:i/>
          <w:sz w:val="20"/>
        </w:rPr>
        <w:t>Cavendish</w:t>
      </w:r>
      <w:r>
        <w:rPr>
          <w:rFonts w:ascii="Arial" w:hAnsi="Arial"/>
          <w:i/>
          <w:spacing w:val="-1"/>
          <w:sz w:val="20"/>
        </w:rPr>
        <w:t> </w:t>
      </w:r>
      <w:r>
        <w:rPr>
          <w:rFonts w:ascii="Arial" w:hAnsi="Arial"/>
          <w:i/>
          <w:sz w:val="20"/>
        </w:rPr>
        <w:t>Corporate</w:t>
      </w:r>
      <w:r>
        <w:rPr>
          <w:rFonts w:ascii="Arial" w:hAnsi="Arial"/>
          <w:i/>
          <w:spacing w:val="-1"/>
          <w:sz w:val="20"/>
        </w:rPr>
        <w:t> </w:t>
      </w:r>
      <w:r>
        <w:rPr>
          <w:rFonts w:ascii="Arial" w:hAnsi="Arial"/>
          <w:i/>
          <w:sz w:val="20"/>
        </w:rPr>
        <w:t>Finance</w:t>
      </w:r>
      <w:r>
        <w:rPr>
          <w:rFonts w:ascii="Arial" w:hAnsi="Arial"/>
          <w:i/>
          <w:spacing w:val="-1"/>
          <w:sz w:val="20"/>
        </w:rPr>
        <w:t> </w:t>
      </w:r>
      <w:r>
        <w:rPr>
          <w:rFonts w:ascii="Arial" w:hAnsi="Arial"/>
          <w:i/>
          <w:sz w:val="20"/>
        </w:rPr>
        <w:t>LLP</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KIMS</w:t>
      </w:r>
      <w:r>
        <w:rPr>
          <w:rFonts w:ascii="Arial" w:hAnsi="Arial"/>
          <w:i/>
          <w:spacing w:val="-1"/>
          <w:sz w:val="20"/>
        </w:rPr>
        <w:t> </w:t>
      </w:r>
      <w:r>
        <w:rPr>
          <w:rFonts w:ascii="Arial" w:hAnsi="Arial"/>
          <w:i/>
          <w:sz w:val="20"/>
        </w:rPr>
        <w:t>Property</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[2014]</w:t>
      </w:r>
      <w:r>
        <w:rPr>
          <w:rFonts w:ascii="Arial" w:hAnsi="Arial"/>
          <w:i/>
          <w:spacing w:val="-1"/>
          <w:sz w:val="20"/>
        </w:rPr>
        <w:t> </w:t>
      </w:r>
      <w:r>
        <w:rPr>
          <w:rFonts w:ascii="Arial" w:hAnsi="Arial"/>
          <w:i/>
          <w:sz w:val="20"/>
        </w:rPr>
        <w:t>EWHC 1282 (Ch) </w:t>
      </w:r>
      <w:r>
        <w:rPr>
          <w:sz w:val="20"/>
        </w:rPr>
        <w:t>at [113]; </w:t>
      </w:r>
      <w:r>
        <w:rPr>
          <w:rFonts w:ascii="Arial" w:hAnsi="Arial"/>
          <w:i/>
          <w:sz w:val="20"/>
        </w:rPr>
        <w:t>Deutsche Bank AG v Unitech Global Ltd [2013] EWHC 471 (Comm) </w:t>
      </w:r>
      <w:r>
        <w:rPr>
          <w:sz w:val="20"/>
        </w:rPr>
        <w:t>at [27] (that</w:t>
      </w:r>
      <w:r>
        <w:rPr>
          <w:spacing w:val="30"/>
          <w:sz w:val="20"/>
        </w:rPr>
        <w:t> </w:t>
      </w:r>
      <w:r>
        <w:rPr>
          <w:sz w:val="20"/>
        </w:rPr>
        <w:t>bank</w:t>
      </w:r>
      <w:r>
        <w:rPr>
          <w:spacing w:val="30"/>
          <w:sz w:val="20"/>
        </w:rPr>
        <w:t> </w:t>
      </w:r>
      <w:r>
        <w:rPr>
          <w:sz w:val="20"/>
        </w:rPr>
        <w:t>that</w:t>
      </w:r>
      <w:r>
        <w:rPr>
          <w:spacing w:val="30"/>
          <w:sz w:val="20"/>
        </w:rPr>
        <w:t> </w:t>
      </w:r>
      <w:r>
        <w:rPr>
          <w:sz w:val="20"/>
        </w:rPr>
        <w:t>is</w:t>
      </w:r>
      <w:r>
        <w:rPr>
          <w:spacing w:val="30"/>
          <w:sz w:val="20"/>
        </w:rPr>
        <w:t> </w:t>
      </w:r>
      <w:r>
        <w:rPr>
          <w:sz w:val="20"/>
        </w:rPr>
        <w:t>a</w:t>
      </w:r>
      <w:r>
        <w:rPr>
          <w:spacing w:val="30"/>
          <w:sz w:val="20"/>
        </w:rPr>
        <w:t> </w:t>
      </w:r>
      <w:r>
        <w:rPr>
          <w:sz w:val="20"/>
        </w:rPr>
        <w:t>member</w:t>
      </w:r>
      <w:r>
        <w:rPr>
          <w:spacing w:val="30"/>
          <w:sz w:val="20"/>
        </w:rPr>
        <w:t> </w:t>
      </w:r>
      <w:r>
        <w:rPr>
          <w:sz w:val="20"/>
        </w:rPr>
        <w:t>of</w:t>
      </w:r>
      <w:r>
        <w:rPr>
          <w:spacing w:val="30"/>
          <w:sz w:val="20"/>
        </w:rPr>
        <w:t> </w:t>
      </w:r>
      <w:r>
        <w:rPr>
          <w:sz w:val="20"/>
        </w:rPr>
        <w:t>the</w:t>
      </w:r>
      <w:r>
        <w:rPr>
          <w:spacing w:val="30"/>
          <w:sz w:val="20"/>
        </w:rPr>
        <w:t> </w:t>
      </w:r>
      <w:r>
        <w:rPr>
          <w:sz w:val="20"/>
        </w:rPr>
        <w:t>LIBOR</w:t>
      </w:r>
      <w:r>
        <w:rPr>
          <w:spacing w:val="30"/>
          <w:sz w:val="20"/>
        </w:rPr>
        <w:t> </w:t>
      </w:r>
      <w:r>
        <w:rPr>
          <w:sz w:val="20"/>
        </w:rPr>
        <w:t>panel</w:t>
      </w:r>
      <w:r>
        <w:rPr>
          <w:spacing w:val="30"/>
          <w:sz w:val="20"/>
        </w:rPr>
        <w:t> </w:t>
      </w:r>
      <w:r>
        <w:rPr>
          <w:sz w:val="20"/>
        </w:rPr>
        <w:t>enters</w:t>
      </w:r>
      <w:r>
        <w:rPr>
          <w:spacing w:val="30"/>
          <w:sz w:val="20"/>
        </w:rPr>
        <w:t> </w:t>
      </w:r>
      <w:r>
        <w:rPr>
          <w:sz w:val="20"/>
        </w:rPr>
        <w:t>into</w:t>
      </w:r>
      <w:r>
        <w:rPr>
          <w:spacing w:val="30"/>
          <w:sz w:val="20"/>
        </w:rPr>
        <w:t> </w:t>
      </w:r>
      <w:r>
        <w:rPr>
          <w:sz w:val="20"/>
        </w:rPr>
        <w:t>a</w:t>
      </w:r>
      <w:r>
        <w:rPr>
          <w:spacing w:val="30"/>
          <w:sz w:val="20"/>
        </w:rPr>
        <w:t> </w:t>
      </w:r>
      <w:r>
        <w:rPr>
          <w:sz w:val="20"/>
        </w:rPr>
        <w:t>financial</w:t>
      </w:r>
      <w:r>
        <w:rPr>
          <w:spacing w:val="30"/>
          <w:sz w:val="20"/>
        </w:rPr>
        <w:t> </w:t>
      </w:r>
      <w:r>
        <w:rPr>
          <w:sz w:val="20"/>
        </w:rPr>
        <w:t>transaction</w:t>
      </w:r>
      <w:r>
        <w:rPr>
          <w:spacing w:val="30"/>
          <w:sz w:val="20"/>
        </w:rPr>
        <w:t> </w:t>
      </w:r>
      <w:r>
        <w:rPr>
          <w:sz w:val="20"/>
        </w:rPr>
        <w:t>linked</w:t>
      </w:r>
      <w:r>
        <w:rPr>
          <w:spacing w:val="30"/>
          <w:sz w:val="20"/>
        </w:rPr>
        <w:t> </w:t>
      </w:r>
      <w:r>
        <w:rPr>
          <w:spacing w:val="-7"/>
          <w:sz w:val="20"/>
        </w:rPr>
        <w:t>to</w:t>
      </w:r>
    </w:p>
    <w:p>
      <w:pPr>
        <w:spacing w:after="0" w:line="235" w:lineRule="auto"/>
        <w:jc w:val="both"/>
        <w:rPr>
          <w:sz w:val="20"/>
        </w:rPr>
        <w:sectPr>
          <w:type w:val="continuous"/>
          <w:pgSz w:w="11900" w:h="16840"/>
          <w:pgMar w:header="971" w:footer="0" w:top="1160" w:bottom="280" w:left="1275" w:right="1275"/>
        </w:sectPr>
      </w:pPr>
    </w:p>
    <w:p>
      <w:pPr>
        <w:pStyle w:val="BodyText"/>
        <w:spacing w:before="24"/>
      </w:pPr>
    </w:p>
    <w:p>
      <w:pPr>
        <w:pStyle w:val="BodyText"/>
        <w:spacing w:line="235" w:lineRule="auto" w:before="1"/>
        <w:ind w:left="705"/>
      </w:pPr>
      <w:r>
        <w:rPr/>
        <w:t>LIBOR does not imply representation that nothing has been done in the past, or is now being</w:t>
      </w:r>
      <w:r>
        <w:rPr>
          <w:spacing w:val="80"/>
        </w:rPr>
        <w:t> </w:t>
      </w:r>
      <w:r>
        <w:rPr/>
        <w:t>done, by the bank, to manipulate the rate).</w:t>
      </w:r>
    </w:p>
    <w:p>
      <w:pPr>
        <w:pStyle w:val="BodyText"/>
        <w:spacing w:before="5"/>
      </w:pPr>
    </w:p>
    <w:p>
      <w:pPr>
        <w:pStyle w:val="BodyText"/>
        <w:tabs>
          <w:tab w:pos="705" w:val="left" w:leader="none"/>
        </w:tabs>
        <w:ind w:left="165"/>
      </w:pPr>
      <w:bookmarkStart w:name="_bookmark175" w:id="177"/>
      <w:bookmarkEnd w:id="177"/>
      <w:r>
        <w:rPr/>
      </w:r>
      <w:hyperlink w:history="true" w:anchor="_bookmark71">
        <w:r>
          <w:rPr>
            <w:color w:val="005DA1"/>
            <w:spacing w:val="-5"/>
            <w:position w:val="5"/>
            <w:sz w:val="14"/>
            <w:u w:val="single" w:color="005DA1"/>
          </w:rPr>
          <w:t>60</w:t>
        </w:r>
      </w:hyperlink>
      <w:r>
        <w:rPr>
          <w:spacing w:val="-5"/>
          <w:position w:val="5"/>
          <w:sz w:val="14"/>
        </w:rPr>
        <w:t>.</w:t>
      </w:r>
      <w:r>
        <w:rPr>
          <w:position w:val="5"/>
          <w:sz w:val="14"/>
        </w:rPr>
        <w:tab/>
      </w:r>
      <w:r>
        <w:rPr/>
        <w:t>Below,</w:t>
      </w:r>
      <w:r>
        <w:rPr>
          <w:spacing w:val="-2"/>
        </w:rPr>
        <w:t> </w:t>
      </w:r>
      <w:r>
        <w:rPr/>
        <w:t>paras 7-086—7-</w:t>
      </w:r>
      <w:r>
        <w:rPr>
          <w:spacing w:val="-4"/>
        </w:rPr>
        <w:t>096.</w:t>
      </w:r>
    </w:p>
    <w:p>
      <w:pPr>
        <w:pStyle w:val="BodyText"/>
        <w:spacing w:before="5"/>
      </w:pPr>
    </w:p>
    <w:p>
      <w:pPr>
        <w:tabs>
          <w:tab w:pos="705" w:val="left" w:leader="none"/>
        </w:tabs>
        <w:spacing w:before="0"/>
        <w:ind w:left="165" w:right="0" w:firstLine="0"/>
        <w:jc w:val="left"/>
        <w:rPr>
          <w:sz w:val="20"/>
        </w:rPr>
      </w:pPr>
      <w:bookmarkStart w:name="_bookmark176" w:id="178"/>
      <w:bookmarkEnd w:id="178"/>
      <w:r>
        <w:rPr/>
      </w:r>
      <w:hyperlink w:history="true" w:anchor="_bookmark72">
        <w:r>
          <w:rPr>
            <w:color w:val="005DA1"/>
            <w:spacing w:val="-5"/>
            <w:position w:val="5"/>
            <w:sz w:val="14"/>
            <w:u w:val="single" w:color="005DA1"/>
          </w:rPr>
          <w:t>61</w:t>
        </w:r>
      </w:hyperlink>
      <w:r>
        <w:rPr>
          <w:spacing w:val="-5"/>
          <w:position w:val="5"/>
          <w:sz w:val="14"/>
        </w:rPr>
        <w:t>.</w:t>
      </w:r>
      <w:r>
        <w:rPr>
          <w:position w:val="5"/>
          <w:sz w:val="14"/>
        </w:rPr>
        <w:tab/>
      </w:r>
      <w:r>
        <w:rPr>
          <w:rFonts w:ascii="Arial"/>
          <w:i/>
          <w:sz w:val="20"/>
        </w:rPr>
        <w:t>[1964]</w:t>
      </w:r>
      <w:r>
        <w:rPr>
          <w:rFonts w:ascii="Arial"/>
          <w:i/>
          <w:spacing w:val="-1"/>
          <w:sz w:val="20"/>
        </w:rPr>
        <w:t> </w:t>
      </w:r>
      <w:r>
        <w:rPr>
          <w:rFonts w:ascii="Arial"/>
          <w:i/>
          <w:sz w:val="20"/>
        </w:rPr>
        <w:t>A.C. 465</w:t>
      </w:r>
      <w:r>
        <w:rPr>
          <w:sz w:val="20"/>
        </w:rPr>
        <w:t>; below, para.7-</w:t>
      </w:r>
      <w:r>
        <w:rPr>
          <w:spacing w:val="-4"/>
          <w:sz w:val="20"/>
        </w:rPr>
        <w:t>089.</w:t>
      </w:r>
    </w:p>
    <w:p>
      <w:pPr>
        <w:pStyle w:val="BodyText"/>
        <w:spacing w:before="5"/>
      </w:pPr>
    </w:p>
    <w:p>
      <w:pPr>
        <w:pStyle w:val="BodyText"/>
        <w:tabs>
          <w:tab w:pos="705" w:val="left" w:leader="none"/>
        </w:tabs>
        <w:ind w:left="165"/>
      </w:pPr>
      <w:bookmarkStart w:name="_bookmark177" w:id="179"/>
      <w:bookmarkEnd w:id="179"/>
      <w:r>
        <w:rPr/>
      </w:r>
      <w:hyperlink w:history="true" w:anchor="_bookmark73">
        <w:r>
          <w:rPr>
            <w:color w:val="005DA1"/>
            <w:spacing w:val="-5"/>
            <w:position w:val="5"/>
            <w:sz w:val="14"/>
            <w:u w:val="single" w:color="005DA1"/>
          </w:rPr>
          <w:t>62</w:t>
        </w:r>
      </w:hyperlink>
      <w:r>
        <w:rPr>
          <w:spacing w:val="-5"/>
          <w:position w:val="5"/>
          <w:sz w:val="14"/>
        </w:rPr>
        <w:t>.</w:t>
      </w:r>
      <w:r>
        <w:rPr>
          <w:position w:val="5"/>
          <w:sz w:val="14"/>
        </w:rPr>
        <w:tab/>
      </w:r>
      <w:r>
        <w:rPr/>
        <w:t>On statements of law, see below, para.7-</w:t>
      </w:r>
      <w:r>
        <w:rPr>
          <w:spacing w:val="-4"/>
        </w:rPr>
        <w:t>016.</w:t>
      </w:r>
    </w:p>
    <w:p>
      <w:pPr>
        <w:pStyle w:val="BodyText"/>
        <w:spacing w:before="5"/>
      </w:pPr>
    </w:p>
    <w:p>
      <w:pPr>
        <w:tabs>
          <w:tab w:pos="705" w:val="left" w:leader="none"/>
        </w:tabs>
        <w:spacing w:before="0"/>
        <w:ind w:left="165" w:right="0" w:firstLine="0"/>
        <w:jc w:val="left"/>
        <w:rPr>
          <w:sz w:val="20"/>
        </w:rPr>
      </w:pPr>
      <w:bookmarkStart w:name="_bookmark178" w:id="180"/>
      <w:bookmarkEnd w:id="180"/>
      <w:r>
        <w:rPr/>
      </w:r>
      <w:hyperlink w:history="true" w:anchor="_bookmark74">
        <w:r>
          <w:rPr>
            <w:color w:val="005DA1"/>
            <w:spacing w:val="-5"/>
            <w:position w:val="5"/>
            <w:sz w:val="14"/>
            <w:u w:val="single" w:color="005DA1"/>
          </w:rPr>
          <w:t>63</w:t>
        </w:r>
      </w:hyperlink>
      <w:r>
        <w:rPr>
          <w:spacing w:val="-5"/>
          <w:position w:val="5"/>
          <w:sz w:val="14"/>
        </w:rPr>
        <w:t>.</w:t>
      </w:r>
      <w:r>
        <w:rPr>
          <w:position w:val="5"/>
          <w:sz w:val="14"/>
        </w:rPr>
        <w:tab/>
      </w:r>
      <w:r>
        <w:rPr>
          <w:rFonts w:ascii="Arial"/>
          <w:i/>
          <w:sz w:val="20"/>
        </w:rPr>
        <w:t>[1976]</w:t>
      </w:r>
      <w:r>
        <w:rPr>
          <w:rFonts w:ascii="Arial"/>
          <w:i/>
          <w:spacing w:val="-1"/>
          <w:sz w:val="20"/>
        </w:rPr>
        <w:t> </w:t>
      </w:r>
      <w:r>
        <w:rPr>
          <w:rFonts w:ascii="Arial"/>
          <w:i/>
          <w:sz w:val="20"/>
        </w:rPr>
        <w:t>Q.B. 801</w:t>
      </w:r>
      <w:r>
        <w:rPr>
          <w:sz w:val="20"/>
        </w:rPr>
        <w:t>, below, para.7-</w:t>
      </w:r>
      <w:r>
        <w:rPr>
          <w:spacing w:val="-4"/>
          <w:sz w:val="20"/>
        </w:rPr>
        <w:t>093.</w:t>
      </w:r>
    </w:p>
    <w:p>
      <w:pPr>
        <w:pStyle w:val="BodyText"/>
        <w:spacing w:before="5"/>
      </w:pPr>
    </w:p>
    <w:p>
      <w:pPr>
        <w:tabs>
          <w:tab w:pos="705" w:val="left" w:leader="none"/>
        </w:tabs>
        <w:spacing w:before="0"/>
        <w:ind w:left="165" w:right="0" w:firstLine="0"/>
        <w:jc w:val="left"/>
        <w:rPr>
          <w:sz w:val="20"/>
        </w:rPr>
      </w:pPr>
      <w:bookmarkStart w:name="_bookmark179" w:id="181"/>
      <w:bookmarkEnd w:id="181"/>
      <w:r>
        <w:rPr/>
      </w:r>
      <w:hyperlink w:history="true" w:anchor="_bookmark75">
        <w:r>
          <w:rPr>
            <w:color w:val="005DA1"/>
            <w:spacing w:val="-5"/>
            <w:position w:val="5"/>
            <w:sz w:val="14"/>
            <w:u w:val="single" w:color="005DA1"/>
          </w:rPr>
          <w:t>64</w:t>
        </w:r>
      </w:hyperlink>
      <w:r>
        <w:rPr>
          <w:spacing w:val="-5"/>
          <w:position w:val="5"/>
          <w:sz w:val="14"/>
        </w:rPr>
        <w:t>.</w:t>
      </w:r>
      <w:r>
        <w:rPr>
          <w:position w:val="5"/>
          <w:sz w:val="14"/>
        </w:rPr>
        <w:tab/>
      </w:r>
      <w:r>
        <w:rPr>
          <w:rFonts w:ascii="Arial"/>
          <w:i/>
          <w:sz w:val="20"/>
        </w:rPr>
        <w:t>[1978]</w:t>
      </w:r>
      <w:r>
        <w:rPr>
          <w:rFonts w:ascii="Arial"/>
          <w:i/>
          <w:spacing w:val="-2"/>
          <w:sz w:val="20"/>
        </w:rPr>
        <w:t> </w:t>
      </w:r>
      <w:r>
        <w:rPr>
          <w:rFonts w:ascii="Arial"/>
          <w:i/>
          <w:sz w:val="20"/>
        </w:rPr>
        <w:t>I.R.L.R. </w:t>
      </w:r>
      <w:r>
        <w:rPr>
          <w:rFonts w:ascii="Arial"/>
          <w:i/>
          <w:spacing w:val="-4"/>
          <w:sz w:val="20"/>
        </w:rPr>
        <w:t>497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80" w:id="182"/>
      <w:bookmarkEnd w:id="182"/>
      <w:r>
        <w:rPr/>
      </w:r>
      <w:hyperlink w:history="true" w:anchor="_bookmark76">
        <w:r>
          <w:rPr>
            <w:color w:val="005DA1"/>
            <w:spacing w:val="-5"/>
            <w:position w:val="5"/>
            <w:sz w:val="14"/>
            <w:u w:val="single" w:color="005DA1"/>
          </w:rPr>
          <w:t>65</w:t>
        </w:r>
      </w:hyperlink>
      <w:r>
        <w:rPr>
          <w:spacing w:val="-5"/>
          <w:position w:val="5"/>
          <w:sz w:val="14"/>
        </w:rPr>
        <w:t>.</w:t>
      </w:r>
      <w:r>
        <w:rPr>
          <w:position w:val="5"/>
          <w:sz w:val="14"/>
        </w:rPr>
        <w:tab/>
      </w:r>
      <w:r>
        <w:rPr>
          <w:rFonts w:ascii="Arial" w:hAnsi="Arial"/>
          <w:i/>
          <w:sz w:val="20"/>
        </w:rPr>
        <w:t>[1979]</w:t>
      </w:r>
      <w:r>
        <w:rPr>
          <w:rFonts w:ascii="Arial" w:hAnsi="Arial"/>
          <w:i/>
          <w:spacing w:val="-1"/>
          <w:sz w:val="20"/>
        </w:rPr>
        <w:t> </w:t>
      </w:r>
      <w:r>
        <w:rPr>
          <w:rFonts w:ascii="Arial" w:hAnsi="Arial"/>
          <w:i/>
          <w:sz w:val="20"/>
        </w:rPr>
        <w:t>2 Lloyd’s Rep. 391</w:t>
      </w:r>
      <w:r>
        <w:rPr>
          <w:sz w:val="20"/>
        </w:rPr>
        <w:t>; in the Court of Appeal (on costs only)</w:t>
      </w:r>
      <w:r>
        <w:rPr>
          <w:spacing w:val="-1"/>
          <w:sz w:val="20"/>
        </w:rPr>
        <w:t> </w:t>
      </w:r>
      <w:r>
        <w:rPr>
          <w:rFonts w:ascii="Arial" w:hAnsi="Arial"/>
          <w:i/>
          <w:sz w:val="20"/>
        </w:rPr>
        <w:t>[1981] 1 Lloyd’s Rep. </w:t>
      </w:r>
      <w:r>
        <w:rPr>
          <w:rFonts w:ascii="Arial" w:hAnsi="Arial"/>
          <w:i/>
          <w:spacing w:val="-4"/>
          <w:sz w:val="20"/>
        </w:rPr>
        <w:t>434</w:t>
      </w:r>
      <w:r>
        <w:rPr>
          <w:spacing w:val="-4"/>
          <w:sz w:val="20"/>
        </w:rPr>
        <w:t>.</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bookmarkStart w:name="_bookmark181" w:id="183"/>
      <w:bookmarkEnd w:id="183"/>
      <w:r>
        <w:rPr/>
      </w:r>
      <w:hyperlink w:history="true" w:anchor="_bookmark77">
        <w:r>
          <w:rPr>
            <w:color w:val="005DA1"/>
            <w:spacing w:val="-5"/>
            <w:sz w:val="14"/>
            <w:u w:val="single" w:color="005DA1"/>
          </w:rPr>
          <w:t>66</w:t>
        </w:r>
      </w:hyperlink>
      <w:r>
        <w:rPr>
          <w:spacing w:val="-5"/>
          <w:sz w:val="14"/>
        </w:rPr>
        <w:t>.</w:t>
      </w:r>
    </w:p>
    <w:p>
      <w:pPr>
        <w:spacing w:before="208"/>
        <w:ind w:left="335" w:right="0" w:firstLine="0"/>
        <w:jc w:val="left"/>
        <w:rPr>
          <w:sz w:val="20"/>
        </w:rPr>
      </w:pPr>
      <w:r>
        <w:rPr/>
        <w:br w:type="column"/>
      </w:r>
      <w:r>
        <w:rPr>
          <w:sz w:val="20"/>
        </w:rPr>
        <w:t>See</w:t>
      </w:r>
      <w:r>
        <w:rPr>
          <w:spacing w:val="-1"/>
          <w:sz w:val="20"/>
        </w:rPr>
        <w:t> </w:t>
      </w:r>
      <w:r>
        <w:rPr>
          <w:sz w:val="20"/>
        </w:rPr>
        <w:t>Cartwright,</w:t>
      </w:r>
      <w:r>
        <w:rPr>
          <w:spacing w:val="-1"/>
          <w:sz w:val="20"/>
        </w:rPr>
        <w:t> </w:t>
      </w:r>
      <w:r>
        <w:rPr>
          <w:rFonts w:ascii="Arial"/>
          <w:i/>
          <w:sz w:val="20"/>
        </w:rPr>
        <w:t>Misrepresentation, Mistake and Non-disclosure</w:t>
      </w:r>
      <w:r>
        <w:rPr>
          <w:sz w:val="20"/>
        </w:rPr>
        <w:t>, 4th edn (2016), para.6-</w:t>
      </w:r>
      <w:r>
        <w:rPr>
          <w:spacing w:val="-5"/>
          <w:sz w:val="20"/>
        </w:rPr>
        <w:t>12.</w:t>
      </w:r>
    </w:p>
    <w:p>
      <w:pPr>
        <w:spacing w:after="0"/>
        <w:jc w:val="left"/>
        <w:rPr>
          <w:sz w:val="20"/>
        </w:rPr>
        <w:sectPr>
          <w:type w:val="continuous"/>
          <w:pgSz w:w="11900" w:h="16840"/>
          <w:pgMar w:header="971" w:footer="0" w:top="1160" w:bottom="280" w:left="1275" w:right="1275"/>
          <w:cols w:num="2" w:equalWidth="0">
            <w:col w:w="400" w:space="141"/>
            <w:col w:w="8809"/>
          </w:cols>
        </w:sectPr>
      </w:pPr>
    </w:p>
    <w:p>
      <w:pPr>
        <w:pStyle w:val="BodyText"/>
        <w:spacing w:before="9"/>
      </w:pPr>
    </w:p>
    <w:p>
      <w:pPr>
        <w:tabs>
          <w:tab w:pos="705" w:val="left" w:leader="none"/>
        </w:tabs>
        <w:spacing w:line="235" w:lineRule="auto" w:before="0"/>
        <w:ind w:left="705" w:right="168" w:hanging="541"/>
        <w:jc w:val="left"/>
        <w:rPr>
          <w:sz w:val="20"/>
        </w:rPr>
      </w:pPr>
      <w:r>
        <w:rPr>
          <w:sz w:val="20"/>
        </w:rPr>
        <w:drawing>
          <wp:anchor distT="0" distB="0" distL="0" distR="0" allowOverlap="1" layoutInCell="1" locked="0" behindDoc="0" simplePos="0" relativeHeight="15742976">
            <wp:simplePos x="0" y="0"/>
            <wp:positionH relativeFrom="page">
              <wp:posOffset>1257846</wp:posOffset>
            </wp:positionH>
            <wp:positionV relativeFrom="paragraph">
              <wp:posOffset>-269394</wp:posOffset>
            </wp:positionV>
            <wp:extent cx="107988" cy="107988"/>
            <wp:effectExtent l="0" t="0" r="0" b="0"/>
            <wp:wrapNone/>
            <wp:docPr id="53" name="Image 53"/>
            <wp:cNvGraphicFramePr>
              <a:graphicFrameLocks/>
            </wp:cNvGraphicFramePr>
            <a:graphic>
              <a:graphicData uri="http://schemas.openxmlformats.org/drawingml/2006/picture">
                <pic:pic>
                  <pic:nvPicPr>
                    <pic:cNvPr id="53" name="Image 5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82" w:id="184"/>
      <w:bookmarkEnd w:id="184"/>
      <w:r>
        <w:rPr/>
      </w:r>
      <w:hyperlink w:history="true" w:anchor="_bookmark78">
        <w:r>
          <w:rPr>
            <w:color w:val="005DA1"/>
            <w:spacing w:val="-4"/>
            <w:position w:val="5"/>
            <w:sz w:val="14"/>
            <w:u w:val="single" w:color="005DA1"/>
          </w:rPr>
          <w:t>67</w:t>
        </w:r>
      </w:hyperlink>
      <w:r>
        <w:rPr>
          <w:spacing w:val="-4"/>
          <w:position w:val="5"/>
          <w:sz w:val="14"/>
        </w:rPr>
        <w:t>.</w:t>
      </w:r>
      <w:r>
        <w:rPr>
          <w:position w:val="5"/>
          <w:sz w:val="14"/>
        </w:rPr>
        <w:tab/>
      </w:r>
      <w:r>
        <w:rPr>
          <w:rFonts w:ascii="Arial"/>
          <w:i/>
          <w:sz w:val="20"/>
        </w:rPr>
        <w:t>FoodCo UK LLP (t/a Muffin Break) v Henry Boot Developments Ltd [2010] EWHC 358 (Ch) </w:t>
      </w:r>
      <w:r>
        <w:rPr>
          <w:sz w:val="20"/>
        </w:rPr>
        <w:t>at </w:t>
      </w:r>
      <w:r>
        <w:rPr>
          <w:spacing w:val="-2"/>
          <w:sz w:val="20"/>
        </w:rPr>
        <w:t>[207].</w:t>
      </w:r>
    </w:p>
    <w:p>
      <w:pPr>
        <w:pStyle w:val="BodyText"/>
        <w:spacing w:before="6"/>
      </w:pPr>
    </w:p>
    <w:p>
      <w:pPr>
        <w:tabs>
          <w:tab w:pos="705" w:val="left" w:leader="none"/>
        </w:tabs>
        <w:spacing w:line="227" w:lineRule="exact" w:before="0"/>
        <w:ind w:left="165" w:right="0" w:firstLine="0"/>
        <w:jc w:val="left"/>
        <w:rPr>
          <w:rFonts w:ascii="Arial"/>
          <w:i/>
          <w:sz w:val="20"/>
        </w:rPr>
      </w:pPr>
      <w:bookmarkStart w:name="_bookmark183" w:id="185"/>
      <w:bookmarkEnd w:id="185"/>
      <w:r>
        <w:rPr/>
      </w:r>
      <w:hyperlink w:history="true" w:anchor="_bookmark79">
        <w:r>
          <w:rPr>
            <w:color w:val="005DA1"/>
            <w:spacing w:val="-5"/>
            <w:position w:val="5"/>
            <w:sz w:val="14"/>
            <w:u w:val="single" w:color="005DA1"/>
          </w:rPr>
          <w:t>68</w:t>
        </w:r>
      </w:hyperlink>
      <w:r>
        <w:rPr>
          <w:spacing w:val="-5"/>
          <w:position w:val="5"/>
          <w:sz w:val="14"/>
        </w:rPr>
        <w:t>.</w:t>
      </w:r>
      <w:r>
        <w:rPr>
          <w:position w:val="5"/>
          <w:sz w:val="14"/>
        </w:rPr>
        <w:tab/>
      </w:r>
      <w:r>
        <w:rPr>
          <w:rFonts w:ascii="Arial"/>
          <w:i/>
          <w:sz w:val="20"/>
        </w:rPr>
        <w:t>Beattie</w:t>
      </w:r>
      <w:r>
        <w:rPr>
          <w:rFonts w:ascii="Arial"/>
          <w:i/>
          <w:spacing w:val="38"/>
          <w:sz w:val="20"/>
        </w:rPr>
        <w:t> </w:t>
      </w:r>
      <w:r>
        <w:rPr>
          <w:rFonts w:ascii="Arial"/>
          <w:i/>
          <w:sz w:val="20"/>
        </w:rPr>
        <w:t>v</w:t>
      </w:r>
      <w:r>
        <w:rPr>
          <w:rFonts w:ascii="Arial"/>
          <w:i/>
          <w:spacing w:val="39"/>
          <w:sz w:val="20"/>
        </w:rPr>
        <w:t> </w:t>
      </w:r>
      <w:r>
        <w:rPr>
          <w:rFonts w:ascii="Arial"/>
          <w:i/>
          <w:sz w:val="20"/>
        </w:rPr>
        <w:t>Ebury</w:t>
      </w:r>
      <w:r>
        <w:rPr>
          <w:rFonts w:ascii="Arial"/>
          <w:i/>
          <w:spacing w:val="39"/>
          <w:sz w:val="20"/>
        </w:rPr>
        <w:t> </w:t>
      </w:r>
      <w:r>
        <w:rPr>
          <w:rFonts w:ascii="Arial"/>
          <w:i/>
          <w:sz w:val="20"/>
        </w:rPr>
        <w:t>(1872)</w:t>
      </w:r>
      <w:r>
        <w:rPr>
          <w:rFonts w:ascii="Arial"/>
          <w:i/>
          <w:spacing w:val="39"/>
          <w:sz w:val="20"/>
        </w:rPr>
        <w:t> </w:t>
      </w:r>
      <w:r>
        <w:rPr>
          <w:rFonts w:ascii="Arial"/>
          <w:i/>
          <w:sz w:val="20"/>
        </w:rPr>
        <w:t>L.R.</w:t>
      </w:r>
      <w:r>
        <w:rPr>
          <w:rFonts w:ascii="Arial"/>
          <w:i/>
          <w:spacing w:val="39"/>
          <w:sz w:val="20"/>
        </w:rPr>
        <w:t> </w:t>
      </w:r>
      <w:r>
        <w:rPr>
          <w:rFonts w:ascii="Arial"/>
          <w:i/>
          <w:sz w:val="20"/>
        </w:rPr>
        <w:t>7</w:t>
      </w:r>
      <w:r>
        <w:rPr>
          <w:rFonts w:ascii="Arial"/>
          <w:i/>
          <w:spacing w:val="39"/>
          <w:sz w:val="20"/>
        </w:rPr>
        <w:t> </w:t>
      </w:r>
      <w:r>
        <w:rPr>
          <w:rFonts w:ascii="Arial"/>
          <w:i/>
          <w:sz w:val="20"/>
        </w:rPr>
        <w:t>Ch.</w:t>
      </w:r>
      <w:r>
        <w:rPr>
          <w:rFonts w:ascii="Arial"/>
          <w:i/>
          <w:spacing w:val="39"/>
          <w:sz w:val="20"/>
        </w:rPr>
        <w:t> </w:t>
      </w:r>
      <w:r>
        <w:rPr>
          <w:rFonts w:ascii="Arial"/>
          <w:i/>
          <w:sz w:val="20"/>
        </w:rPr>
        <w:t>App.</w:t>
      </w:r>
      <w:r>
        <w:rPr>
          <w:rFonts w:ascii="Arial"/>
          <w:i/>
          <w:spacing w:val="39"/>
          <w:sz w:val="20"/>
        </w:rPr>
        <w:t> </w:t>
      </w:r>
      <w:r>
        <w:rPr>
          <w:rFonts w:ascii="Arial"/>
          <w:i/>
          <w:sz w:val="20"/>
        </w:rPr>
        <w:t>777,</w:t>
      </w:r>
      <w:r>
        <w:rPr>
          <w:rFonts w:ascii="Arial"/>
          <w:i/>
          <w:spacing w:val="39"/>
          <w:sz w:val="20"/>
        </w:rPr>
        <w:t> </w:t>
      </w:r>
      <w:r>
        <w:rPr>
          <w:rFonts w:ascii="Arial"/>
          <w:i/>
          <w:sz w:val="20"/>
        </w:rPr>
        <w:t>802</w:t>
      </w:r>
      <w:r>
        <w:rPr>
          <w:sz w:val="20"/>
        </w:rPr>
        <w:t>;</w:t>
      </w:r>
      <w:r>
        <w:rPr>
          <w:spacing w:val="39"/>
          <w:sz w:val="20"/>
        </w:rPr>
        <w:t> </w:t>
      </w:r>
      <w:r>
        <w:rPr>
          <w:rFonts w:ascii="Arial"/>
          <w:i/>
          <w:sz w:val="20"/>
        </w:rPr>
        <w:t>Beesly</w:t>
      </w:r>
      <w:r>
        <w:rPr>
          <w:rFonts w:ascii="Arial"/>
          <w:i/>
          <w:spacing w:val="39"/>
          <w:sz w:val="20"/>
        </w:rPr>
        <w:t> </w:t>
      </w:r>
      <w:r>
        <w:rPr>
          <w:rFonts w:ascii="Arial"/>
          <w:i/>
          <w:sz w:val="20"/>
        </w:rPr>
        <w:t>v</w:t>
      </w:r>
      <w:r>
        <w:rPr>
          <w:rFonts w:ascii="Arial"/>
          <w:i/>
          <w:spacing w:val="39"/>
          <w:sz w:val="20"/>
        </w:rPr>
        <w:t> </w:t>
      </w:r>
      <w:r>
        <w:rPr>
          <w:rFonts w:ascii="Arial"/>
          <w:i/>
          <w:sz w:val="20"/>
        </w:rPr>
        <w:t>Hallwood</w:t>
      </w:r>
      <w:r>
        <w:rPr>
          <w:rFonts w:ascii="Arial"/>
          <w:i/>
          <w:spacing w:val="39"/>
          <w:sz w:val="20"/>
        </w:rPr>
        <w:t> </w:t>
      </w:r>
      <w:r>
        <w:rPr>
          <w:rFonts w:ascii="Arial"/>
          <w:i/>
          <w:sz w:val="20"/>
        </w:rPr>
        <w:t>Estates</w:t>
      </w:r>
      <w:r>
        <w:rPr>
          <w:rFonts w:ascii="Arial"/>
          <w:i/>
          <w:spacing w:val="39"/>
          <w:sz w:val="20"/>
        </w:rPr>
        <w:t> </w:t>
      </w:r>
      <w:r>
        <w:rPr>
          <w:rFonts w:ascii="Arial"/>
          <w:i/>
          <w:sz w:val="20"/>
        </w:rPr>
        <w:t>Ltd</w:t>
      </w:r>
      <w:r>
        <w:rPr>
          <w:rFonts w:ascii="Arial"/>
          <w:i/>
          <w:spacing w:val="39"/>
          <w:sz w:val="20"/>
        </w:rPr>
        <w:t> </w:t>
      </w:r>
      <w:r>
        <w:rPr>
          <w:rFonts w:ascii="Arial"/>
          <w:i/>
          <w:sz w:val="20"/>
        </w:rPr>
        <w:t>[1960]</w:t>
      </w:r>
      <w:r>
        <w:rPr>
          <w:rFonts w:ascii="Arial"/>
          <w:i/>
          <w:spacing w:val="39"/>
          <w:sz w:val="20"/>
        </w:rPr>
        <w:t> </w:t>
      </w:r>
      <w:r>
        <w:rPr>
          <w:rFonts w:ascii="Arial"/>
          <w:i/>
          <w:spacing w:val="-10"/>
          <w:sz w:val="20"/>
        </w:rPr>
        <w:t>1</w:t>
      </w:r>
    </w:p>
    <w:p>
      <w:pPr>
        <w:spacing w:line="227" w:lineRule="exact" w:before="0"/>
        <w:ind w:left="705" w:right="0" w:firstLine="0"/>
        <w:jc w:val="left"/>
        <w:rPr>
          <w:sz w:val="20"/>
        </w:rPr>
      </w:pPr>
      <w:r>
        <w:rPr>
          <w:rFonts w:ascii="Arial"/>
          <w:i/>
          <w:sz w:val="20"/>
        </w:rPr>
        <w:t>W.L.R.</w:t>
      </w:r>
      <w:r>
        <w:rPr>
          <w:rFonts w:ascii="Arial"/>
          <w:i/>
          <w:spacing w:val="-2"/>
          <w:sz w:val="20"/>
        </w:rPr>
        <w:t> </w:t>
      </w:r>
      <w:r>
        <w:rPr>
          <w:rFonts w:ascii="Arial"/>
          <w:i/>
          <w:sz w:val="20"/>
        </w:rPr>
        <w:t>549, </w:t>
      </w:r>
      <w:r>
        <w:rPr>
          <w:rFonts w:ascii="Arial"/>
          <w:i/>
          <w:spacing w:val="-4"/>
          <w:sz w:val="20"/>
        </w:rPr>
        <w:t>560</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184" w:id="186"/>
      <w:bookmarkEnd w:id="186"/>
      <w:r>
        <w:rPr/>
      </w:r>
      <w:hyperlink w:history="true" w:anchor="_bookmark80">
        <w:r>
          <w:rPr>
            <w:color w:val="005DA1"/>
            <w:spacing w:val="-5"/>
            <w:position w:val="5"/>
            <w:sz w:val="14"/>
            <w:u w:val="single" w:color="005DA1"/>
          </w:rPr>
          <w:t>69</w:t>
        </w:r>
      </w:hyperlink>
      <w:r>
        <w:rPr>
          <w:spacing w:val="-5"/>
          <w:position w:val="5"/>
          <w:sz w:val="14"/>
        </w:rPr>
        <w:t>.</w:t>
      </w:r>
      <w:r>
        <w:rPr>
          <w:position w:val="5"/>
          <w:sz w:val="14"/>
        </w:rPr>
        <w:tab/>
      </w:r>
      <w:r>
        <w:rPr>
          <w:rFonts w:ascii="Arial" w:hAnsi="Arial"/>
          <w:i/>
          <w:sz w:val="20"/>
        </w:rPr>
        <w:t>West</w:t>
      </w:r>
      <w:r>
        <w:rPr>
          <w:rFonts w:ascii="Arial" w:hAnsi="Arial"/>
          <w:i/>
          <w:spacing w:val="22"/>
          <w:sz w:val="20"/>
        </w:rPr>
        <w:t> </w:t>
      </w:r>
      <w:r>
        <w:rPr>
          <w:rFonts w:ascii="Arial" w:hAnsi="Arial"/>
          <w:i/>
          <w:sz w:val="20"/>
        </w:rPr>
        <w:t>London</w:t>
      </w:r>
      <w:r>
        <w:rPr>
          <w:rFonts w:ascii="Arial" w:hAnsi="Arial"/>
          <w:i/>
          <w:spacing w:val="23"/>
          <w:sz w:val="20"/>
        </w:rPr>
        <w:t> </w:t>
      </w:r>
      <w:r>
        <w:rPr>
          <w:rFonts w:ascii="Arial" w:hAnsi="Arial"/>
          <w:i/>
          <w:sz w:val="20"/>
        </w:rPr>
        <w:t>Commercial</w:t>
      </w:r>
      <w:r>
        <w:rPr>
          <w:rFonts w:ascii="Arial" w:hAnsi="Arial"/>
          <w:i/>
          <w:spacing w:val="23"/>
          <w:sz w:val="20"/>
        </w:rPr>
        <w:t> </w:t>
      </w:r>
      <w:r>
        <w:rPr>
          <w:rFonts w:ascii="Arial" w:hAnsi="Arial"/>
          <w:i/>
          <w:sz w:val="20"/>
        </w:rPr>
        <w:t>Bank</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Kitson</w:t>
      </w:r>
      <w:r>
        <w:rPr>
          <w:rFonts w:ascii="Arial" w:hAnsi="Arial"/>
          <w:i/>
          <w:spacing w:val="23"/>
          <w:sz w:val="20"/>
        </w:rPr>
        <w:t> </w:t>
      </w:r>
      <w:r>
        <w:rPr>
          <w:rFonts w:ascii="Arial" w:hAnsi="Arial"/>
          <w:i/>
          <w:sz w:val="20"/>
        </w:rPr>
        <w:t>(1884)</w:t>
      </w:r>
      <w:r>
        <w:rPr>
          <w:rFonts w:ascii="Arial" w:hAnsi="Arial"/>
          <w:i/>
          <w:spacing w:val="23"/>
          <w:sz w:val="20"/>
        </w:rPr>
        <w:t> </w:t>
      </w:r>
      <w:r>
        <w:rPr>
          <w:rFonts w:ascii="Arial" w:hAnsi="Arial"/>
          <w:i/>
          <w:sz w:val="20"/>
        </w:rPr>
        <w:t>13</w:t>
      </w:r>
      <w:r>
        <w:rPr>
          <w:rFonts w:ascii="Arial" w:hAnsi="Arial"/>
          <w:i/>
          <w:spacing w:val="23"/>
          <w:sz w:val="20"/>
        </w:rPr>
        <w:t> </w:t>
      </w:r>
      <w:r>
        <w:rPr>
          <w:rFonts w:ascii="Arial" w:hAnsi="Arial"/>
          <w:i/>
          <w:sz w:val="20"/>
        </w:rPr>
        <w:t>Q.B.D.</w:t>
      </w:r>
      <w:r>
        <w:rPr>
          <w:rFonts w:ascii="Arial" w:hAnsi="Arial"/>
          <w:i/>
          <w:spacing w:val="23"/>
          <w:sz w:val="20"/>
        </w:rPr>
        <w:t> </w:t>
      </w:r>
      <w:r>
        <w:rPr>
          <w:rFonts w:ascii="Arial" w:hAnsi="Arial"/>
          <w:i/>
          <w:sz w:val="20"/>
        </w:rPr>
        <w:t>360,</w:t>
      </w:r>
      <w:r>
        <w:rPr>
          <w:rFonts w:ascii="Arial" w:hAnsi="Arial"/>
          <w:i/>
          <w:spacing w:val="23"/>
          <w:sz w:val="20"/>
        </w:rPr>
        <w:t> </w:t>
      </w:r>
      <w:r>
        <w:rPr>
          <w:rFonts w:ascii="Arial" w:hAnsi="Arial"/>
          <w:i/>
          <w:sz w:val="20"/>
        </w:rPr>
        <w:t>362–363</w:t>
      </w:r>
      <w:r>
        <w:rPr>
          <w:sz w:val="20"/>
        </w:rPr>
        <w:t>;</w:t>
      </w:r>
      <w:r>
        <w:rPr>
          <w:spacing w:val="23"/>
          <w:sz w:val="20"/>
        </w:rPr>
        <w:t> </w:t>
      </w:r>
      <w:r>
        <w:rPr>
          <w:rFonts w:ascii="Arial" w:hAnsi="Arial"/>
          <w:i/>
          <w:sz w:val="20"/>
        </w:rPr>
        <w:t>Oudaille</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pacing w:val="-2"/>
          <w:sz w:val="20"/>
        </w:rPr>
        <w:t>Lawson</w:t>
      </w:r>
    </w:p>
    <w:p>
      <w:pPr>
        <w:spacing w:line="227" w:lineRule="exact" w:before="0"/>
        <w:ind w:left="705" w:right="0" w:firstLine="0"/>
        <w:jc w:val="left"/>
        <w:rPr>
          <w:sz w:val="20"/>
        </w:rPr>
      </w:pPr>
      <w:r>
        <w:rPr>
          <w:rFonts w:ascii="Arial"/>
          <w:i/>
          <w:sz w:val="20"/>
        </w:rPr>
        <w:t>[1922]</w:t>
      </w:r>
      <w:r>
        <w:rPr>
          <w:rFonts w:ascii="Arial"/>
          <w:i/>
          <w:spacing w:val="-2"/>
          <w:sz w:val="20"/>
        </w:rPr>
        <w:t> </w:t>
      </w:r>
      <w:r>
        <w:rPr>
          <w:rFonts w:ascii="Arial"/>
          <w:i/>
          <w:sz w:val="20"/>
        </w:rPr>
        <w:t>N.Z.L.R. </w:t>
      </w:r>
      <w:r>
        <w:rPr>
          <w:rFonts w:ascii="Arial"/>
          <w:i/>
          <w:spacing w:val="-4"/>
          <w:sz w:val="20"/>
        </w:rPr>
        <w:t>259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85" w:id="187"/>
      <w:bookmarkEnd w:id="187"/>
      <w:r>
        <w:rPr/>
      </w:r>
      <w:hyperlink w:history="true" w:anchor="_bookmark81">
        <w:r>
          <w:rPr>
            <w:color w:val="005DA1"/>
            <w:spacing w:val="-5"/>
            <w:position w:val="5"/>
            <w:sz w:val="14"/>
            <w:u w:val="single" w:color="005DA1"/>
          </w:rPr>
          <w:t>70</w:t>
        </w:r>
      </w:hyperlink>
      <w:r>
        <w:rPr>
          <w:spacing w:val="-5"/>
          <w:position w:val="5"/>
          <w:sz w:val="14"/>
        </w:rPr>
        <w:t>.</w:t>
      </w:r>
      <w:r>
        <w:rPr>
          <w:position w:val="5"/>
          <w:sz w:val="14"/>
        </w:rPr>
        <w:tab/>
      </w:r>
      <w:r>
        <w:rPr>
          <w:sz w:val="20"/>
        </w:rPr>
        <w:t>See</w:t>
      </w:r>
      <w:r>
        <w:rPr>
          <w:spacing w:val="-1"/>
          <w:sz w:val="20"/>
        </w:rPr>
        <w:t> </w:t>
      </w:r>
      <w:r>
        <w:rPr>
          <w:rFonts w:ascii="Arial"/>
          <w:i/>
          <w:sz w:val="20"/>
        </w:rPr>
        <w:t>Solle v Butcher [1950] 1 K.B. </w:t>
      </w:r>
      <w:r>
        <w:rPr>
          <w:rFonts w:ascii="Arial"/>
          <w:i/>
          <w:spacing w:val="-4"/>
          <w:sz w:val="20"/>
        </w:rPr>
        <w:t>671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86" w:id="188"/>
      <w:bookmarkEnd w:id="188"/>
      <w:r>
        <w:rPr/>
      </w:r>
      <w:hyperlink w:history="true" w:anchor="_bookmark82">
        <w:r>
          <w:rPr>
            <w:color w:val="005DA1"/>
            <w:spacing w:val="-5"/>
            <w:position w:val="5"/>
            <w:sz w:val="14"/>
            <w:u w:val="single" w:color="005DA1"/>
          </w:rPr>
          <w:t>71</w:t>
        </w:r>
      </w:hyperlink>
      <w:r>
        <w:rPr>
          <w:spacing w:val="-5"/>
          <w:position w:val="5"/>
          <w:sz w:val="14"/>
        </w:rPr>
        <w:t>.</w:t>
      </w:r>
      <w:r>
        <w:rPr>
          <w:position w:val="5"/>
          <w:sz w:val="14"/>
        </w:rPr>
        <w:tab/>
      </w:r>
      <w:r>
        <w:rPr>
          <w:rFonts w:ascii="Arial"/>
          <w:i/>
          <w:sz w:val="20"/>
        </w:rPr>
        <w:t>Brikom Investments Ltd v Seaford [1981] 1 W.L.R. </w:t>
      </w:r>
      <w:r>
        <w:rPr>
          <w:rFonts w:ascii="Arial"/>
          <w:i/>
          <w:spacing w:val="-4"/>
          <w:sz w:val="20"/>
        </w:rPr>
        <w:t>863</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87" w:id="189"/>
      <w:bookmarkEnd w:id="189"/>
      <w:r>
        <w:rPr/>
      </w:r>
      <w:hyperlink w:history="true" w:anchor="_bookmark83">
        <w:r>
          <w:rPr>
            <w:color w:val="005DA1"/>
            <w:spacing w:val="-5"/>
            <w:position w:val="5"/>
            <w:sz w:val="14"/>
            <w:u w:val="single" w:color="005DA1"/>
          </w:rPr>
          <w:t>72</w:t>
        </w:r>
      </w:hyperlink>
      <w:r>
        <w:rPr>
          <w:spacing w:val="-5"/>
          <w:position w:val="5"/>
          <w:sz w:val="14"/>
        </w:rPr>
        <w:t>.</w:t>
      </w:r>
      <w:r>
        <w:rPr>
          <w:position w:val="5"/>
          <w:sz w:val="14"/>
        </w:rPr>
        <w:tab/>
      </w:r>
      <w:r>
        <w:rPr>
          <w:rFonts w:ascii="Arial"/>
          <w:i/>
          <w:sz w:val="20"/>
        </w:rPr>
        <w:t>Reynell v</w:t>
      </w:r>
      <w:r>
        <w:rPr>
          <w:rFonts w:ascii="Arial"/>
          <w:i/>
          <w:spacing w:val="1"/>
          <w:sz w:val="20"/>
        </w:rPr>
        <w:t> </w:t>
      </w:r>
      <w:r>
        <w:rPr>
          <w:rFonts w:ascii="Arial"/>
          <w:i/>
          <w:sz w:val="20"/>
        </w:rPr>
        <w:t>Sprye</w:t>
      </w:r>
      <w:r>
        <w:rPr>
          <w:rFonts w:ascii="Arial"/>
          <w:i/>
          <w:spacing w:val="1"/>
          <w:sz w:val="20"/>
        </w:rPr>
        <w:t> </w:t>
      </w:r>
      <w:r>
        <w:rPr>
          <w:rFonts w:ascii="Arial"/>
          <w:i/>
          <w:sz w:val="20"/>
        </w:rPr>
        <w:t>(1852)</w:t>
      </w:r>
      <w:r>
        <w:rPr>
          <w:rFonts w:ascii="Arial"/>
          <w:i/>
          <w:spacing w:val="1"/>
          <w:sz w:val="20"/>
        </w:rPr>
        <w:t> </w:t>
      </w:r>
      <w:r>
        <w:rPr>
          <w:rFonts w:ascii="Arial"/>
          <w:i/>
          <w:sz w:val="20"/>
        </w:rPr>
        <w:t>1</w:t>
      </w:r>
      <w:r>
        <w:rPr>
          <w:rFonts w:ascii="Arial"/>
          <w:i/>
          <w:spacing w:val="1"/>
          <w:sz w:val="20"/>
        </w:rPr>
        <w:t> </w:t>
      </w:r>
      <w:r>
        <w:rPr>
          <w:rFonts w:ascii="Arial"/>
          <w:i/>
          <w:sz w:val="20"/>
        </w:rPr>
        <w:t>De</w:t>
      </w:r>
      <w:r>
        <w:rPr>
          <w:rFonts w:ascii="Arial"/>
          <w:i/>
          <w:spacing w:val="1"/>
          <w:sz w:val="20"/>
        </w:rPr>
        <w:t> </w:t>
      </w:r>
      <w:r>
        <w:rPr>
          <w:rFonts w:ascii="Arial"/>
          <w:i/>
          <w:sz w:val="20"/>
        </w:rPr>
        <w:t>G.M.</w:t>
      </w:r>
      <w:r>
        <w:rPr>
          <w:rFonts w:ascii="Arial"/>
          <w:i/>
          <w:spacing w:val="1"/>
          <w:sz w:val="20"/>
        </w:rPr>
        <w:t> </w:t>
      </w:r>
      <w:r>
        <w:rPr>
          <w:rFonts w:ascii="Arial"/>
          <w:i/>
          <w:sz w:val="20"/>
        </w:rPr>
        <w:t>&amp;</w:t>
      </w:r>
      <w:r>
        <w:rPr>
          <w:rFonts w:ascii="Arial"/>
          <w:i/>
          <w:spacing w:val="1"/>
          <w:sz w:val="20"/>
        </w:rPr>
        <w:t> </w:t>
      </w:r>
      <w:r>
        <w:rPr>
          <w:rFonts w:ascii="Arial"/>
          <w:i/>
          <w:sz w:val="20"/>
        </w:rPr>
        <w:t>G.</w:t>
      </w:r>
      <w:r>
        <w:rPr>
          <w:rFonts w:ascii="Arial"/>
          <w:i/>
          <w:spacing w:val="1"/>
          <w:sz w:val="20"/>
        </w:rPr>
        <w:t> </w:t>
      </w:r>
      <w:r>
        <w:rPr>
          <w:rFonts w:ascii="Arial"/>
          <w:i/>
          <w:sz w:val="20"/>
        </w:rPr>
        <w:t>660</w:t>
      </w:r>
      <w:r>
        <w:rPr>
          <w:sz w:val="20"/>
        </w:rPr>
        <w:t>;</w:t>
      </w:r>
      <w:r>
        <w:rPr>
          <w:spacing w:val="1"/>
          <w:sz w:val="20"/>
        </w:rPr>
        <w:t> </w:t>
      </w:r>
      <w:r>
        <w:rPr>
          <w:rFonts w:ascii="Arial"/>
          <w:i/>
          <w:sz w:val="20"/>
        </w:rPr>
        <w:t>West</w:t>
      </w:r>
      <w:r>
        <w:rPr>
          <w:rFonts w:ascii="Arial"/>
          <w:i/>
          <w:spacing w:val="1"/>
          <w:sz w:val="20"/>
        </w:rPr>
        <w:t> </w:t>
      </w:r>
      <w:r>
        <w:rPr>
          <w:rFonts w:ascii="Arial"/>
          <w:i/>
          <w:sz w:val="20"/>
        </w:rPr>
        <w:t>London</w:t>
      </w:r>
      <w:r>
        <w:rPr>
          <w:rFonts w:ascii="Arial"/>
          <w:i/>
          <w:spacing w:val="1"/>
          <w:sz w:val="20"/>
        </w:rPr>
        <w:t> </w:t>
      </w:r>
      <w:r>
        <w:rPr>
          <w:rFonts w:ascii="Arial"/>
          <w:i/>
          <w:sz w:val="20"/>
        </w:rPr>
        <w:t>Commercial</w:t>
      </w:r>
      <w:r>
        <w:rPr>
          <w:rFonts w:ascii="Arial"/>
          <w:i/>
          <w:spacing w:val="1"/>
          <w:sz w:val="20"/>
        </w:rPr>
        <w:t> </w:t>
      </w:r>
      <w:r>
        <w:rPr>
          <w:rFonts w:ascii="Arial"/>
          <w:i/>
          <w:sz w:val="20"/>
        </w:rPr>
        <w:t>Bank</w:t>
      </w:r>
      <w:r>
        <w:rPr>
          <w:rFonts w:ascii="Arial"/>
          <w:i/>
          <w:spacing w:val="1"/>
          <w:sz w:val="20"/>
        </w:rPr>
        <w:t> </w:t>
      </w:r>
      <w:r>
        <w:rPr>
          <w:rFonts w:ascii="Arial"/>
          <w:i/>
          <w:sz w:val="20"/>
        </w:rPr>
        <w:t>v</w:t>
      </w:r>
      <w:r>
        <w:rPr>
          <w:rFonts w:ascii="Arial"/>
          <w:i/>
          <w:spacing w:val="1"/>
          <w:sz w:val="20"/>
        </w:rPr>
        <w:t> </w:t>
      </w:r>
      <w:r>
        <w:rPr>
          <w:rFonts w:ascii="Arial"/>
          <w:i/>
          <w:sz w:val="20"/>
        </w:rPr>
        <w:t>Kitson</w:t>
      </w:r>
      <w:r>
        <w:rPr>
          <w:rFonts w:ascii="Arial"/>
          <w:i/>
          <w:spacing w:val="1"/>
          <w:sz w:val="20"/>
        </w:rPr>
        <w:t> </w:t>
      </w:r>
      <w:r>
        <w:rPr>
          <w:rFonts w:ascii="Arial"/>
          <w:i/>
          <w:sz w:val="20"/>
        </w:rPr>
        <w:t>(1884)</w:t>
      </w:r>
      <w:r>
        <w:rPr>
          <w:rFonts w:ascii="Arial"/>
          <w:i/>
          <w:spacing w:val="1"/>
          <w:sz w:val="20"/>
        </w:rPr>
        <w:t> </w:t>
      </w:r>
      <w:r>
        <w:rPr>
          <w:rFonts w:ascii="Arial"/>
          <w:i/>
          <w:spacing w:val="-5"/>
          <w:sz w:val="20"/>
        </w:rPr>
        <w:t>13</w:t>
      </w:r>
    </w:p>
    <w:p>
      <w:pPr>
        <w:spacing w:line="227" w:lineRule="exact" w:before="0"/>
        <w:ind w:left="705" w:right="0" w:firstLine="0"/>
        <w:jc w:val="left"/>
        <w:rPr>
          <w:sz w:val="20"/>
        </w:rPr>
      </w:pPr>
      <w:r>
        <w:rPr>
          <w:rFonts w:ascii="Arial"/>
          <w:i/>
          <w:sz w:val="20"/>
        </w:rPr>
        <w:t>Q.B.D. 360</w:t>
      </w:r>
      <w:r>
        <w:rPr>
          <w:sz w:val="20"/>
        </w:rPr>
        <w:t>; </w:t>
      </w:r>
      <w:r>
        <w:rPr>
          <w:rFonts w:ascii="Arial"/>
          <w:i/>
          <w:sz w:val="20"/>
        </w:rPr>
        <w:t>Hughes v Liverpool Victoria Legal Friendly Society [1916] 2 K.B. </w:t>
      </w:r>
      <w:r>
        <w:rPr>
          <w:rFonts w:ascii="Arial"/>
          <w:i/>
          <w:spacing w:val="-4"/>
          <w:sz w:val="20"/>
        </w:rPr>
        <w:t>482</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88" w:id="190"/>
      <w:bookmarkEnd w:id="190"/>
      <w:r>
        <w:rPr/>
      </w:r>
      <w:hyperlink w:history="true" w:anchor="_bookmark84">
        <w:r>
          <w:rPr>
            <w:color w:val="005DA1"/>
            <w:spacing w:val="-5"/>
            <w:position w:val="5"/>
            <w:sz w:val="14"/>
            <w:u w:val="single" w:color="005DA1"/>
          </w:rPr>
          <w:t>73</w:t>
        </w:r>
      </w:hyperlink>
      <w:r>
        <w:rPr>
          <w:spacing w:val="-5"/>
          <w:position w:val="5"/>
          <w:sz w:val="14"/>
        </w:rPr>
        <w:t>.</w:t>
      </w:r>
      <w:r>
        <w:rPr>
          <w:position w:val="5"/>
          <w:sz w:val="14"/>
        </w:rPr>
        <w:tab/>
      </w:r>
      <w:r>
        <w:rPr>
          <w:rFonts w:ascii="Arial"/>
          <w:i/>
          <w:sz w:val="20"/>
        </w:rPr>
        <w:t>Hirshfeld</w:t>
      </w:r>
      <w:r>
        <w:rPr>
          <w:rFonts w:ascii="Arial"/>
          <w:i/>
          <w:spacing w:val="17"/>
          <w:sz w:val="20"/>
        </w:rPr>
        <w:t> </w:t>
      </w:r>
      <w:r>
        <w:rPr>
          <w:rFonts w:ascii="Arial"/>
          <w:i/>
          <w:sz w:val="20"/>
        </w:rPr>
        <w:t>v</w:t>
      </w:r>
      <w:r>
        <w:rPr>
          <w:rFonts w:ascii="Arial"/>
          <w:i/>
          <w:spacing w:val="18"/>
          <w:sz w:val="20"/>
        </w:rPr>
        <w:t> </w:t>
      </w:r>
      <w:r>
        <w:rPr>
          <w:rFonts w:ascii="Arial"/>
          <w:i/>
          <w:sz w:val="20"/>
        </w:rPr>
        <w:t>L.B.</w:t>
      </w:r>
      <w:r>
        <w:rPr>
          <w:rFonts w:ascii="Arial"/>
          <w:i/>
          <w:spacing w:val="18"/>
          <w:sz w:val="20"/>
        </w:rPr>
        <w:t> </w:t>
      </w:r>
      <w:r>
        <w:rPr>
          <w:rFonts w:ascii="Arial"/>
          <w:i/>
          <w:sz w:val="20"/>
        </w:rPr>
        <w:t>&amp;</w:t>
      </w:r>
      <w:r>
        <w:rPr>
          <w:rFonts w:ascii="Arial"/>
          <w:i/>
          <w:spacing w:val="18"/>
          <w:sz w:val="20"/>
        </w:rPr>
        <w:t> </w:t>
      </w:r>
      <w:r>
        <w:rPr>
          <w:rFonts w:ascii="Arial"/>
          <w:i/>
          <w:sz w:val="20"/>
        </w:rPr>
        <w:t>S.C.</w:t>
      </w:r>
      <w:r>
        <w:rPr>
          <w:rFonts w:ascii="Arial"/>
          <w:i/>
          <w:spacing w:val="18"/>
          <w:sz w:val="20"/>
        </w:rPr>
        <w:t> </w:t>
      </w:r>
      <w:r>
        <w:rPr>
          <w:rFonts w:ascii="Arial"/>
          <w:i/>
          <w:sz w:val="20"/>
        </w:rPr>
        <w:t>Ry</w:t>
      </w:r>
      <w:r>
        <w:rPr>
          <w:rFonts w:ascii="Arial"/>
          <w:i/>
          <w:spacing w:val="18"/>
          <w:sz w:val="20"/>
        </w:rPr>
        <w:t> </w:t>
      </w:r>
      <w:r>
        <w:rPr>
          <w:rFonts w:ascii="Arial"/>
          <w:i/>
          <w:sz w:val="20"/>
        </w:rPr>
        <w:t>(1876)</w:t>
      </w:r>
      <w:r>
        <w:rPr>
          <w:rFonts w:ascii="Arial"/>
          <w:i/>
          <w:spacing w:val="18"/>
          <w:sz w:val="20"/>
        </w:rPr>
        <w:t> </w:t>
      </w:r>
      <w:r>
        <w:rPr>
          <w:rFonts w:ascii="Arial"/>
          <w:i/>
          <w:sz w:val="20"/>
        </w:rPr>
        <w:t>2</w:t>
      </w:r>
      <w:r>
        <w:rPr>
          <w:rFonts w:ascii="Arial"/>
          <w:i/>
          <w:spacing w:val="18"/>
          <w:sz w:val="20"/>
        </w:rPr>
        <w:t> </w:t>
      </w:r>
      <w:r>
        <w:rPr>
          <w:rFonts w:ascii="Arial"/>
          <w:i/>
          <w:sz w:val="20"/>
        </w:rPr>
        <w:t>Q.B.D.</w:t>
      </w:r>
      <w:r>
        <w:rPr>
          <w:rFonts w:ascii="Arial"/>
          <w:i/>
          <w:spacing w:val="18"/>
          <w:sz w:val="20"/>
        </w:rPr>
        <w:t> </w:t>
      </w:r>
      <w:r>
        <w:rPr>
          <w:rFonts w:ascii="Arial"/>
          <w:i/>
          <w:sz w:val="20"/>
        </w:rPr>
        <w:t>1</w:t>
      </w:r>
      <w:r>
        <w:rPr>
          <w:sz w:val="20"/>
        </w:rPr>
        <w:t>;</w:t>
      </w:r>
      <w:r>
        <w:rPr>
          <w:spacing w:val="18"/>
          <w:sz w:val="20"/>
        </w:rPr>
        <w:t> </w:t>
      </w:r>
      <w:r>
        <w:rPr>
          <w:rFonts w:ascii="Arial"/>
          <w:i/>
          <w:sz w:val="20"/>
        </w:rPr>
        <w:t>De</w:t>
      </w:r>
      <w:r>
        <w:rPr>
          <w:rFonts w:ascii="Arial"/>
          <w:i/>
          <w:spacing w:val="18"/>
          <w:sz w:val="20"/>
        </w:rPr>
        <w:t> </w:t>
      </w:r>
      <w:r>
        <w:rPr>
          <w:rFonts w:ascii="Arial"/>
          <w:i/>
          <w:sz w:val="20"/>
        </w:rPr>
        <w:t>Tchihatchef</w:t>
      </w:r>
      <w:r>
        <w:rPr>
          <w:rFonts w:ascii="Arial"/>
          <w:i/>
          <w:spacing w:val="18"/>
          <w:sz w:val="20"/>
        </w:rPr>
        <w:t> </w:t>
      </w:r>
      <w:r>
        <w:rPr>
          <w:rFonts w:ascii="Arial"/>
          <w:i/>
          <w:sz w:val="20"/>
        </w:rPr>
        <w:t>v</w:t>
      </w:r>
      <w:r>
        <w:rPr>
          <w:rFonts w:ascii="Arial"/>
          <w:i/>
          <w:spacing w:val="18"/>
          <w:sz w:val="20"/>
        </w:rPr>
        <w:t> </w:t>
      </w:r>
      <w:r>
        <w:rPr>
          <w:rFonts w:ascii="Arial"/>
          <w:i/>
          <w:sz w:val="20"/>
        </w:rPr>
        <w:t>Salerni</w:t>
      </w:r>
      <w:r>
        <w:rPr>
          <w:rFonts w:ascii="Arial"/>
          <w:i/>
          <w:spacing w:val="18"/>
          <w:sz w:val="20"/>
        </w:rPr>
        <w:t> </w:t>
      </w:r>
      <w:r>
        <w:rPr>
          <w:rFonts w:ascii="Arial"/>
          <w:i/>
          <w:sz w:val="20"/>
        </w:rPr>
        <w:t>Coupling</w:t>
      </w:r>
      <w:r>
        <w:rPr>
          <w:rFonts w:ascii="Arial"/>
          <w:i/>
          <w:spacing w:val="18"/>
          <w:sz w:val="20"/>
        </w:rPr>
        <w:t> </w:t>
      </w:r>
      <w:r>
        <w:rPr>
          <w:rFonts w:ascii="Arial"/>
          <w:i/>
          <w:sz w:val="20"/>
        </w:rPr>
        <w:t>Ltd</w:t>
      </w:r>
      <w:r>
        <w:rPr>
          <w:rFonts w:ascii="Arial"/>
          <w:i/>
          <w:spacing w:val="18"/>
          <w:sz w:val="20"/>
        </w:rPr>
        <w:t> </w:t>
      </w:r>
      <w:r>
        <w:rPr>
          <w:rFonts w:ascii="Arial"/>
          <w:i/>
          <w:sz w:val="20"/>
        </w:rPr>
        <w:t>[1932]</w:t>
      </w:r>
      <w:r>
        <w:rPr>
          <w:rFonts w:ascii="Arial"/>
          <w:i/>
          <w:spacing w:val="18"/>
          <w:sz w:val="20"/>
        </w:rPr>
        <w:t> </w:t>
      </w:r>
      <w:r>
        <w:rPr>
          <w:rFonts w:ascii="Arial"/>
          <w:i/>
          <w:spacing w:val="-10"/>
          <w:sz w:val="20"/>
        </w:rPr>
        <w:t>1</w:t>
      </w:r>
    </w:p>
    <w:p>
      <w:pPr>
        <w:spacing w:line="227" w:lineRule="exact" w:before="0"/>
        <w:ind w:left="705" w:right="0" w:firstLine="0"/>
        <w:jc w:val="left"/>
        <w:rPr>
          <w:sz w:val="20"/>
        </w:rPr>
      </w:pPr>
      <w:r>
        <w:rPr>
          <w:rFonts w:ascii="Arial"/>
          <w:i/>
          <w:sz w:val="20"/>
        </w:rPr>
        <w:t>Ch.</w:t>
      </w:r>
      <w:r>
        <w:rPr>
          <w:rFonts w:ascii="Arial"/>
          <w:i/>
          <w:spacing w:val="-1"/>
          <w:sz w:val="20"/>
        </w:rPr>
        <w:t> </w:t>
      </w:r>
      <w:r>
        <w:rPr>
          <w:rFonts w:ascii="Arial"/>
          <w:i/>
          <w:sz w:val="20"/>
        </w:rPr>
        <w:t>330</w:t>
      </w:r>
      <w:r>
        <w:rPr>
          <w:sz w:val="20"/>
        </w:rPr>
        <w:t>; </w:t>
      </w:r>
      <w:r>
        <w:rPr>
          <w:rFonts w:ascii="Arial"/>
          <w:i/>
          <w:sz w:val="20"/>
        </w:rPr>
        <w:t>Curtis v Chemical Cleaning &amp; Dyeing Co [1951] 1 K.B. </w:t>
      </w:r>
      <w:r>
        <w:rPr>
          <w:rFonts w:ascii="Arial"/>
          <w:i/>
          <w:spacing w:val="-4"/>
          <w:sz w:val="20"/>
        </w:rPr>
        <w:t>805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89" w:id="191"/>
      <w:bookmarkEnd w:id="191"/>
      <w:r>
        <w:rPr/>
      </w:r>
      <w:hyperlink w:history="true" w:anchor="_bookmark84">
        <w:r>
          <w:rPr>
            <w:color w:val="005DA1"/>
            <w:spacing w:val="-5"/>
            <w:position w:val="5"/>
            <w:sz w:val="14"/>
            <w:u w:val="single" w:color="005DA1"/>
          </w:rPr>
          <w:t>74</w:t>
        </w:r>
      </w:hyperlink>
      <w:r>
        <w:rPr>
          <w:spacing w:val="-5"/>
          <w:position w:val="5"/>
          <w:sz w:val="14"/>
        </w:rPr>
        <w:t>.</w:t>
      </w:r>
      <w:r>
        <w:rPr>
          <w:position w:val="5"/>
          <w:sz w:val="14"/>
        </w:rPr>
        <w:tab/>
      </w:r>
      <w:r>
        <w:rPr>
          <w:rFonts w:ascii="Arial"/>
          <w:i/>
          <w:sz w:val="20"/>
        </w:rPr>
        <w:t>(1867)</w:t>
      </w:r>
      <w:r>
        <w:rPr>
          <w:rFonts w:ascii="Arial"/>
          <w:i/>
          <w:spacing w:val="-2"/>
          <w:sz w:val="20"/>
        </w:rPr>
        <w:t> </w:t>
      </w:r>
      <w:r>
        <w:rPr>
          <w:rFonts w:ascii="Arial"/>
          <w:i/>
          <w:sz w:val="20"/>
        </w:rPr>
        <w:t>L.R. 2 H.L. </w:t>
      </w:r>
      <w:r>
        <w:rPr>
          <w:rFonts w:ascii="Arial"/>
          <w:i/>
          <w:spacing w:val="-4"/>
          <w:sz w:val="20"/>
        </w:rPr>
        <w:t>149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90" w:id="192"/>
      <w:bookmarkEnd w:id="192"/>
      <w:r>
        <w:rPr/>
      </w:r>
      <w:hyperlink w:history="true" w:anchor="_bookmark85">
        <w:r>
          <w:rPr>
            <w:color w:val="005DA1"/>
            <w:spacing w:val="-5"/>
            <w:position w:val="5"/>
            <w:sz w:val="14"/>
            <w:u w:val="single" w:color="005DA1"/>
          </w:rPr>
          <w:t>75</w:t>
        </w:r>
      </w:hyperlink>
      <w:r>
        <w:rPr>
          <w:spacing w:val="-5"/>
          <w:position w:val="5"/>
          <w:sz w:val="14"/>
        </w:rPr>
        <w:t>.</w:t>
      </w:r>
      <w:r>
        <w:rPr>
          <w:position w:val="5"/>
          <w:sz w:val="14"/>
        </w:rPr>
        <w:tab/>
      </w:r>
      <w:r>
        <w:rPr>
          <w:rFonts w:ascii="Arial"/>
          <w:i/>
          <w:sz w:val="20"/>
        </w:rPr>
        <w:t>(1867)</w:t>
      </w:r>
      <w:r>
        <w:rPr>
          <w:rFonts w:ascii="Arial"/>
          <w:i/>
          <w:spacing w:val="-2"/>
          <w:sz w:val="20"/>
        </w:rPr>
        <w:t> </w:t>
      </w:r>
      <w:r>
        <w:rPr>
          <w:rFonts w:ascii="Arial"/>
          <w:i/>
          <w:sz w:val="20"/>
        </w:rPr>
        <w:t>L.R. 2 H.L. 149</w:t>
      </w:r>
      <w:r>
        <w:rPr>
          <w:rFonts w:ascii="Arial"/>
          <w:i/>
          <w:spacing w:val="-1"/>
          <w:sz w:val="20"/>
        </w:rPr>
        <w:t> </w:t>
      </w:r>
      <w:r>
        <w:rPr>
          <w:sz w:val="20"/>
        </w:rPr>
        <w:t>at </w:t>
      </w:r>
      <w:r>
        <w:rPr>
          <w:spacing w:val="-4"/>
          <w:sz w:val="20"/>
        </w:rPr>
        <w:t>170.</w:t>
      </w:r>
    </w:p>
    <w:p>
      <w:pPr>
        <w:pStyle w:val="BodyText"/>
        <w:spacing w:before="5"/>
      </w:pPr>
    </w:p>
    <w:p>
      <w:pPr>
        <w:tabs>
          <w:tab w:pos="705" w:val="left" w:leader="none"/>
        </w:tabs>
        <w:spacing w:before="0"/>
        <w:ind w:left="165" w:right="0" w:firstLine="0"/>
        <w:jc w:val="left"/>
        <w:rPr>
          <w:sz w:val="20"/>
        </w:rPr>
      </w:pPr>
      <w:bookmarkStart w:name="_bookmark191" w:id="193"/>
      <w:bookmarkEnd w:id="193"/>
      <w:r>
        <w:rPr/>
      </w:r>
      <w:hyperlink w:history="true" w:anchor="_bookmark86">
        <w:r>
          <w:rPr>
            <w:color w:val="005DA1"/>
            <w:spacing w:val="-5"/>
            <w:position w:val="5"/>
            <w:sz w:val="14"/>
            <w:u w:val="single" w:color="005DA1"/>
          </w:rPr>
          <w:t>76</w:t>
        </w:r>
      </w:hyperlink>
      <w:r>
        <w:rPr>
          <w:spacing w:val="-5"/>
          <w:position w:val="5"/>
          <w:sz w:val="14"/>
        </w:rPr>
        <w:t>.</w:t>
      </w:r>
      <w:r>
        <w:rPr>
          <w:position w:val="5"/>
          <w:sz w:val="14"/>
        </w:rPr>
        <w:tab/>
      </w:r>
      <w:r>
        <w:rPr>
          <w:rFonts w:ascii="Arial"/>
          <w:i/>
          <w:sz w:val="20"/>
        </w:rPr>
        <w:t>Laurence</w:t>
      </w:r>
      <w:r>
        <w:rPr>
          <w:rFonts w:ascii="Arial"/>
          <w:i/>
          <w:spacing w:val="-2"/>
          <w:sz w:val="20"/>
        </w:rPr>
        <w:t> </w:t>
      </w:r>
      <w:r>
        <w:rPr>
          <w:rFonts w:ascii="Arial"/>
          <w:i/>
          <w:sz w:val="20"/>
        </w:rPr>
        <w:t>v Lexcourt Holdings Ltd [1977] 1 W.L.R. </w:t>
      </w:r>
      <w:r>
        <w:rPr>
          <w:rFonts w:ascii="Arial"/>
          <w:i/>
          <w:spacing w:val="-2"/>
          <w:sz w:val="20"/>
        </w:rPr>
        <w:t>1128</w:t>
      </w:r>
      <w:r>
        <w:rPr>
          <w:spacing w:val="-2"/>
          <w:sz w:val="20"/>
        </w:rPr>
        <w:t>.</w:t>
      </w:r>
    </w:p>
    <w:p>
      <w:pPr>
        <w:pStyle w:val="BodyText"/>
        <w:spacing w:before="9"/>
      </w:pPr>
    </w:p>
    <w:p>
      <w:pPr>
        <w:spacing w:line="235" w:lineRule="auto" w:before="0"/>
        <w:ind w:left="705" w:right="168" w:hanging="541"/>
        <w:jc w:val="both"/>
        <w:rPr>
          <w:sz w:val="20"/>
        </w:rPr>
      </w:pPr>
      <w:bookmarkStart w:name="_bookmark192" w:id="194"/>
      <w:bookmarkEnd w:id="194"/>
      <w:r>
        <w:rPr/>
      </w:r>
      <w:hyperlink w:history="true" w:anchor="_bookmark87">
        <w:r>
          <w:rPr>
            <w:color w:val="005DA1"/>
            <w:position w:val="5"/>
            <w:sz w:val="14"/>
            <w:u w:val="single" w:color="005DA1"/>
          </w:rPr>
          <w:t>77</w:t>
        </w:r>
      </w:hyperlink>
      <w:r>
        <w:rPr>
          <w:position w:val="5"/>
          <w:sz w:val="14"/>
        </w:rPr>
        <w:t>.</w:t>
      </w:r>
      <w:r>
        <w:rPr>
          <w:spacing w:val="80"/>
          <w:position w:val="5"/>
          <w:sz w:val="14"/>
        </w:rPr>
        <w:t>  </w:t>
      </w:r>
      <w:r>
        <w:rPr>
          <w:rFonts w:ascii="Arial"/>
          <w:i/>
          <w:sz w:val="20"/>
        </w:rPr>
        <w:t>Brikom Investments Ltd v Seaford [1981] 1 W.L.R. 863</w:t>
      </w:r>
      <w:r>
        <w:rPr>
          <w:sz w:val="20"/>
        </w:rPr>
        <w:t>. But cf. </w:t>
      </w:r>
      <w:r>
        <w:rPr>
          <w:rFonts w:ascii="Arial"/>
          <w:i/>
          <w:sz w:val="20"/>
        </w:rPr>
        <w:t>China Pacific SA v Food Corp </w:t>
      </w:r>
      <w:r>
        <w:rPr>
          <w:rFonts w:ascii="Arial"/>
          <w:i/>
          <w:sz w:val="20"/>
        </w:rPr>
        <w:t>of India [1981] Q.B. 403, 429 (reversed on different grounds [1982] A.C. 939) </w:t>
      </w:r>
      <w:r>
        <w:rPr>
          <w:sz w:val="20"/>
        </w:rPr>
        <w:t>where an admission of liability was said to be a representation of law.</w:t>
      </w:r>
    </w:p>
    <w:p>
      <w:pPr>
        <w:pStyle w:val="BodyText"/>
        <w:spacing w:before="5"/>
      </w:pPr>
    </w:p>
    <w:p>
      <w:pPr>
        <w:tabs>
          <w:tab w:pos="705" w:val="left" w:leader="none"/>
        </w:tabs>
        <w:spacing w:before="0"/>
        <w:ind w:left="165" w:right="0" w:firstLine="0"/>
        <w:jc w:val="left"/>
        <w:rPr>
          <w:sz w:val="20"/>
        </w:rPr>
      </w:pPr>
      <w:bookmarkStart w:name="_bookmark193" w:id="195"/>
      <w:bookmarkEnd w:id="195"/>
      <w:r>
        <w:rPr/>
      </w:r>
      <w:hyperlink w:history="true" w:anchor="_bookmark88">
        <w:r>
          <w:rPr>
            <w:color w:val="005DA1"/>
            <w:spacing w:val="-5"/>
            <w:position w:val="5"/>
            <w:sz w:val="14"/>
            <w:u w:val="single" w:color="005DA1"/>
          </w:rPr>
          <w:t>78</w:t>
        </w:r>
      </w:hyperlink>
      <w:r>
        <w:rPr>
          <w:spacing w:val="-5"/>
          <w:position w:val="5"/>
          <w:sz w:val="14"/>
        </w:rPr>
        <w:t>.</w:t>
      </w:r>
      <w:r>
        <w:rPr>
          <w:position w:val="5"/>
          <w:sz w:val="14"/>
        </w:rPr>
        <w:tab/>
      </w:r>
      <w:r>
        <w:rPr>
          <w:rFonts w:ascii="Arial"/>
          <w:i/>
          <w:sz w:val="20"/>
        </w:rPr>
        <w:t>Rashdall</w:t>
      </w:r>
      <w:r>
        <w:rPr>
          <w:rFonts w:ascii="Arial"/>
          <w:i/>
          <w:spacing w:val="-1"/>
          <w:sz w:val="20"/>
        </w:rPr>
        <w:t> </w:t>
      </w:r>
      <w:r>
        <w:rPr>
          <w:rFonts w:ascii="Arial"/>
          <w:i/>
          <w:sz w:val="20"/>
        </w:rPr>
        <w:t>v Ford (1866) L.R. 2 Eq. 750</w:t>
      </w:r>
      <w:r>
        <w:rPr>
          <w:sz w:val="20"/>
        </w:rPr>
        <w:t>; </w:t>
      </w:r>
      <w:r>
        <w:rPr>
          <w:rFonts w:ascii="Arial"/>
          <w:i/>
          <w:sz w:val="20"/>
        </w:rPr>
        <w:t>Harse v Pearl Life Assurance Co [1904] 1 K.B. </w:t>
      </w:r>
      <w:r>
        <w:rPr>
          <w:rFonts w:ascii="Arial"/>
          <w:i/>
          <w:spacing w:val="-4"/>
          <w:sz w:val="20"/>
        </w:rPr>
        <w:t>558</w:t>
      </w:r>
      <w:r>
        <w:rPr>
          <w:spacing w:val="-4"/>
          <w:sz w:val="20"/>
        </w:rPr>
        <w:t>.</w:t>
      </w:r>
    </w:p>
    <w:p>
      <w:pPr>
        <w:pStyle w:val="BodyText"/>
        <w:spacing w:before="5"/>
      </w:pPr>
    </w:p>
    <w:p>
      <w:pPr>
        <w:pStyle w:val="BodyText"/>
        <w:tabs>
          <w:tab w:pos="705" w:val="left" w:leader="none"/>
        </w:tabs>
        <w:ind w:left="165"/>
      </w:pPr>
      <w:bookmarkStart w:name="_bookmark194" w:id="196"/>
      <w:bookmarkEnd w:id="196"/>
      <w:r>
        <w:rPr/>
      </w:r>
      <w:hyperlink w:history="true" w:anchor="_bookmark89">
        <w:r>
          <w:rPr>
            <w:color w:val="005DA1"/>
            <w:spacing w:val="-5"/>
            <w:position w:val="5"/>
            <w:sz w:val="14"/>
            <w:u w:val="single" w:color="005DA1"/>
          </w:rPr>
          <w:t>79</w:t>
        </w:r>
      </w:hyperlink>
      <w:r>
        <w:rPr>
          <w:spacing w:val="-5"/>
          <w:position w:val="5"/>
          <w:sz w:val="14"/>
        </w:rPr>
        <w:t>.</w:t>
      </w:r>
      <w:r>
        <w:rPr>
          <w:position w:val="5"/>
          <w:sz w:val="14"/>
        </w:rPr>
        <w:tab/>
      </w:r>
      <w:r>
        <w:rPr/>
        <w:t>See also, below, paras 29-044—29-</w:t>
      </w:r>
      <w:r>
        <w:rPr>
          <w:spacing w:val="-4"/>
        </w:rPr>
        <w:t>049.</w:t>
      </w:r>
    </w:p>
    <w:p>
      <w:pPr>
        <w:pStyle w:val="BodyText"/>
        <w:spacing w:before="5"/>
      </w:pPr>
    </w:p>
    <w:p>
      <w:pPr>
        <w:tabs>
          <w:tab w:pos="705" w:val="left" w:leader="none"/>
        </w:tabs>
        <w:spacing w:before="0"/>
        <w:ind w:left="165" w:right="0" w:firstLine="0"/>
        <w:jc w:val="left"/>
        <w:rPr>
          <w:sz w:val="20"/>
        </w:rPr>
      </w:pPr>
      <w:bookmarkStart w:name="_bookmark195" w:id="197"/>
      <w:bookmarkEnd w:id="197"/>
      <w:r>
        <w:rPr/>
      </w:r>
      <w:hyperlink w:history="true" w:anchor="_bookmark90">
        <w:r>
          <w:rPr>
            <w:color w:val="005DA1"/>
            <w:spacing w:val="-5"/>
            <w:position w:val="5"/>
            <w:sz w:val="14"/>
            <w:u w:val="single" w:color="005DA1"/>
          </w:rPr>
          <w:t>80</w:t>
        </w:r>
      </w:hyperlink>
      <w:r>
        <w:rPr>
          <w:spacing w:val="-5"/>
          <w:position w:val="5"/>
          <w:sz w:val="14"/>
        </w:rPr>
        <w:t>.</w:t>
      </w:r>
      <w:r>
        <w:rPr>
          <w:position w:val="5"/>
          <w:sz w:val="14"/>
        </w:rPr>
        <w:tab/>
      </w:r>
      <w:r>
        <w:rPr>
          <w:rFonts w:ascii="Arial"/>
          <w:i/>
          <w:sz w:val="20"/>
        </w:rPr>
        <w:t>Kleinwort</w:t>
      </w:r>
      <w:r>
        <w:rPr>
          <w:rFonts w:ascii="Arial"/>
          <w:i/>
          <w:spacing w:val="-1"/>
          <w:sz w:val="20"/>
        </w:rPr>
        <w:t> </w:t>
      </w:r>
      <w:r>
        <w:rPr>
          <w:rFonts w:ascii="Arial"/>
          <w:i/>
          <w:sz w:val="20"/>
        </w:rPr>
        <w:t>Benson Ltd v Lincoln City Council [1999] 2 A.C. 349</w:t>
      </w:r>
      <w:r>
        <w:rPr>
          <w:sz w:val="20"/>
        </w:rPr>
        <w:t>. See below, para.29-</w:t>
      </w:r>
      <w:r>
        <w:rPr>
          <w:spacing w:val="-4"/>
          <w:sz w:val="20"/>
        </w:rPr>
        <w:t>045.</w:t>
      </w:r>
    </w:p>
    <w:p>
      <w:pPr>
        <w:pStyle w:val="BodyText"/>
        <w:spacing w:before="5"/>
      </w:pPr>
    </w:p>
    <w:p>
      <w:pPr>
        <w:tabs>
          <w:tab w:pos="705" w:val="left" w:leader="none"/>
        </w:tabs>
        <w:spacing w:before="0"/>
        <w:ind w:left="165" w:right="0" w:firstLine="0"/>
        <w:jc w:val="left"/>
        <w:rPr>
          <w:sz w:val="20"/>
        </w:rPr>
      </w:pPr>
      <w:bookmarkStart w:name="_bookmark196" w:id="198"/>
      <w:bookmarkEnd w:id="198"/>
      <w:r>
        <w:rPr/>
      </w:r>
      <w:hyperlink w:history="true" w:anchor="_bookmark90">
        <w:r>
          <w:rPr>
            <w:color w:val="005DA1"/>
            <w:spacing w:val="-5"/>
            <w:position w:val="5"/>
            <w:sz w:val="14"/>
            <w:u w:val="single" w:color="005DA1"/>
          </w:rPr>
          <w:t>81</w:t>
        </w:r>
      </w:hyperlink>
      <w:r>
        <w:rPr>
          <w:spacing w:val="-5"/>
          <w:position w:val="5"/>
          <w:sz w:val="14"/>
        </w:rPr>
        <w:t>.</w:t>
      </w:r>
      <w:r>
        <w:rPr>
          <w:position w:val="5"/>
          <w:sz w:val="14"/>
        </w:rPr>
        <w:tab/>
      </w:r>
      <w:r>
        <w:rPr>
          <w:rFonts w:ascii="Arial"/>
          <w:i/>
          <w:sz w:val="20"/>
        </w:rPr>
        <w:t>[2002]</w:t>
      </w:r>
      <w:r>
        <w:rPr>
          <w:rFonts w:ascii="Arial"/>
          <w:i/>
          <w:spacing w:val="-1"/>
          <w:sz w:val="20"/>
        </w:rPr>
        <w:t> </w:t>
      </w:r>
      <w:r>
        <w:rPr>
          <w:rFonts w:ascii="Arial"/>
          <w:i/>
          <w:sz w:val="20"/>
        </w:rPr>
        <w:t>EWHC 2441(Ch)</w:t>
      </w:r>
      <w:r>
        <w:rPr>
          <w:sz w:val="20"/>
        </w:rPr>
        <w:t>. See also above, para.6-</w:t>
      </w:r>
      <w:r>
        <w:rPr>
          <w:spacing w:val="-4"/>
          <w:sz w:val="20"/>
        </w:rPr>
        <w:t>052.</w:t>
      </w: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3488">
            <wp:simplePos x="0" y="0"/>
            <wp:positionH relativeFrom="page">
              <wp:posOffset>1257846</wp:posOffset>
            </wp:positionH>
            <wp:positionV relativeFrom="paragraph">
              <wp:posOffset>160268</wp:posOffset>
            </wp:positionV>
            <wp:extent cx="107988" cy="107988"/>
            <wp:effectExtent l="0" t="0" r="0" b="0"/>
            <wp:wrapNone/>
            <wp:docPr id="54" name="Image 54"/>
            <wp:cNvGraphicFramePr>
              <a:graphicFrameLocks/>
            </wp:cNvGraphicFramePr>
            <a:graphic>
              <a:graphicData uri="http://schemas.openxmlformats.org/drawingml/2006/picture">
                <pic:pic>
                  <pic:nvPicPr>
                    <pic:cNvPr id="54" name="Image 5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97" w:id="199"/>
      <w:bookmarkEnd w:id="199"/>
      <w:r>
        <w:rPr/>
      </w:r>
      <w:hyperlink w:history="true" w:anchor="_bookmark91">
        <w:r>
          <w:rPr>
            <w:color w:val="005DA1"/>
            <w:spacing w:val="-5"/>
            <w:sz w:val="14"/>
            <w:u w:val="single" w:color="005DA1"/>
          </w:rPr>
          <w:t>82</w:t>
        </w:r>
      </w:hyperlink>
      <w:r>
        <w:rPr>
          <w:spacing w:val="-5"/>
          <w:sz w:val="14"/>
        </w:rPr>
        <w:t>.</w:t>
      </w:r>
    </w:p>
    <w:p>
      <w:pPr>
        <w:pStyle w:val="BodyText"/>
        <w:spacing w:line="235" w:lineRule="auto" w:before="212"/>
        <w:ind w:left="165" w:right="167" w:firstLine="170"/>
        <w:jc w:val="both"/>
      </w:pPr>
      <w:r>
        <w:rPr/>
        <w:br w:type="column"/>
      </w:r>
      <w:r>
        <w:rPr/>
        <w:t>cf. above, para.7-010. It has rightly been remarked that the reasons often given for </w:t>
      </w:r>
      <w:r>
        <w:rPr/>
        <w:t>refusing relief on the grounds of a mistake of law—for example, that it would be easy to claim a</w:t>
      </w:r>
      <w:r>
        <w:rPr>
          <w:spacing w:val="40"/>
        </w:rPr>
        <w:t> </w:t>
      </w:r>
      <w:r>
        <w:rPr/>
        <w:t>mistaken belief in the law and hard to disprove it—have much less weight when the mistake</w:t>
      </w:r>
      <w:r>
        <w:rPr>
          <w:spacing w:val="40"/>
        </w:rPr>
        <w:t> </w:t>
      </w:r>
      <w:r>
        <w:rPr/>
        <w:t>was the result of a misrepresentation by the other party: Cartwright, </w:t>
      </w:r>
      <w:r>
        <w:rPr>
          <w:rFonts w:ascii="Arial" w:hAnsi="Arial"/>
          <w:i/>
        </w:rPr>
        <w:t>Misrepresentation, Mistake and Non-disclosure</w:t>
      </w:r>
      <w:r>
        <w:rPr/>
        <w:t>, 4th edn (2016), para.3-30.</w:t>
      </w:r>
    </w:p>
    <w:p>
      <w:pPr>
        <w:pStyle w:val="BodyText"/>
        <w:spacing w:after="0" w:line="235" w:lineRule="auto"/>
        <w:jc w:val="both"/>
        <w:sectPr>
          <w:type w:val="continuous"/>
          <w:pgSz w:w="11900" w:h="16840"/>
          <w:pgMar w:header="971" w:footer="0" w:top="1160" w:bottom="280" w:left="1275" w:right="1275"/>
          <w:cols w:num="2" w:equalWidth="0">
            <w:col w:w="400" w:space="141"/>
            <w:col w:w="8809"/>
          </w:cols>
        </w:sectPr>
      </w:pPr>
    </w:p>
    <w:p>
      <w:pPr>
        <w:pStyle w:val="BodyText"/>
        <w:spacing w:before="4"/>
        <w:rPr>
          <w:sz w:val="19"/>
        </w:rPr>
      </w:pPr>
    </w:p>
    <w:p>
      <w:pPr>
        <w:pStyle w:val="BodyText"/>
        <w:spacing w:after="0"/>
        <w:rPr>
          <w:sz w:val="19"/>
        </w:rPr>
        <w:sectPr>
          <w:pgSz w:w="11900" w:h="16840"/>
          <w:pgMar w:header="971" w:footer="0" w:top="1160" w:bottom="280" w:left="1275" w:right="1275"/>
        </w:sectPr>
      </w:pPr>
    </w:p>
    <w:p>
      <w:pPr>
        <w:spacing w:before="96"/>
        <w:ind w:left="165" w:right="0" w:firstLine="0"/>
        <w:jc w:val="left"/>
        <w:rPr>
          <w:sz w:val="14"/>
        </w:rPr>
      </w:pPr>
      <w:hyperlink w:history="true" w:anchor="_bookmark92">
        <w:r>
          <w:rPr>
            <w:color w:val="005DA1"/>
            <w:spacing w:val="-5"/>
            <w:sz w:val="14"/>
            <w:u w:val="single" w:color="005DA1"/>
          </w:rPr>
          <w:t>83</w:t>
        </w:r>
      </w:hyperlink>
      <w:r>
        <w:rPr>
          <w:spacing w:val="-5"/>
          <w:sz w:val="14"/>
        </w:rPr>
        <w:t>.</w:t>
      </w:r>
    </w:p>
    <w:p>
      <w:pPr>
        <w:spacing w:before="208"/>
        <w:ind w:left="335" w:right="0" w:firstLine="0"/>
        <w:jc w:val="left"/>
        <w:rPr>
          <w:sz w:val="20"/>
        </w:rPr>
      </w:pPr>
      <w:r>
        <w:rPr/>
        <w:br w:type="column"/>
      </w:r>
      <w:r>
        <w:rPr>
          <w:sz w:val="20"/>
        </w:rPr>
        <w:t>See Cartwright,</w:t>
      </w:r>
      <w:r>
        <w:rPr>
          <w:spacing w:val="-1"/>
          <w:sz w:val="20"/>
        </w:rPr>
        <w:t> </w:t>
      </w:r>
      <w:r>
        <w:rPr>
          <w:rFonts w:ascii="Arial"/>
          <w:i/>
          <w:sz w:val="20"/>
        </w:rPr>
        <w:t>Misrepresentation, Mistake and Non-disclosure</w:t>
      </w:r>
      <w:r>
        <w:rPr>
          <w:rFonts w:ascii="Arial"/>
          <w:i/>
          <w:spacing w:val="-1"/>
          <w:sz w:val="20"/>
        </w:rPr>
        <w:t> </w:t>
      </w:r>
      <w:r>
        <w:rPr>
          <w:sz w:val="20"/>
        </w:rPr>
        <w:t>4th edn (2016), para.3-</w:t>
      </w:r>
      <w:r>
        <w:rPr>
          <w:spacing w:val="-5"/>
          <w:sz w:val="20"/>
        </w:rPr>
        <w:t>39.</w:t>
      </w:r>
    </w:p>
    <w:p>
      <w:pPr>
        <w:spacing w:after="0"/>
        <w:jc w:val="left"/>
        <w:rPr>
          <w:sz w:val="20"/>
        </w:rPr>
        <w:sectPr>
          <w:type w:val="continuous"/>
          <w:pgSz w:w="11900" w:h="16840"/>
          <w:pgMar w:header="971" w:footer="0" w:top="1160" w:bottom="280" w:left="1275" w:right="1275"/>
          <w:cols w:num="2" w:equalWidth="0">
            <w:col w:w="400" w:space="141"/>
            <w:col w:w="8809"/>
          </w:cols>
        </w:sectPr>
      </w:pPr>
    </w:p>
    <w:p>
      <w:pPr>
        <w:pStyle w:val="BodyText"/>
        <w:spacing w:before="5"/>
      </w:pPr>
    </w:p>
    <w:p>
      <w:pPr>
        <w:tabs>
          <w:tab w:pos="705" w:val="left" w:leader="none"/>
        </w:tabs>
        <w:spacing w:before="0"/>
        <w:ind w:left="165" w:right="0" w:firstLine="0"/>
        <w:jc w:val="left"/>
        <w:rPr>
          <w:sz w:val="20"/>
        </w:rPr>
      </w:pPr>
      <w:r>
        <w:rPr>
          <w:sz w:val="20"/>
        </w:rPr>
        <w:drawing>
          <wp:anchor distT="0" distB="0" distL="0" distR="0" allowOverlap="1" layoutInCell="1" locked="0" behindDoc="0" simplePos="0" relativeHeight="15744000">
            <wp:simplePos x="0" y="0"/>
            <wp:positionH relativeFrom="page">
              <wp:posOffset>1257846</wp:posOffset>
            </wp:positionH>
            <wp:positionV relativeFrom="paragraph">
              <wp:posOffset>-266845</wp:posOffset>
            </wp:positionV>
            <wp:extent cx="107988" cy="107988"/>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98" w:id="200"/>
      <w:bookmarkEnd w:id="200"/>
      <w:r>
        <w:rPr/>
      </w:r>
      <w:hyperlink w:history="true" w:anchor="_bookmark93">
        <w:r>
          <w:rPr>
            <w:color w:val="005DA1"/>
            <w:spacing w:val="-5"/>
            <w:position w:val="5"/>
            <w:sz w:val="14"/>
            <w:u w:val="single" w:color="005DA1"/>
          </w:rPr>
          <w:t>84</w:t>
        </w:r>
      </w:hyperlink>
      <w:r>
        <w:rPr>
          <w:spacing w:val="-5"/>
          <w:position w:val="5"/>
          <w:sz w:val="14"/>
        </w:rPr>
        <w:t>.</w:t>
      </w:r>
      <w:r>
        <w:rPr>
          <w:position w:val="5"/>
          <w:sz w:val="14"/>
        </w:rPr>
        <w:tab/>
      </w:r>
      <w:r>
        <w:rPr>
          <w:rFonts w:ascii="Arial" w:hAnsi="Arial"/>
          <w:i/>
          <w:sz w:val="20"/>
        </w:rPr>
        <w:t>André &amp; Cie SA v Ets Michel Blanc &amp; Fils [1977] 2 Lloyd’s Rep. </w:t>
      </w:r>
      <w:r>
        <w:rPr>
          <w:rFonts w:ascii="Arial" w:hAnsi="Arial"/>
          <w:i/>
          <w:spacing w:val="-4"/>
          <w:sz w:val="20"/>
        </w:rPr>
        <w:t>166</w:t>
      </w:r>
      <w:r>
        <w:rPr>
          <w:spacing w:val="-4"/>
          <w:sz w:val="20"/>
        </w:rPr>
        <w:t>.</w:t>
      </w:r>
    </w:p>
    <w:p>
      <w:pPr>
        <w:pStyle w:val="BodyText"/>
        <w:spacing w:before="9"/>
      </w:pPr>
    </w:p>
    <w:p>
      <w:pPr>
        <w:spacing w:line="235" w:lineRule="auto" w:before="0"/>
        <w:ind w:left="705" w:right="167" w:hanging="541"/>
        <w:jc w:val="both"/>
        <w:rPr>
          <w:sz w:val="20"/>
        </w:rPr>
      </w:pPr>
      <w:bookmarkStart w:name="_bookmark199" w:id="201"/>
      <w:bookmarkEnd w:id="201"/>
      <w:r>
        <w:rPr/>
      </w:r>
      <w:hyperlink w:history="true" w:anchor="_bookmark94">
        <w:r>
          <w:rPr>
            <w:color w:val="005DA1"/>
            <w:position w:val="5"/>
            <w:sz w:val="14"/>
            <w:u w:val="single" w:color="005DA1"/>
          </w:rPr>
          <w:t>85</w:t>
        </w:r>
      </w:hyperlink>
      <w:r>
        <w:rPr>
          <w:position w:val="5"/>
          <w:sz w:val="14"/>
        </w:rPr>
        <w:t>.</w:t>
      </w:r>
      <w:r>
        <w:rPr>
          <w:spacing w:val="80"/>
          <w:position w:val="5"/>
          <w:sz w:val="14"/>
        </w:rPr>
        <w:t>  </w:t>
      </w:r>
      <w:r>
        <w:rPr>
          <w:rFonts w:ascii="Arial"/>
          <w:i/>
          <w:sz w:val="20"/>
        </w:rPr>
        <w:t>Ward v Hobbs (1878) 4 App. Cas. 13</w:t>
      </w:r>
      <w:r>
        <w:rPr>
          <w:sz w:val="20"/>
        </w:rPr>
        <w:t>. In </w:t>
      </w:r>
      <w:r>
        <w:rPr>
          <w:rFonts w:ascii="Arial"/>
          <w:i/>
          <w:sz w:val="20"/>
        </w:rPr>
        <w:t>Hurley v Dyke [1979] R.T.R. 265, 303 </w:t>
      </w:r>
      <w:r>
        <w:rPr>
          <w:sz w:val="20"/>
        </w:rPr>
        <w:t>Lord Hailsham suggested Ward v Hobbs might need reconsideration in the light of recent developments in negligence but expressed no concluded opinion. Certain statutes may impose duties </w:t>
      </w:r>
      <w:r>
        <w:rPr>
          <w:sz w:val="20"/>
        </w:rPr>
        <w:t>of disclosure in particular circumstances: e.g. Housing Act 1985 (as amended) s.125(4A): see </w:t>
      </w:r>
      <w:r>
        <w:rPr>
          <w:rFonts w:ascii="Arial"/>
          <w:i/>
          <w:sz w:val="20"/>
        </w:rPr>
        <w:t>Payne v Barnet LBC (1998) 30 H.L.R. 295 </w:t>
      </w:r>
      <w:r>
        <w:rPr>
          <w:sz w:val="20"/>
        </w:rPr>
        <w:t>(no duty at common law should be superimposed on statutory scheme).</w:t>
      </w:r>
    </w:p>
    <w:p>
      <w:pPr>
        <w:pStyle w:val="BodyText"/>
        <w:spacing w:before="4"/>
      </w:pPr>
    </w:p>
    <w:p>
      <w:pPr>
        <w:tabs>
          <w:tab w:pos="540" w:val="left" w:leader="none"/>
        </w:tabs>
        <w:spacing w:line="227" w:lineRule="exact" w:before="0"/>
        <w:ind w:left="0" w:right="168" w:firstLine="0"/>
        <w:jc w:val="right"/>
        <w:rPr>
          <w:rFonts w:ascii="Arial"/>
          <w:i/>
          <w:sz w:val="20"/>
        </w:rPr>
      </w:pPr>
      <w:bookmarkStart w:name="_bookmark200" w:id="202"/>
      <w:bookmarkEnd w:id="202"/>
      <w:r>
        <w:rPr/>
      </w:r>
      <w:hyperlink w:history="true" w:anchor="_bookmark95">
        <w:r>
          <w:rPr>
            <w:color w:val="005DA1"/>
            <w:spacing w:val="-5"/>
            <w:position w:val="5"/>
            <w:sz w:val="14"/>
            <w:u w:val="single" w:color="005DA1"/>
          </w:rPr>
          <w:t>86</w:t>
        </w:r>
      </w:hyperlink>
      <w:r>
        <w:rPr>
          <w:spacing w:val="-5"/>
          <w:position w:val="5"/>
          <w:sz w:val="14"/>
        </w:rPr>
        <w:t>.</w:t>
      </w:r>
      <w:r>
        <w:rPr>
          <w:position w:val="5"/>
          <w:sz w:val="14"/>
        </w:rPr>
        <w:tab/>
      </w:r>
      <w:r>
        <w:rPr>
          <w:rFonts w:ascii="Arial"/>
          <w:i/>
          <w:sz w:val="20"/>
        </w:rPr>
        <w:t>[1902]</w:t>
      </w:r>
      <w:r>
        <w:rPr>
          <w:rFonts w:ascii="Arial"/>
          <w:i/>
          <w:spacing w:val="20"/>
          <w:sz w:val="20"/>
        </w:rPr>
        <w:t> </w:t>
      </w:r>
      <w:r>
        <w:rPr>
          <w:rFonts w:ascii="Arial"/>
          <w:i/>
          <w:sz w:val="20"/>
        </w:rPr>
        <w:t>2</w:t>
      </w:r>
      <w:r>
        <w:rPr>
          <w:rFonts w:ascii="Arial"/>
          <w:i/>
          <w:spacing w:val="21"/>
          <w:sz w:val="20"/>
        </w:rPr>
        <w:t> </w:t>
      </w:r>
      <w:r>
        <w:rPr>
          <w:rFonts w:ascii="Arial"/>
          <w:i/>
          <w:sz w:val="20"/>
        </w:rPr>
        <w:t>Ch.</w:t>
      </w:r>
      <w:r>
        <w:rPr>
          <w:rFonts w:ascii="Arial"/>
          <w:i/>
          <w:spacing w:val="21"/>
          <w:sz w:val="20"/>
        </w:rPr>
        <w:t> </w:t>
      </w:r>
      <w:r>
        <w:rPr>
          <w:rFonts w:ascii="Arial"/>
          <w:i/>
          <w:sz w:val="20"/>
        </w:rPr>
        <w:t>421</w:t>
      </w:r>
      <w:r>
        <w:rPr>
          <w:sz w:val="20"/>
        </w:rPr>
        <w:t>;</w:t>
      </w:r>
      <w:r>
        <w:rPr>
          <w:spacing w:val="21"/>
          <w:sz w:val="20"/>
        </w:rPr>
        <w:t> </w:t>
      </w:r>
      <w:r>
        <w:rPr>
          <w:sz w:val="20"/>
        </w:rPr>
        <w:t>cf.</w:t>
      </w:r>
      <w:r>
        <w:rPr>
          <w:spacing w:val="21"/>
          <w:sz w:val="20"/>
        </w:rPr>
        <w:t> </w:t>
      </w:r>
      <w:r>
        <w:rPr>
          <w:rFonts w:ascii="Arial"/>
          <w:i/>
          <w:sz w:val="20"/>
        </w:rPr>
        <w:t>Coleman</w:t>
      </w:r>
      <w:r>
        <w:rPr>
          <w:rFonts w:ascii="Arial"/>
          <w:i/>
          <w:spacing w:val="21"/>
          <w:sz w:val="20"/>
        </w:rPr>
        <w:t> </w:t>
      </w:r>
      <w:r>
        <w:rPr>
          <w:rFonts w:ascii="Arial"/>
          <w:i/>
          <w:sz w:val="20"/>
        </w:rPr>
        <w:t>v</w:t>
      </w:r>
      <w:r>
        <w:rPr>
          <w:rFonts w:ascii="Arial"/>
          <w:i/>
          <w:spacing w:val="21"/>
          <w:sz w:val="20"/>
        </w:rPr>
        <w:t> </w:t>
      </w:r>
      <w:r>
        <w:rPr>
          <w:rFonts w:ascii="Arial"/>
          <w:i/>
          <w:sz w:val="20"/>
        </w:rPr>
        <w:t>Myers</w:t>
      </w:r>
      <w:r>
        <w:rPr>
          <w:rFonts w:ascii="Arial"/>
          <w:i/>
          <w:spacing w:val="21"/>
          <w:sz w:val="20"/>
        </w:rPr>
        <w:t> </w:t>
      </w:r>
      <w:r>
        <w:rPr>
          <w:rFonts w:ascii="Arial"/>
          <w:i/>
          <w:sz w:val="20"/>
        </w:rPr>
        <w:t>[1977]</w:t>
      </w:r>
      <w:r>
        <w:rPr>
          <w:rFonts w:ascii="Arial"/>
          <w:i/>
          <w:spacing w:val="20"/>
          <w:sz w:val="20"/>
        </w:rPr>
        <w:t> </w:t>
      </w:r>
      <w:r>
        <w:rPr>
          <w:rFonts w:ascii="Arial"/>
          <w:i/>
          <w:sz w:val="20"/>
        </w:rPr>
        <w:t>2</w:t>
      </w:r>
      <w:r>
        <w:rPr>
          <w:rFonts w:ascii="Arial"/>
          <w:i/>
          <w:spacing w:val="21"/>
          <w:sz w:val="20"/>
        </w:rPr>
        <w:t> </w:t>
      </w:r>
      <w:r>
        <w:rPr>
          <w:rFonts w:ascii="Arial"/>
          <w:i/>
          <w:sz w:val="20"/>
        </w:rPr>
        <w:t>N.Z.L.R.</w:t>
      </w:r>
      <w:r>
        <w:rPr>
          <w:rFonts w:ascii="Arial"/>
          <w:i/>
          <w:spacing w:val="21"/>
          <w:sz w:val="20"/>
        </w:rPr>
        <w:t> </w:t>
      </w:r>
      <w:r>
        <w:rPr>
          <w:rFonts w:ascii="Arial"/>
          <w:i/>
          <w:sz w:val="20"/>
        </w:rPr>
        <w:t>225</w:t>
      </w:r>
      <w:r>
        <w:rPr>
          <w:sz w:val="20"/>
        </w:rPr>
        <w:t>,</w:t>
      </w:r>
      <w:r>
        <w:rPr>
          <w:spacing w:val="21"/>
          <w:sz w:val="20"/>
        </w:rPr>
        <w:t> </w:t>
      </w:r>
      <w:r>
        <w:rPr>
          <w:sz w:val="20"/>
        </w:rPr>
        <w:t>and</w:t>
      </w:r>
      <w:r>
        <w:rPr>
          <w:spacing w:val="21"/>
          <w:sz w:val="20"/>
        </w:rPr>
        <w:t> </w:t>
      </w:r>
      <w:r>
        <w:rPr>
          <w:sz w:val="20"/>
        </w:rPr>
        <w:t>see</w:t>
      </w:r>
      <w:r>
        <w:rPr>
          <w:spacing w:val="21"/>
          <w:sz w:val="20"/>
        </w:rPr>
        <w:t> </w:t>
      </w:r>
      <w:r>
        <w:rPr>
          <w:sz w:val="20"/>
        </w:rPr>
        <w:t>also</w:t>
      </w:r>
      <w:r>
        <w:rPr>
          <w:spacing w:val="21"/>
          <w:sz w:val="20"/>
        </w:rPr>
        <w:t> </w:t>
      </w:r>
      <w:r>
        <w:rPr>
          <w:rFonts w:ascii="Arial"/>
          <w:i/>
          <w:sz w:val="20"/>
        </w:rPr>
        <w:t>Gething</w:t>
      </w:r>
      <w:r>
        <w:rPr>
          <w:rFonts w:ascii="Arial"/>
          <w:i/>
          <w:spacing w:val="21"/>
          <w:sz w:val="20"/>
        </w:rPr>
        <w:t> </w:t>
      </w:r>
      <w:r>
        <w:rPr>
          <w:rFonts w:ascii="Arial"/>
          <w:i/>
          <w:sz w:val="20"/>
        </w:rPr>
        <w:t>v</w:t>
      </w:r>
      <w:r>
        <w:rPr>
          <w:rFonts w:ascii="Arial"/>
          <w:i/>
          <w:spacing w:val="21"/>
          <w:sz w:val="20"/>
        </w:rPr>
        <w:t> </w:t>
      </w:r>
      <w:r>
        <w:rPr>
          <w:rFonts w:ascii="Arial"/>
          <w:i/>
          <w:spacing w:val="-2"/>
          <w:sz w:val="20"/>
        </w:rPr>
        <w:t>Kilner</w:t>
      </w:r>
    </w:p>
    <w:p>
      <w:pPr>
        <w:spacing w:line="225" w:lineRule="exact" w:before="0"/>
        <w:ind w:left="0" w:right="167" w:firstLine="0"/>
        <w:jc w:val="right"/>
        <w:rPr>
          <w:rFonts w:ascii="Arial"/>
          <w:i/>
          <w:sz w:val="20"/>
        </w:rPr>
      </w:pPr>
      <w:r>
        <w:rPr>
          <w:rFonts w:ascii="Arial"/>
          <w:i/>
          <w:sz w:val="20"/>
        </w:rPr>
        <w:t>[1972]</w:t>
      </w:r>
      <w:r>
        <w:rPr>
          <w:rFonts w:ascii="Arial"/>
          <w:i/>
          <w:spacing w:val="1"/>
          <w:sz w:val="20"/>
        </w:rPr>
        <w:t> </w:t>
      </w:r>
      <w:r>
        <w:rPr>
          <w:rFonts w:ascii="Arial"/>
          <w:i/>
          <w:sz w:val="20"/>
        </w:rPr>
        <w:t>1</w:t>
      </w:r>
      <w:r>
        <w:rPr>
          <w:rFonts w:ascii="Arial"/>
          <w:i/>
          <w:spacing w:val="2"/>
          <w:sz w:val="20"/>
        </w:rPr>
        <w:t> </w:t>
      </w:r>
      <w:r>
        <w:rPr>
          <w:rFonts w:ascii="Arial"/>
          <w:i/>
          <w:sz w:val="20"/>
        </w:rPr>
        <w:t>W.L.R.</w:t>
      </w:r>
      <w:r>
        <w:rPr>
          <w:rFonts w:ascii="Arial"/>
          <w:i/>
          <w:spacing w:val="2"/>
          <w:sz w:val="20"/>
        </w:rPr>
        <w:t> </w:t>
      </w:r>
      <w:r>
        <w:rPr>
          <w:rFonts w:ascii="Arial"/>
          <w:i/>
          <w:sz w:val="20"/>
        </w:rPr>
        <w:t>237</w:t>
      </w:r>
      <w:r>
        <w:rPr>
          <w:sz w:val="20"/>
        </w:rPr>
        <w:t>;</w:t>
      </w:r>
      <w:r>
        <w:rPr>
          <w:spacing w:val="2"/>
          <w:sz w:val="20"/>
        </w:rPr>
        <w:t> </w:t>
      </w:r>
      <w:r>
        <w:rPr>
          <w:rFonts w:ascii="Arial"/>
          <w:i/>
          <w:sz w:val="20"/>
        </w:rPr>
        <w:t>Prudential</w:t>
      </w:r>
      <w:r>
        <w:rPr>
          <w:rFonts w:ascii="Arial"/>
          <w:i/>
          <w:spacing w:val="2"/>
          <w:sz w:val="20"/>
        </w:rPr>
        <w:t> </w:t>
      </w:r>
      <w:r>
        <w:rPr>
          <w:rFonts w:ascii="Arial"/>
          <w:i/>
          <w:sz w:val="20"/>
        </w:rPr>
        <w:t>Insurance</w:t>
      </w:r>
      <w:r>
        <w:rPr>
          <w:rFonts w:ascii="Arial"/>
          <w:i/>
          <w:spacing w:val="2"/>
          <w:sz w:val="20"/>
        </w:rPr>
        <w:t> </w:t>
      </w:r>
      <w:r>
        <w:rPr>
          <w:rFonts w:ascii="Arial"/>
          <w:i/>
          <w:sz w:val="20"/>
        </w:rPr>
        <w:t>Co</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Newman</w:t>
      </w:r>
      <w:r>
        <w:rPr>
          <w:rFonts w:ascii="Arial"/>
          <w:i/>
          <w:spacing w:val="2"/>
          <w:sz w:val="20"/>
        </w:rPr>
        <w:t> </w:t>
      </w:r>
      <w:r>
        <w:rPr>
          <w:rFonts w:ascii="Arial"/>
          <w:i/>
          <w:sz w:val="20"/>
        </w:rPr>
        <w:t>Industries</w:t>
      </w:r>
      <w:r>
        <w:rPr>
          <w:rFonts w:ascii="Arial"/>
          <w:i/>
          <w:spacing w:val="2"/>
          <w:sz w:val="20"/>
        </w:rPr>
        <w:t> </w:t>
      </w:r>
      <w:r>
        <w:rPr>
          <w:rFonts w:ascii="Arial"/>
          <w:i/>
          <w:sz w:val="20"/>
        </w:rPr>
        <w:t>Ltd</w:t>
      </w:r>
      <w:r>
        <w:rPr>
          <w:rFonts w:ascii="Arial"/>
          <w:i/>
          <w:spacing w:val="2"/>
          <w:sz w:val="20"/>
        </w:rPr>
        <w:t> </w:t>
      </w:r>
      <w:r>
        <w:rPr>
          <w:rFonts w:ascii="Arial"/>
          <w:i/>
          <w:sz w:val="20"/>
        </w:rPr>
        <w:t>[1981]</w:t>
      </w:r>
      <w:r>
        <w:rPr>
          <w:rFonts w:ascii="Arial"/>
          <w:i/>
          <w:spacing w:val="2"/>
          <w:sz w:val="20"/>
        </w:rPr>
        <w:t> </w:t>
      </w:r>
      <w:r>
        <w:rPr>
          <w:rFonts w:ascii="Arial"/>
          <w:i/>
          <w:sz w:val="20"/>
        </w:rPr>
        <w:t>Ch.</w:t>
      </w:r>
      <w:r>
        <w:rPr>
          <w:rFonts w:ascii="Arial"/>
          <w:i/>
          <w:spacing w:val="2"/>
          <w:sz w:val="20"/>
        </w:rPr>
        <w:t> </w:t>
      </w:r>
      <w:r>
        <w:rPr>
          <w:rFonts w:ascii="Arial"/>
          <w:i/>
          <w:sz w:val="20"/>
        </w:rPr>
        <w:t>257,</w:t>
      </w:r>
      <w:r>
        <w:rPr>
          <w:rFonts w:ascii="Arial"/>
          <w:i/>
          <w:spacing w:val="2"/>
          <w:sz w:val="20"/>
        </w:rPr>
        <w:t> </w:t>
      </w:r>
      <w:r>
        <w:rPr>
          <w:rFonts w:ascii="Arial"/>
          <w:i/>
          <w:spacing w:val="-5"/>
          <w:sz w:val="20"/>
        </w:rPr>
        <w:t>295</w:t>
      </w:r>
    </w:p>
    <w:p>
      <w:pPr>
        <w:pStyle w:val="BodyText"/>
        <w:spacing w:line="235" w:lineRule="auto" w:before="2"/>
        <w:ind w:left="705"/>
      </w:pPr>
      <w:r>
        <w:rPr/>
        <w:t>.</w:t>
      </w:r>
      <w:r>
        <w:rPr>
          <w:spacing w:val="-3"/>
        </w:rPr>
        <w:t> </w:t>
      </w:r>
      <w:r>
        <w:rPr/>
        <w:t>Such</w:t>
      </w:r>
      <w:r>
        <w:rPr>
          <w:spacing w:val="-3"/>
        </w:rPr>
        <w:t> </w:t>
      </w:r>
      <w:r>
        <w:rPr/>
        <w:t>conduct</w:t>
      </w:r>
      <w:r>
        <w:rPr>
          <w:spacing w:val="-3"/>
        </w:rPr>
        <w:t> </w:t>
      </w:r>
      <w:r>
        <w:rPr/>
        <w:t>could</w:t>
      </w:r>
      <w:r>
        <w:rPr>
          <w:spacing w:val="-3"/>
        </w:rPr>
        <w:t> </w:t>
      </w:r>
      <w:r>
        <w:rPr/>
        <w:t>constitute</w:t>
      </w:r>
      <w:r>
        <w:rPr>
          <w:spacing w:val="-3"/>
        </w:rPr>
        <w:t> </w:t>
      </w:r>
      <w:r>
        <w:rPr/>
        <w:t>an</w:t>
      </w:r>
      <w:r>
        <w:rPr>
          <w:spacing w:val="-3"/>
        </w:rPr>
        <w:t> </w:t>
      </w:r>
      <w:r>
        <w:rPr/>
        <w:t>offence</w:t>
      </w:r>
      <w:r>
        <w:rPr>
          <w:spacing w:val="-3"/>
        </w:rPr>
        <w:t> </w:t>
      </w:r>
      <w:r>
        <w:rPr/>
        <w:t>under</w:t>
      </w:r>
      <w:r>
        <w:rPr>
          <w:spacing w:val="-3"/>
        </w:rPr>
        <w:t> </w:t>
      </w:r>
      <w:r>
        <w:rPr/>
        <w:t>the</w:t>
      </w:r>
      <w:r>
        <w:rPr>
          <w:spacing w:val="-3"/>
        </w:rPr>
        <w:t> </w:t>
      </w:r>
      <w:r>
        <w:rPr/>
        <w:t>Criminal</w:t>
      </w:r>
      <w:r>
        <w:rPr>
          <w:spacing w:val="-3"/>
        </w:rPr>
        <w:t> </w:t>
      </w:r>
      <w:r>
        <w:rPr/>
        <w:t>Justice</w:t>
      </w:r>
      <w:r>
        <w:rPr>
          <w:spacing w:val="-3"/>
        </w:rPr>
        <w:t> </w:t>
      </w:r>
      <w:r>
        <w:rPr/>
        <w:t>Act</w:t>
      </w:r>
      <w:r>
        <w:rPr>
          <w:spacing w:val="-3"/>
        </w:rPr>
        <w:t> </w:t>
      </w:r>
      <w:r>
        <w:rPr/>
        <w:t>1993</w:t>
      </w:r>
      <w:r>
        <w:rPr>
          <w:spacing w:val="-3"/>
        </w:rPr>
        <w:t> </w:t>
      </w:r>
      <w:r>
        <w:rPr/>
        <w:t>s.52,</w:t>
      </w:r>
      <w:r>
        <w:rPr>
          <w:spacing w:val="-3"/>
        </w:rPr>
        <w:t> </w:t>
      </w:r>
      <w:r>
        <w:rPr/>
        <w:t>but</w:t>
      </w:r>
      <w:r>
        <w:rPr>
          <w:spacing w:val="-3"/>
        </w:rPr>
        <w:t> </w:t>
      </w:r>
      <w:r>
        <w:rPr/>
        <w:t>s.63(2) provides that no contract shall be void or unenforceable by reason only of s.52.</w:t>
      </w:r>
    </w:p>
    <w:p>
      <w:pPr>
        <w:pStyle w:val="BodyText"/>
        <w:spacing w:before="5"/>
      </w:pPr>
    </w:p>
    <w:p>
      <w:pPr>
        <w:tabs>
          <w:tab w:pos="705" w:val="left" w:leader="none"/>
        </w:tabs>
        <w:spacing w:before="0"/>
        <w:ind w:left="165" w:right="0" w:firstLine="0"/>
        <w:jc w:val="left"/>
        <w:rPr>
          <w:sz w:val="20"/>
        </w:rPr>
      </w:pPr>
      <w:bookmarkStart w:name="_bookmark201" w:id="203"/>
      <w:bookmarkEnd w:id="203"/>
      <w:r>
        <w:rPr/>
      </w:r>
      <w:hyperlink w:history="true" w:anchor="_bookmark96">
        <w:r>
          <w:rPr>
            <w:color w:val="005DA1"/>
            <w:spacing w:val="-5"/>
            <w:position w:val="5"/>
            <w:sz w:val="14"/>
            <w:u w:val="single" w:color="005DA1"/>
          </w:rPr>
          <w:t>87</w:t>
        </w:r>
      </w:hyperlink>
      <w:r>
        <w:rPr>
          <w:spacing w:val="-5"/>
          <w:position w:val="5"/>
          <w:sz w:val="14"/>
        </w:rPr>
        <w:t>.</w:t>
      </w:r>
      <w:r>
        <w:rPr>
          <w:position w:val="5"/>
          <w:sz w:val="14"/>
        </w:rPr>
        <w:tab/>
      </w:r>
      <w:r>
        <w:rPr>
          <w:rFonts w:ascii="Arial"/>
          <w:i/>
          <w:sz w:val="20"/>
        </w:rPr>
        <w:t>Moorgate Mercantile Co Ltd v Twitchings [1977] A.C. </w:t>
      </w:r>
      <w:r>
        <w:rPr>
          <w:rFonts w:ascii="Arial"/>
          <w:i/>
          <w:spacing w:val="-4"/>
          <w:sz w:val="20"/>
        </w:rPr>
        <w:t>890</w:t>
      </w:r>
      <w:r>
        <w:rPr>
          <w:spacing w:val="-4"/>
          <w:sz w:val="20"/>
        </w:rPr>
        <w:t>.</w:t>
      </w:r>
    </w:p>
    <w:p>
      <w:pPr>
        <w:pStyle w:val="BodyText"/>
        <w:spacing w:before="9"/>
      </w:pPr>
    </w:p>
    <w:p>
      <w:pPr>
        <w:spacing w:line="235" w:lineRule="auto" w:before="0"/>
        <w:ind w:left="705" w:right="167" w:hanging="541"/>
        <w:jc w:val="both"/>
        <w:rPr>
          <w:sz w:val="20"/>
        </w:rPr>
      </w:pPr>
      <w:bookmarkStart w:name="_bookmark202" w:id="204"/>
      <w:bookmarkEnd w:id="204"/>
      <w:r>
        <w:rPr/>
      </w:r>
      <w:hyperlink w:history="true" w:anchor="_bookmark97">
        <w:r>
          <w:rPr>
            <w:color w:val="005DA1"/>
            <w:position w:val="5"/>
            <w:sz w:val="14"/>
            <w:u w:val="single" w:color="005DA1"/>
          </w:rPr>
          <w:t>88</w:t>
        </w:r>
      </w:hyperlink>
      <w:r>
        <w:rPr>
          <w:position w:val="5"/>
          <w:sz w:val="14"/>
        </w:rPr>
        <w:t>.</w:t>
      </w:r>
      <w:r>
        <w:rPr>
          <w:spacing w:val="40"/>
          <w:position w:val="5"/>
          <w:sz w:val="14"/>
        </w:rPr>
        <w:t>  </w:t>
      </w:r>
      <w:r>
        <w:rPr>
          <w:sz w:val="20"/>
        </w:rPr>
        <w:t>See </w:t>
      </w:r>
      <w:r>
        <w:rPr>
          <w:rFonts w:ascii="Arial" w:hAnsi="Arial"/>
          <w:i/>
          <w:sz w:val="20"/>
        </w:rPr>
        <w:t>Keates v Cadogan (1851) 10 C.B. 591</w:t>
      </w:r>
      <w:r>
        <w:rPr>
          <w:sz w:val="20"/>
        </w:rPr>
        <w:t>; </w:t>
      </w:r>
      <w:r>
        <w:rPr>
          <w:rFonts w:ascii="Arial" w:hAnsi="Arial"/>
          <w:i/>
          <w:sz w:val="20"/>
        </w:rPr>
        <w:t>New Brunswick and Canada Ry and Land Co v Conybeare</w:t>
      </w:r>
      <w:r>
        <w:rPr>
          <w:rFonts w:ascii="Arial" w:hAnsi="Arial"/>
          <w:i/>
          <w:spacing w:val="-2"/>
          <w:sz w:val="20"/>
        </w:rPr>
        <w:t> </w:t>
      </w:r>
      <w:r>
        <w:rPr>
          <w:rFonts w:ascii="Arial" w:hAnsi="Arial"/>
          <w:i/>
          <w:sz w:val="20"/>
        </w:rPr>
        <w:t>(1862)</w:t>
      </w:r>
      <w:r>
        <w:rPr>
          <w:rFonts w:ascii="Arial" w:hAnsi="Arial"/>
          <w:i/>
          <w:spacing w:val="-2"/>
          <w:sz w:val="20"/>
        </w:rPr>
        <w:t> </w:t>
      </w:r>
      <w:r>
        <w:rPr>
          <w:rFonts w:ascii="Arial" w:hAnsi="Arial"/>
          <w:i/>
          <w:sz w:val="20"/>
        </w:rPr>
        <w:t>9</w:t>
      </w:r>
      <w:r>
        <w:rPr>
          <w:rFonts w:ascii="Arial" w:hAnsi="Arial"/>
          <w:i/>
          <w:spacing w:val="-2"/>
          <w:sz w:val="20"/>
        </w:rPr>
        <w:t> </w:t>
      </w:r>
      <w:r>
        <w:rPr>
          <w:rFonts w:ascii="Arial" w:hAnsi="Arial"/>
          <w:i/>
          <w:sz w:val="20"/>
        </w:rPr>
        <w:t>H.L.C.</w:t>
      </w:r>
      <w:r>
        <w:rPr>
          <w:rFonts w:ascii="Arial" w:hAnsi="Arial"/>
          <w:i/>
          <w:spacing w:val="-2"/>
          <w:sz w:val="20"/>
        </w:rPr>
        <w:t> </w:t>
      </w:r>
      <w:r>
        <w:rPr>
          <w:rFonts w:ascii="Arial" w:hAnsi="Arial"/>
          <w:i/>
          <w:sz w:val="20"/>
        </w:rPr>
        <w:t>711</w:t>
      </w:r>
      <w:r>
        <w:rPr>
          <w:sz w:val="20"/>
        </w:rPr>
        <w:t>;</w:t>
      </w:r>
      <w:r>
        <w:rPr>
          <w:spacing w:val="-2"/>
          <w:sz w:val="20"/>
        </w:rPr>
        <w:t> </w:t>
      </w:r>
      <w:r>
        <w:rPr>
          <w:rFonts w:ascii="Arial" w:hAnsi="Arial"/>
          <w:i/>
          <w:sz w:val="20"/>
        </w:rPr>
        <w:t>Smith</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Hughes</w:t>
      </w:r>
      <w:r>
        <w:rPr>
          <w:rFonts w:ascii="Arial" w:hAnsi="Arial"/>
          <w:i/>
          <w:spacing w:val="-2"/>
          <w:sz w:val="20"/>
        </w:rPr>
        <w:t> </w:t>
      </w:r>
      <w:r>
        <w:rPr>
          <w:rFonts w:ascii="Arial" w:hAnsi="Arial"/>
          <w:i/>
          <w:sz w:val="20"/>
        </w:rPr>
        <w:t>(1871)</w:t>
      </w:r>
      <w:r>
        <w:rPr>
          <w:rFonts w:ascii="Arial" w:hAnsi="Arial"/>
          <w:i/>
          <w:spacing w:val="-2"/>
          <w:sz w:val="20"/>
        </w:rPr>
        <w:t> </w:t>
      </w:r>
      <w:r>
        <w:rPr>
          <w:rFonts w:ascii="Arial" w:hAnsi="Arial"/>
          <w:i/>
          <w:sz w:val="20"/>
        </w:rPr>
        <w:t>L.R.</w:t>
      </w:r>
      <w:r>
        <w:rPr>
          <w:rFonts w:ascii="Arial" w:hAnsi="Arial"/>
          <w:i/>
          <w:spacing w:val="-2"/>
          <w:sz w:val="20"/>
        </w:rPr>
        <w:t> </w:t>
      </w:r>
      <w:r>
        <w:rPr>
          <w:rFonts w:ascii="Arial" w:hAnsi="Arial"/>
          <w:i/>
          <w:sz w:val="20"/>
        </w:rPr>
        <w:t>6</w:t>
      </w:r>
      <w:r>
        <w:rPr>
          <w:rFonts w:ascii="Arial" w:hAnsi="Arial"/>
          <w:i/>
          <w:spacing w:val="-2"/>
          <w:sz w:val="20"/>
        </w:rPr>
        <w:t> </w:t>
      </w:r>
      <w:r>
        <w:rPr>
          <w:rFonts w:ascii="Arial" w:hAnsi="Arial"/>
          <w:i/>
          <w:sz w:val="20"/>
        </w:rPr>
        <w:t>Q.B.</w:t>
      </w:r>
      <w:r>
        <w:rPr>
          <w:rFonts w:ascii="Arial" w:hAnsi="Arial"/>
          <w:i/>
          <w:spacing w:val="-2"/>
          <w:sz w:val="20"/>
        </w:rPr>
        <w:t> </w:t>
      </w:r>
      <w:r>
        <w:rPr>
          <w:rFonts w:ascii="Arial" w:hAnsi="Arial"/>
          <w:i/>
          <w:sz w:val="20"/>
        </w:rPr>
        <w:t>597</w:t>
      </w:r>
      <w:r>
        <w:rPr>
          <w:sz w:val="20"/>
        </w:rPr>
        <w:t>;</w:t>
      </w:r>
      <w:r>
        <w:rPr>
          <w:spacing w:val="-2"/>
          <w:sz w:val="20"/>
        </w:rPr>
        <w:t> </w:t>
      </w:r>
      <w:r>
        <w:rPr>
          <w:rFonts w:ascii="Arial" w:hAnsi="Arial"/>
          <w:i/>
          <w:sz w:val="20"/>
        </w:rPr>
        <w:t>Turner</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Green</w:t>
      </w:r>
      <w:r>
        <w:rPr>
          <w:rFonts w:ascii="Arial" w:hAnsi="Arial"/>
          <w:i/>
          <w:spacing w:val="-2"/>
          <w:sz w:val="20"/>
        </w:rPr>
        <w:t> </w:t>
      </w:r>
      <w:r>
        <w:rPr>
          <w:rFonts w:ascii="Arial" w:hAnsi="Arial"/>
          <w:i/>
          <w:sz w:val="20"/>
        </w:rPr>
        <w:t>[1895] 2 Ch. 205</w:t>
      </w:r>
      <w:r>
        <w:rPr>
          <w:sz w:val="20"/>
        </w:rPr>
        <w:t>; see also </w:t>
      </w:r>
      <w:r>
        <w:rPr>
          <w:rFonts w:ascii="Arial" w:hAnsi="Arial"/>
          <w:i/>
          <w:sz w:val="20"/>
        </w:rPr>
        <w:t>Jewson &amp; Son Ltd v Arcos Ltd (1933) 39 Com. Cas. 59</w:t>
      </w:r>
      <w:r>
        <w:rPr>
          <w:sz w:val="20"/>
        </w:rPr>
        <w:t>; </w:t>
      </w:r>
      <w:r>
        <w:rPr>
          <w:rFonts w:ascii="Arial" w:hAnsi="Arial"/>
          <w:i/>
          <w:sz w:val="20"/>
        </w:rPr>
        <w:t>Wales v Wadham [1977] 1 W.L.R. 199</w:t>
      </w:r>
      <w:r>
        <w:rPr>
          <w:sz w:val="20"/>
        </w:rPr>
        <w:t>. This sentence of the text was cited with approval in </w:t>
      </w:r>
      <w:r>
        <w:rPr>
          <w:rFonts w:ascii="Arial" w:hAnsi="Arial"/>
          <w:i/>
          <w:sz w:val="20"/>
        </w:rPr>
        <w:t>Donegal International Ltd v Zambia [2007] EWHC 197 (Comm), [2007] 1 Lloyd’s Rep. 397 </w:t>
      </w:r>
      <w:r>
        <w:rPr>
          <w:sz w:val="20"/>
        </w:rPr>
        <w:t>at [465].</w:t>
      </w:r>
    </w:p>
    <w:p>
      <w:pPr>
        <w:pStyle w:val="BodyText"/>
        <w:spacing w:before="4"/>
      </w:pPr>
    </w:p>
    <w:p>
      <w:pPr>
        <w:pStyle w:val="BodyText"/>
        <w:tabs>
          <w:tab w:pos="705" w:val="left" w:leader="none"/>
        </w:tabs>
        <w:ind w:left="165"/>
      </w:pPr>
      <w:bookmarkStart w:name="_bookmark203" w:id="205"/>
      <w:bookmarkEnd w:id="205"/>
      <w:r>
        <w:rPr/>
      </w:r>
      <w:hyperlink w:history="true" w:anchor="_bookmark98">
        <w:r>
          <w:rPr>
            <w:color w:val="005DA1"/>
            <w:spacing w:val="-5"/>
            <w:position w:val="5"/>
            <w:sz w:val="14"/>
            <w:u w:val="single" w:color="005DA1"/>
          </w:rPr>
          <w:t>89</w:t>
        </w:r>
      </w:hyperlink>
      <w:r>
        <w:rPr>
          <w:spacing w:val="-5"/>
          <w:position w:val="5"/>
          <w:sz w:val="14"/>
        </w:rPr>
        <w:t>.</w:t>
      </w:r>
      <w:r>
        <w:rPr>
          <w:position w:val="5"/>
          <w:sz w:val="14"/>
        </w:rPr>
        <w:tab/>
      </w:r>
      <w:r>
        <w:rPr/>
        <w:t>See</w:t>
      </w:r>
      <w:r>
        <w:rPr>
          <w:spacing w:val="-2"/>
        </w:rPr>
        <w:t> </w:t>
      </w:r>
      <w:r>
        <w:rPr/>
        <w:t>e.g. below, para.7-</w:t>
      </w:r>
      <w:r>
        <w:rPr>
          <w:spacing w:val="-4"/>
        </w:rPr>
        <w:t>169.</w:t>
      </w:r>
    </w:p>
    <w:p>
      <w:pPr>
        <w:pStyle w:val="BodyText"/>
        <w:spacing w:before="9"/>
      </w:pPr>
    </w:p>
    <w:p>
      <w:pPr>
        <w:pStyle w:val="BodyText"/>
        <w:tabs>
          <w:tab w:pos="705" w:val="left" w:leader="none"/>
        </w:tabs>
        <w:spacing w:line="235" w:lineRule="auto"/>
        <w:ind w:left="705" w:right="167" w:hanging="541"/>
      </w:pPr>
      <w:bookmarkStart w:name="_bookmark204" w:id="206"/>
      <w:bookmarkEnd w:id="206"/>
      <w:r>
        <w:rPr/>
      </w:r>
      <w:hyperlink w:history="true" w:anchor="_bookmark99">
        <w:r>
          <w:rPr>
            <w:color w:val="005DA1"/>
            <w:spacing w:val="-4"/>
            <w:position w:val="5"/>
            <w:sz w:val="14"/>
            <w:u w:val="single" w:color="005DA1"/>
          </w:rPr>
          <w:t>90</w:t>
        </w:r>
      </w:hyperlink>
      <w:r>
        <w:rPr>
          <w:spacing w:val="-4"/>
          <w:position w:val="5"/>
          <w:sz w:val="14"/>
        </w:rPr>
        <w:t>.</w:t>
      </w:r>
      <w:r>
        <w:rPr>
          <w:position w:val="5"/>
          <w:sz w:val="14"/>
        </w:rPr>
        <w:tab/>
      </w:r>
      <w:r>
        <w:rPr/>
        <w:t>See below, paras 7-155 et seq. Whether the label uberrimae fidei is useful is discussed </w:t>
      </w:r>
      <w:r>
        <w:rPr/>
        <w:t>below, </w:t>
      </w:r>
      <w:r>
        <w:rPr>
          <w:spacing w:val="-2"/>
        </w:rPr>
        <w:t>para.7-155.</w:t>
      </w:r>
    </w:p>
    <w:p>
      <w:pPr>
        <w:pStyle w:val="BodyText"/>
        <w:spacing w:before="5"/>
      </w:pPr>
    </w:p>
    <w:p>
      <w:pPr>
        <w:pStyle w:val="BodyText"/>
        <w:tabs>
          <w:tab w:pos="705" w:val="left" w:leader="none"/>
        </w:tabs>
        <w:ind w:left="165"/>
      </w:pPr>
      <w:bookmarkStart w:name="_bookmark205" w:id="207"/>
      <w:bookmarkEnd w:id="207"/>
      <w:r>
        <w:rPr/>
      </w:r>
      <w:hyperlink w:history="true" w:anchor="_bookmark99">
        <w:r>
          <w:rPr>
            <w:color w:val="005DA1"/>
            <w:spacing w:val="-5"/>
            <w:position w:val="5"/>
            <w:sz w:val="14"/>
            <w:u w:val="single" w:color="005DA1"/>
          </w:rPr>
          <w:t>91</w:t>
        </w:r>
      </w:hyperlink>
      <w:r>
        <w:rPr>
          <w:spacing w:val="-5"/>
          <w:position w:val="5"/>
          <w:sz w:val="14"/>
        </w:rPr>
        <w:t>.</w:t>
      </w:r>
      <w:r>
        <w:rPr>
          <w:position w:val="5"/>
          <w:sz w:val="14"/>
        </w:rPr>
        <w:tab/>
      </w:r>
      <w:r>
        <w:rPr/>
        <w:t>See below, paras 7-087—7-</w:t>
      </w:r>
      <w:r>
        <w:rPr>
          <w:spacing w:val="-4"/>
        </w:rPr>
        <w:t>088.</w:t>
      </w:r>
    </w:p>
    <w:p>
      <w:pPr>
        <w:pStyle w:val="BodyText"/>
        <w:spacing w:before="5"/>
      </w:pPr>
    </w:p>
    <w:p>
      <w:pPr>
        <w:pStyle w:val="BodyText"/>
        <w:tabs>
          <w:tab w:pos="705" w:val="left" w:leader="none"/>
        </w:tabs>
        <w:spacing w:before="1"/>
        <w:ind w:left="165"/>
      </w:pPr>
      <w:bookmarkStart w:name="_bookmark206" w:id="208"/>
      <w:bookmarkEnd w:id="208"/>
      <w:r>
        <w:rPr/>
      </w:r>
      <w:hyperlink w:history="true" w:anchor="_bookmark100">
        <w:r>
          <w:rPr>
            <w:color w:val="005DA1"/>
            <w:spacing w:val="-5"/>
            <w:position w:val="5"/>
            <w:sz w:val="14"/>
            <w:u w:val="single" w:color="005DA1"/>
          </w:rPr>
          <w:t>92</w:t>
        </w:r>
      </w:hyperlink>
      <w:r>
        <w:rPr>
          <w:spacing w:val="-5"/>
          <w:position w:val="5"/>
          <w:sz w:val="14"/>
        </w:rPr>
        <w:t>.</w:t>
      </w:r>
      <w:r>
        <w:rPr>
          <w:position w:val="5"/>
          <w:sz w:val="14"/>
        </w:rPr>
        <w:tab/>
      </w:r>
      <w:r>
        <w:rPr/>
        <w:t>See</w:t>
      </w:r>
      <w:r>
        <w:rPr>
          <w:spacing w:val="-2"/>
        </w:rPr>
        <w:t> </w:t>
      </w:r>
      <w:r>
        <w:rPr/>
        <w:t>below, para.7-</w:t>
      </w:r>
      <w:r>
        <w:rPr>
          <w:spacing w:val="-4"/>
        </w:rPr>
        <w:t>181.</w:t>
      </w:r>
    </w:p>
    <w:p>
      <w:pPr>
        <w:pStyle w:val="BodyText"/>
        <w:spacing w:before="8"/>
      </w:pPr>
    </w:p>
    <w:p>
      <w:pPr>
        <w:pStyle w:val="BodyText"/>
        <w:spacing w:line="235" w:lineRule="auto"/>
        <w:ind w:left="705" w:right="167" w:hanging="541"/>
        <w:jc w:val="both"/>
      </w:pPr>
      <w:bookmarkStart w:name="_bookmark207" w:id="209"/>
      <w:bookmarkEnd w:id="209"/>
      <w:r>
        <w:rPr/>
      </w:r>
      <w:hyperlink w:history="true" w:anchor="_bookmark101">
        <w:r>
          <w:rPr>
            <w:color w:val="005DA1"/>
            <w:position w:val="5"/>
            <w:sz w:val="14"/>
            <w:u w:val="single" w:color="005DA1"/>
          </w:rPr>
          <w:t>93</w:t>
        </w:r>
      </w:hyperlink>
      <w:r>
        <w:rPr>
          <w:position w:val="5"/>
          <w:sz w:val="14"/>
        </w:rPr>
        <w:t>.</w:t>
      </w:r>
      <w:r>
        <w:rPr>
          <w:spacing w:val="40"/>
          <w:position w:val="5"/>
          <w:sz w:val="14"/>
        </w:rPr>
        <w:t>  </w:t>
      </w:r>
      <w:r>
        <w:rPr/>
        <w:t>In</w:t>
      </w:r>
      <w:r>
        <w:rPr>
          <w:spacing w:val="40"/>
        </w:rPr>
        <w:t> </w:t>
      </w:r>
      <w:r>
        <w:rPr/>
        <w:t>certain</w:t>
      </w:r>
      <w:r>
        <w:rPr>
          <w:spacing w:val="40"/>
        </w:rPr>
        <w:t> </w:t>
      </w:r>
      <w:r>
        <w:rPr/>
        <w:t>circumstances</w:t>
      </w:r>
      <w:r>
        <w:rPr>
          <w:spacing w:val="40"/>
        </w:rPr>
        <w:t> </w:t>
      </w:r>
      <w:r>
        <w:rPr/>
        <w:t>failing</w:t>
      </w:r>
      <w:r>
        <w:rPr>
          <w:spacing w:val="40"/>
        </w:rPr>
        <w:t> </w:t>
      </w:r>
      <w:r>
        <w:rPr/>
        <w:t>to</w:t>
      </w:r>
      <w:r>
        <w:rPr>
          <w:spacing w:val="40"/>
        </w:rPr>
        <w:t> </w:t>
      </w:r>
      <w:r>
        <w:rPr/>
        <w:t>disclose</w:t>
      </w:r>
      <w:r>
        <w:rPr>
          <w:spacing w:val="40"/>
        </w:rPr>
        <w:t> </w:t>
      </w:r>
      <w:r>
        <w:rPr/>
        <w:t>information</w:t>
      </w:r>
      <w:r>
        <w:rPr>
          <w:spacing w:val="40"/>
        </w:rPr>
        <w:t> </w:t>
      </w:r>
      <w:r>
        <w:rPr/>
        <w:t>may</w:t>
      </w:r>
      <w:r>
        <w:rPr>
          <w:spacing w:val="40"/>
        </w:rPr>
        <w:t> </w:t>
      </w:r>
      <w:r>
        <w:rPr/>
        <w:t>be</w:t>
      </w:r>
      <w:r>
        <w:rPr>
          <w:spacing w:val="40"/>
        </w:rPr>
        <w:t> </w:t>
      </w:r>
      <w:r>
        <w:rPr/>
        <w:t>a</w:t>
      </w:r>
      <w:r>
        <w:rPr>
          <w:spacing w:val="40"/>
        </w:rPr>
        <w:t> </w:t>
      </w:r>
      <w:r>
        <w:rPr/>
        <w:t>criminal</w:t>
      </w:r>
      <w:r>
        <w:rPr>
          <w:spacing w:val="40"/>
        </w:rPr>
        <w:t> </w:t>
      </w:r>
      <w:r>
        <w:rPr/>
        <w:t>offence,</w:t>
      </w:r>
      <w:r>
        <w:rPr>
          <w:spacing w:val="40"/>
        </w:rPr>
        <w:t> </w:t>
      </w:r>
      <w:r>
        <w:rPr/>
        <w:t>e.g. Timeshare, Holiday Products, Resale and Exchange Contracts Regulations 2010 </w:t>
      </w:r>
      <w:r>
        <w:rPr/>
        <w:t>(SI 2010/2960) reg.12, replacing Timeshare Act 1992 s.1A (inserted by Timeshare Regulations 1997 (SI 1997/1081)).</w:t>
      </w:r>
    </w:p>
    <w:p>
      <w:pPr>
        <w:pStyle w:val="BodyText"/>
        <w:spacing w:before="5"/>
      </w:pPr>
    </w:p>
    <w:p>
      <w:pPr>
        <w:pStyle w:val="BodyText"/>
        <w:tabs>
          <w:tab w:pos="705" w:val="left" w:leader="none"/>
        </w:tabs>
        <w:ind w:left="165"/>
      </w:pPr>
      <w:bookmarkStart w:name="_bookmark208" w:id="210"/>
      <w:bookmarkEnd w:id="210"/>
      <w:r>
        <w:rPr/>
      </w:r>
      <w:hyperlink w:history="true" w:anchor="_bookmark102">
        <w:r>
          <w:rPr>
            <w:color w:val="005DA1"/>
            <w:spacing w:val="-5"/>
            <w:position w:val="5"/>
            <w:sz w:val="14"/>
            <w:u w:val="single" w:color="005DA1"/>
          </w:rPr>
          <w:t>94</w:t>
        </w:r>
      </w:hyperlink>
      <w:r>
        <w:rPr>
          <w:spacing w:val="-5"/>
          <w:position w:val="5"/>
          <w:sz w:val="14"/>
        </w:rPr>
        <w:t>.</w:t>
      </w:r>
      <w:r>
        <w:rPr>
          <w:position w:val="5"/>
          <w:sz w:val="14"/>
        </w:rPr>
        <w:tab/>
      </w:r>
      <w:r>
        <w:rPr/>
        <w:t>See below, paras 7-088 and 7-</w:t>
      </w:r>
      <w:r>
        <w:rPr>
          <w:spacing w:val="-4"/>
        </w:rPr>
        <w:t>157.</w:t>
      </w:r>
    </w:p>
    <w:p>
      <w:pPr>
        <w:pStyle w:val="BodyText"/>
        <w:spacing w:before="9"/>
      </w:pPr>
    </w:p>
    <w:p>
      <w:pPr>
        <w:spacing w:line="235" w:lineRule="auto" w:before="0"/>
        <w:ind w:left="705" w:right="167" w:hanging="541"/>
        <w:jc w:val="both"/>
        <w:rPr>
          <w:sz w:val="20"/>
        </w:rPr>
      </w:pPr>
      <w:bookmarkStart w:name="_bookmark209" w:id="211"/>
      <w:bookmarkEnd w:id="211"/>
      <w:r>
        <w:rPr/>
      </w:r>
      <w:hyperlink w:history="true" w:anchor="_bookmark103">
        <w:r>
          <w:rPr>
            <w:color w:val="005DA1"/>
            <w:position w:val="5"/>
            <w:sz w:val="14"/>
            <w:u w:val="single" w:color="005DA1"/>
          </w:rPr>
          <w:t>95</w:t>
        </w:r>
      </w:hyperlink>
      <w:r>
        <w:rPr>
          <w:position w:val="5"/>
          <w:sz w:val="14"/>
        </w:rPr>
        <w:t>.</w:t>
      </w:r>
      <w:r>
        <w:rPr>
          <w:spacing w:val="80"/>
          <w:position w:val="5"/>
          <w:sz w:val="14"/>
        </w:rPr>
        <w:t>  </w:t>
      </w:r>
      <w:r>
        <w:rPr>
          <w:sz w:val="20"/>
        </w:rPr>
        <w:t>See above, para.7-014. The representation in </w:t>
      </w:r>
      <w:r>
        <w:rPr>
          <w:rFonts w:ascii="Arial"/>
          <w:i/>
          <w:sz w:val="20"/>
        </w:rPr>
        <w:t>Spice Girls Ltd v Aprilia World Service BV, The Times, April 5, 2000 Ch D </w:t>
      </w:r>
      <w:r>
        <w:rPr>
          <w:sz w:val="20"/>
        </w:rPr>
        <w:t>(reversed in part on other grounds </w:t>
      </w:r>
      <w:r>
        <w:rPr>
          <w:rFonts w:ascii="Arial"/>
          <w:i/>
          <w:sz w:val="20"/>
        </w:rPr>
        <w:t>[2002] EWCA Civ 15</w:t>
      </w:r>
      <w:r>
        <w:rPr>
          <w:sz w:val="20"/>
        </w:rPr>
        <w:t>), referred to in that paragraph, may equally well be interpreted as one of representation by conduct. </w:t>
      </w:r>
      <w:r>
        <w:rPr>
          <w:sz w:val="20"/>
        </w:rPr>
        <w:t>There may also be a misrepresentation by conduct when a master agreement between the parties provides that each time one party enters a transaction under the agreement, it makes a representation</w:t>
      </w:r>
      <w:r>
        <w:rPr>
          <w:spacing w:val="-2"/>
          <w:sz w:val="20"/>
        </w:rPr>
        <w:t> </w:t>
      </w:r>
      <w:r>
        <w:rPr>
          <w:sz w:val="20"/>
        </w:rPr>
        <w:t>that</w:t>
      </w:r>
      <w:r>
        <w:rPr>
          <w:spacing w:val="-2"/>
          <w:sz w:val="20"/>
        </w:rPr>
        <w:t> </w:t>
      </w:r>
      <w:r>
        <w:rPr>
          <w:sz w:val="20"/>
        </w:rPr>
        <w:t>particular</w:t>
      </w:r>
      <w:r>
        <w:rPr>
          <w:spacing w:val="-2"/>
          <w:sz w:val="20"/>
        </w:rPr>
        <w:t> </w:t>
      </w:r>
      <w:r>
        <w:rPr>
          <w:sz w:val="20"/>
        </w:rPr>
        <w:t>facts</w:t>
      </w:r>
      <w:r>
        <w:rPr>
          <w:spacing w:val="-2"/>
          <w:sz w:val="20"/>
        </w:rPr>
        <w:t> </w:t>
      </w:r>
      <w:r>
        <w:rPr>
          <w:sz w:val="20"/>
        </w:rPr>
        <w:t>exist</w:t>
      </w:r>
      <w:r>
        <w:rPr>
          <w:spacing w:val="-2"/>
          <w:sz w:val="20"/>
        </w:rPr>
        <w:t> </w:t>
      </w:r>
      <w:r>
        <w:rPr>
          <w:sz w:val="20"/>
        </w:rPr>
        <w:t>or</w:t>
      </w:r>
      <w:r>
        <w:rPr>
          <w:spacing w:val="-2"/>
          <w:sz w:val="20"/>
        </w:rPr>
        <w:t> </w:t>
      </w:r>
      <w:r>
        <w:rPr>
          <w:sz w:val="20"/>
        </w:rPr>
        <w:t>have</w:t>
      </w:r>
      <w:r>
        <w:rPr>
          <w:spacing w:val="-2"/>
          <w:sz w:val="20"/>
        </w:rPr>
        <w:t> </w:t>
      </w:r>
      <w:r>
        <w:rPr>
          <w:sz w:val="20"/>
        </w:rPr>
        <w:t>not</w:t>
      </w:r>
      <w:r>
        <w:rPr>
          <w:spacing w:val="-2"/>
          <w:sz w:val="20"/>
        </w:rPr>
        <w:t> </w:t>
      </w:r>
      <w:r>
        <w:rPr>
          <w:sz w:val="20"/>
        </w:rPr>
        <w:t>occurred:</w:t>
      </w:r>
      <w:r>
        <w:rPr>
          <w:spacing w:val="-2"/>
          <w:sz w:val="20"/>
        </w:rPr>
        <w:t> </w:t>
      </w:r>
      <w:r>
        <w:rPr>
          <w:sz w:val="20"/>
        </w:rPr>
        <w:t>see</w:t>
      </w:r>
      <w:r>
        <w:rPr>
          <w:spacing w:val="-3"/>
          <w:sz w:val="20"/>
        </w:rPr>
        <w:t> </w:t>
      </w:r>
      <w:r>
        <w:rPr>
          <w:rFonts w:ascii="Arial"/>
          <w:i/>
          <w:sz w:val="20"/>
        </w:rPr>
        <w:t>TMT</w:t>
      </w:r>
      <w:r>
        <w:rPr>
          <w:rFonts w:ascii="Arial"/>
          <w:i/>
          <w:spacing w:val="-2"/>
          <w:sz w:val="20"/>
        </w:rPr>
        <w:t> </w:t>
      </w:r>
      <w:r>
        <w:rPr>
          <w:rFonts w:ascii="Arial"/>
          <w:i/>
          <w:sz w:val="20"/>
        </w:rPr>
        <w:t>Asia</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Marine</w:t>
      </w:r>
      <w:r>
        <w:rPr>
          <w:rFonts w:ascii="Arial"/>
          <w:i/>
          <w:spacing w:val="-2"/>
          <w:sz w:val="20"/>
        </w:rPr>
        <w:t> </w:t>
      </w:r>
      <w:r>
        <w:rPr>
          <w:rFonts w:ascii="Arial"/>
          <w:i/>
          <w:sz w:val="20"/>
        </w:rPr>
        <w:t>Trade SA [2011] EWHC 1327 (Comm)</w:t>
      </w:r>
      <w:r>
        <w:rPr>
          <w:sz w:val="20"/>
        </w:rPr>
        <w:t>.</w:t>
      </w:r>
    </w:p>
    <w:p>
      <w:pPr>
        <w:pStyle w:val="BodyText"/>
        <w:spacing w:before="7"/>
      </w:pPr>
    </w:p>
    <w:p>
      <w:pPr>
        <w:spacing w:line="235" w:lineRule="auto" w:before="0"/>
        <w:ind w:left="705" w:right="167" w:hanging="541"/>
        <w:jc w:val="both"/>
        <w:rPr>
          <w:sz w:val="20"/>
        </w:rPr>
      </w:pPr>
      <w:bookmarkStart w:name="_bookmark210" w:id="212"/>
      <w:bookmarkEnd w:id="212"/>
      <w:r>
        <w:rPr/>
      </w:r>
      <w:hyperlink w:history="true" w:anchor="_bookmark104">
        <w:r>
          <w:rPr>
            <w:color w:val="005DA1"/>
            <w:position w:val="5"/>
            <w:sz w:val="14"/>
            <w:u w:val="single" w:color="005DA1"/>
          </w:rPr>
          <w:t>96</w:t>
        </w:r>
      </w:hyperlink>
      <w:r>
        <w:rPr>
          <w:position w:val="5"/>
          <w:sz w:val="14"/>
        </w:rPr>
        <w:t>.</w:t>
      </w:r>
      <w:r>
        <w:rPr>
          <w:spacing w:val="80"/>
          <w:position w:val="5"/>
          <w:sz w:val="14"/>
        </w:rPr>
        <w:t>  </w:t>
      </w:r>
      <w:r>
        <w:rPr>
          <w:sz w:val="20"/>
        </w:rPr>
        <w:t>But it was necessary where the question was whether there is a representation in writing sufficient to satisfy the Statute of Frauds (Amendment) Act 1828 (Lord Tenterden’s Act) </w:t>
      </w:r>
      <w:r>
        <w:rPr>
          <w:sz w:val="20"/>
        </w:rPr>
        <w:t>(see below, para.7-046): </w:t>
      </w:r>
      <w:r>
        <w:rPr>
          <w:rFonts w:ascii="Arial" w:hAnsi="Arial"/>
          <w:i/>
          <w:sz w:val="20"/>
        </w:rPr>
        <w:t>Contex Drouzhba v Wiseman [2007] EWCA Civ 1201, [2007] All E.R. (D) 293 (Nov) </w:t>
      </w:r>
      <w:r>
        <w:rPr>
          <w:sz w:val="20"/>
        </w:rPr>
        <w:t>(representation implied by a written statement would suffice but representation by conduct would not).</w:t>
      </w:r>
    </w:p>
    <w:p>
      <w:pPr>
        <w:pStyle w:val="BodyText"/>
        <w:spacing w:before="4"/>
      </w:pPr>
    </w:p>
    <w:p>
      <w:pPr>
        <w:tabs>
          <w:tab w:pos="705" w:val="left" w:leader="none"/>
        </w:tabs>
        <w:spacing w:before="1"/>
        <w:ind w:left="165" w:right="0" w:firstLine="0"/>
        <w:jc w:val="left"/>
        <w:rPr>
          <w:sz w:val="20"/>
        </w:rPr>
      </w:pPr>
      <w:bookmarkStart w:name="_bookmark211" w:id="213"/>
      <w:bookmarkEnd w:id="213"/>
      <w:r>
        <w:rPr/>
      </w:r>
      <w:hyperlink w:history="true" w:anchor="_bookmark105">
        <w:r>
          <w:rPr>
            <w:color w:val="005DA1"/>
            <w:spacing w:val="-5"/>
            <w:position w:val="5"/>
            <w:sz w:val="14"/>
            <w:u w:val="single" w:color="005DA1"/>
          </w:rPr>
          <w:t>97</w:t>
        </w:r>
      </w:hyperlink>
      <w:r>
        <w:rPr>
          <w:spacing w:val="-5"/>
          <w:position w:val="5"/>
          <w:sz w:val="14"/>
        </w:rPr>
        <w:t>.</w:t>
      </w:r>
      <w:r>
        <w:rPr>
          <w:position w:val="5"/>
          <w:sz w:val="14"/>
        </w:rPr>
        <w:tab/>
      </w:r>
      <w:r>
        <w:rPr>
          <w:rFonts w:ascii="Arial"/>
          <w:i/>
          <w:sz w:val="20"/>
        </w:rPr>
        <w:t>R. v Barnard (1837) 7 C. &amp; P. </w:t>
      </w:r>
      <w:r>
        <w:rPr>
          <w:rFonts w:ascii="Arial"/>
          <w:i/>
          <w:spacing w:val="-4"/>
          <w:sz w:val="20"/>
        </w:rPr>
        <w:t>784</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212" w:id="214"/>
      <w:bookmarkEnd w:id="214"/>
      <w:r>
        <w:rPr/>
      </w:r>
      <w:hyperlink w:history="true" w:anchor="_bookmark106">
        <w:r>
          <w:rPr>
            <w:color w:val="005DA1"/>
            <w:spacing w:val="-5"/>
            <w:position w:val="5"/>
            <w:sz w:val="14"/>
            <w:u w:val="single" w:color="005DA1"/>
          </w:rPr>
          <w:t>98</w:t>
        </w:r>
      </w:hyperlink>
      <w:r>
        <w:rPr>
          <w:spacing w:val="-5"/>
          <w:position w:val="5"/>
          <w:sz w:val="14"/>
        </w:rPr>
        <w:t>.</w:t>
      </w:r>
      <w:r>
        <w:rPr>
          <w:position w:val="5"/>
          <w:sz w:val="14"/>
        </w:rPr>
        <w:tab/>
      </w:r>
      <w:r>
        <w:rPr>
          <w:rFonts w:ascii="Arial"/>
          <w:i/>
          <w:sz w:val="20"/>
        </w:rPr>
        <w:t>Ray v Sempers [1974] A.C. </w:t>
      </w:r>
      <w:r>
        <w:rPr>
          <w:rFonts w:ascii="Arial"/>
          <w:i/>
          <w:spacing w:val="-4"/>
          <w:sz w:val="20"/>
        </w:rPr>
        <w:t>370</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213" w:id="215"/>
      <w:bookmarkEnd w:id="215"/>
      <w:r>
        <w:rPr/>
      </w:r>
      <w:hyperlink w:history="true" w:anchor="_bookmark107">
        <w:r>
          <w:rPr>
            <w:color w:val="005DA1"/>
            <w:spacing w:val="-5"/>
            <w:position w:val="5"/>
            <w:sz w:val="14"/>
            <w:u w:val="single" w:color="005DA1"/>
          </w:rPr>
          <w:t>99</w:t>
        </w:r>
      </w:hyperlink>
      <w:r>
        <w:rPr>
          <w:spacing w:val="-5"/>
          <w:position w:val="5"/>
          <w:sz w:val="14"/>
        </w:rPr>
        <w:t>.</w:t>
      </w:r>
      <w:r>
        <w:rPr>
          <w:position w:val="5"/>
          <w:sz w:val="14"/>
        </w:rPr>
        <w:tab/>
      </w:r>
      <w:r>
        <w:rPr>
          <w:rFonts w:ascii="Arial" w:hAnsi="Arial"/>
          <w:i/>
          <w:sz w:val="20"/>
        </w:rPr>
        <w:t>Walters</w:t>
      </w:r>
      <w:r>
        <w:rPr>
          <w:rFonts w:ascii="Arial" w:hAnsi="Arial"/>
          <w:i/>
          <w:spacing w:val="-1"/>
          <w:sz w:val="20"/>
        </w:rPr>
        <w:t> </w:t>
      </w:r>
      <w:r>
        <w:rPr>
          <w:rFonts w:ascii="Arial" w:hAnsi="Arial"/>
          <w:i/>
          <w:sz w:val="20"/>
        </w:rPr>
        <w:t>v Morgan (1861) 3 De G.F. &amp; J. 718, 723</w:t>
      </w:r>
      <w:r>
        <w:rPr>
          <w:sz w:val="20"/>
        </w:rPr>
        <w:t>. See also</w:t>
      </w:r>
      <w:r>
        <w:rPr>
          <w:spacing w:val="-1"/>
          <w:sz w:val="20"/>
        </w:rPr>
        <w:t> </w:t>
      </w:r>
      <w:r>
        <w:rPr>
          <w:rFonts w:ascii="Arial" w:hAnsi="Arial"/>
          <w:i/>
          <w:sz w:val="20"/>
        </w:rPr>
        <w:t>Gill v M’Dowel [1903] 2 Ir.R. </w:t>
      </w:r>
      <w:r>
        <w:rPr>
          <w:rFonts w:ascii="Arial" w:hAnsi="Arial"/>
          <w:i/>
          <w:spacing w:val="-4"/>
          <w:sz w:val="20"/>
        </w:rPr>
        <w:t>463</w:t>
      </w:r>
      <w:r>
        <w:rPr>
          <w:spacing w:val="-4"/>
          <w:sz w:val="20"/>
        </w:rPr>
        <w:t>.</w:t>
      </w:r>
    </w:p>
    <w:p>
      <w:pPr>
        <w:spacing w:after="0"/>
        <w:jc w:val="left"/>
        <w:rPr>
          <w:sz w:val="20"/>
        </w:rPr>
        <w:sectPr>
          <w:type w:val="continuous"/>
          <w:pgSz w:w="11900" w:h="16840"/>
          <w:pgMar w:header="971" w:footer="0" w:top="1160" w:bottom="280" w:left="1275" w:right="1275"/>
        </w:sectPr>
      </w:pPr>
    </w:p>
    <w:p>
      <w:pPr>
        <w:pStyle w:val="BodyText"/>
        <w:spacing w:before="84"/>
      </w:pPr>
    </w:p>
    <w:p>
      <w:pPr>
        <w:tabs>
          <w:tab w:pos="705" w:val="left" w:leader="none"/>
        </w:tabs>
        <w:spacing w:line="235" w:lineRule="auto" w:before="1"/>
        <w:ind w:left="705" w:right="168" w:hanging="541"/>
        <w:jc w:val="left"/>
        <w:rPr>
          <w:sz w:val="20"/>
        </w:rPr>
      </w:pPr>
      <w:hyperlink w:history="true" w:anchor="_bookmark108">
        <w:r>
          <w:rPr>
            <w:color w:val="005DA1"/>
            <w:spacing w:val="-4"/>
            <w:position w:val="5"/>
            <w:sz w:val="14"/>
            <w:u w:val="single" w:color="005DA1"/>
          </w:rPr>
          <w:t>100</w:t>
        </w:r>
      </w:hyperlink>
      <w:r>
        <w:rPr>
          <w:spacing w:val="-4"/>
          <w:position w:val="5"/>
          <w:sz w:val="14"/>
        </w:rPr>
        <w:t>.</w:t>
      </w:r>
      <w:r>
        <w:rPr>
          <w:position w:val="5"/>
          <w:sz w:val="14"/>
        </w:rPr>
        <w:tab/>
      </w:r>
      <w:r>
        <w:rPr>
          <w:rFonts w:ascii="Arial"/>
          <w:i/>
          <w:sz w:val="20"/>
        </w:rPr>
        <w:t>Re Shackleton Ex p. Whittaker (1875) L.R. 10 Ch. App. 446</w:t>
      </w:r>
      <w:r>
        <w:rPr>
          <w:sz w:val="20"/>
        </w:rPr>
        <w:t>; </w:t>
      </w:r>
      <w:r>
        <w:rPr>
          <w:rFonts w:ascii="Arial"/>
          <w:i/>
          <w:sz w:val="20"/>
        </w:rPr>
        <w:t>Re Gerald Cooper Chemicals Ltd [1978] Ch. 262</w:t>
      </w:r>
      <w:r>
        <w:rPr>
          <w:sz w:val="20"/>
        </w:rPr>
        <w:t>; </w:t>
      </w:r>
      <w:r>
        <w:rPr>
          <w:rFonts w:ascii="Arial"/>
          <w:i/>
          <w:sz w:val="20"/>
        </w:rPr>
        <w:t>Ray v Sempers [1974] A.C. 370</w:t>
      </w:r>
      <w:r>
        <w:rPr>
          <w:sz w:val="20"/>
        </w:rPr>
        <w:t>.</w:t>
      </w:r>
    </w:p>
    <w:p>
      <w:pPr>
        <w:pStyle w:val="BodyText"/>
        <w:spacing w:before="5"/>
      </w:pPr>
    </w:p>
    <w:p>
      <w:pPr>
        <w:tabs>
          <w:tab w:pos="705" w:val="left" w:leader="none"/>
        </w:tabs>
        <w:spacing w:before="0"/>
        <w:ind w:left="165" w:right="0" w:firstLine="0"/>
        <w:jc w:val="left"/>
        <w:rPr>
          <w:sz w:val="20"/>
        </w:rPr>
      </w:pPr>
      <w:bookmarkStart w:name="_bookmark214" w:id="216"/>
      <w:bookmarkEnd w:id="216"/>
      <w:r>
        <w:rPr/>
      </w:r>
      <w:hyperlink w:history="true" w:anchor="_bookmark109">
        <w:r>
          <w:rPr>
            <w:color w:val="005DA1"/>
            <w:spacing w:val="-4"/>
            <w:position w:val="5"/>
            <w:sz w:val="14"/>
            <w:u w:val="single" w:color="005DA1"/>
          </w:rPr>
          <w:t>101</w:t>
        </w:r>
      </w:hyperlink>
      <w:r>
        <w:rPr>
          <w:spacing w:val="-4"/>
          <w:position w:val="5"/>
          <w:sz w:val="14"/>
        </w:rPr>
        <w:t>.</w:t>
      </w:r>
      <w:r>
        <w:rPr>
          <w:position w:val="5"/>
          <w:sz w:val="14"/>
        </w:rPr>
        <w:tab/>
      </w:r>
      <w:r>
        <w:rPr>
          <w:rFonts w:ascii="Arial"/>
          <w:i/>
          <w:sz w:val="20"/>
        </w:rPr>
        <w:t>Avon CC v Howlett [1981] I.R.L.R. </w:t>
      </w:r>
      <w:r>
        <w:rPr>
          <w:rFonts w:ascii="Arial"/>
          <w:i/>
          <w:spacing w:val="-4"/>
          <w:sz w:val="20"/>
        </w:rPr>
        <w:t>447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15" w:id="217"/>
      <w:bookmarkEnd w:id="217"/>
      <w:r>
        <w:rPr/>
      </w:r>
      <w:hyperlink w:history="true" w:anchor="_bookmark110">
        <w:r>
          <w:rPr>
            <w:color w:val="005DA1"/>
            <w:spacing w:val="-4"/>
            <w:position w:val="5"/>
            <w:sz w:val="14"/>
            <w:u w:val="single" w:color="005DA1"/>
          </w:rPr>
          <w:t>102</w:t>
        </w:r>
      </w:hyperlink>
      <w:r>
        <w:rPr>
          <w:spacing w:val="-4"/>
          <w:position w:val="5"/>
          <w:sz w:val="14"/>
        </w:rPr>
        <w:t>.</w:t>
      </w:r>
      <w:r>
        <w:rPr>
          <w:position w:val="5"/>
          <w:sz w:val="14"/>
        </w:rPr>
        <w:tab/>
      </w:r>
      <w:r>
        <w:rPr>
          <w:rFonts w:ascii="Arial"/>
          <w:i/>
          <w:sz w:val="20"/>
        </w:rPr>
        <w:t>R. v Williams [1980] Crim. L.R. </w:t>
      </w:r>
      <w:r>
        <w:rPr>
          <w:rFonts w:ascii="Arial"/>
          <w:i/>
          <w:spacing w:val="-4"/>
          <w:sz w:val="20"/>
        </w:rPr>
        <w:t>589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16" w:id="218"/>
      <w:bookmarkEnd w:id="218"/>
      <w:r>
        <w:rPr/>
      </w:r>
      <w:hyperlink w:history="true" w:anchor="_bookmark111">
        <w:r>
          <w:rPr>
            <w:color w:val="005DA1"/>
            <w:spacing w:val="-4"/>
            <w:position w:val="5"/>
            <w:sz w:val="14"/>
            <w:u w:val="single" w:color="005DA1"/>
          </w:rPr>
          <w:t>103</w:t>
        </w:r>
      </w:hyperlink>
      <w:r>
        <w:rPr>
          <w:spacing w:val="-4"/>
          <w:position w:val="5"/>
          <w:sz w:val="14"/>
        </w:rPr>
        <w:t>.</w:t>
      </w:r>
      <w:r>
        <w:rPr>
          <w:position w:val="5"/>
          <w:sz w:val="14"/>
        </w:rPr>
        <w:tab/>
      </w:r>
      <w:r>
        <w:rPr>
          <w:rFonts w:ascii="Arial"/>
          <w:i/>
          <w:sz w:val="20"/>
        </w:rPr>
        <w:t>[1977]</w:t>
      </w:r>
      <w:r>
        <w:rPr>
          <w:rFonts w:ascii="Arial"/>
          <w:i/>
          <w:spacing w:val="-2"/>
          <w:sz w:val="20"/>
        </w:rPr>
        <w:t> </w:t>
      </w:r>
      <w:r>
        <w:rPr>
          <w:rFonts w:ascii="Arial"/>
          <w:i/>
          <w:sz w:val="20"/>
        </w:rPr>
        <w:t>A.C. </w:t>
      </w:r>
      <w:r>
        <w:rPr>
          <w:rFonts w:ascii="Arial"/>
          <w:i/>
          <w:spacing w:val="-4"/>
          <w:sz w:val="20"/>
        </w:rPr>
        <w:t>177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17" w:id="219"/>
      <w:bookmarkEnd w:id="219"/>
      <w:r>
        <w:rPr/>
      </w:r>
      <w:hyperlink w:history="true" w:anchor="_bookmark112">
        <w:r>
          <w:rPr>
            <w:color w:val="005DA1"/>
            <w:spacing w:val="-4"/>
            <w:position w:val="5"/>
            <w:sz w:val="14"/>
            <w:u w:val="single" w:color="005DA1"/>
          </w:rPr>
          <w:t>104</w:t>
        </w:r>
      </w:hyperlink>
      <w:r>
        <w:rPr>
          <w:spacing w:val="-4"/>
          <w:position w:val="5"/>
          <w:sz w:val="14"/>
        </w:rPr>
        <w:t>.</w:t>
      </w:r>
      <w:r>
        <w:rPr>
          <w:position w:val="5"/>
          <w:sz w:val="14"/>
        </w:rPr>
        <w:tab/>
      </w:r>
      <w:r>
        <w:rPr>
          <w:rFonts w:ascii="Arial"/>
          <w:i/>
          <w:sz w:val="20"/>
        </w:rPr>
        <w:t>[1982]</w:t>
      </w:r>
      <w:r>
        <w:rPr>
          <w:rFonts w:ascii="Arial"/>
          <w:i/>
          <w:spacing w:val="-2"/>
          <w:sz w:val="20"/>
        </w:rPr>
        <w:t> </w:t>
      </w:r>
      <w:r>
        <w:rPr>
          <w:rFonts w:ascii="Arial"/>
          <w:i/>
          <w:sz w:val="20"/>
        </w:rPr>
        <w:t>A.C. </w:t>
      </w:r>
      <w:r>
        <w:rPr>
          <w:rFonts w:ascii="Arial"/>
          <w:i/>
          <w:spacing w:val="-4"/>
          <w:sz w:val="20"/>
        </w:rPr>
        <w:t>449</w:t>
      </w:r>
      <w:r>
        <w:rPr>
          <w:spacing w:val="-4"/>
          <w:sz w:val="20"/>
        </w:rPr>
        <w:t>.</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218" w:id="220"/>
      <w:bookmarkEnd w:id="220"/>
      <w:r>
        <w:rPr/>
      </w:r>
      <w:hyperlink w:history="true" w:anchor="_bookmark113">
        <w:r>
          <w:rPr>
            <w:color w:val="005DA1"/>
            <w:spacing w:val="-4"/>
            <w:position w:val="5"/>
            <w:sz w:val="14"/>
            <w:u w:val="single" w:color="005DA1"/>
          </w:rPr>
          <w:t>105</w:t>
        </w:r>
      </w:hyperlink>
      <w:r>
        <w:rPr>
          <w:spacing w:val="-4"/>
          <w:position w:val="5"/>
          <w:sz w:val="14"/>
        </w:rPr>
        <w:t>.</w:t>
      </w:r>
      <w:r>
        <w:rPr>
          <w:position w:val="5"/>
          <w:sz w:val="14"/>
        </w:rPr>
        <w:tab/>
      </w:r>
      <w:r>
        <w:rPr>
          <w:rFonts w:ascii="Arial"/>
          <w:i/>
          <w:sz w:val="20"/>
        </w:rPr>
        <w:t>Baglehole v Walters (1811) 3 Camp. 154</w:t>
      </w:r>
      <w:r>
        <w:rPr>
          <w:sz w:val="20"/>
        </w:rPr>
        <w:t>; </w:t>
      </w:r>
      <w:r>
        <w:rPr>
          <w:rFonts w:ascii="Arial"/>
          <w:i/>
          <w:sz w:val="20"/>
        </w:rPr>
        <w:t>Schneider v Heath (1813) 3 Camp. 506</w:t>
      </w:r>
      <w:r>
        <w:rPr>
          <w:sz w:val="20"/>
        </w:rPr>
        <w:t>. For a case under</w:t>
      </w:r>
      <w:r>
        <w:rPr>
          <w:spacing w:val="6"/>
          <w:sz w:val="20"/>
        </w:rPr>
        <w:t> </w:t>
      </w:r>
      <w:r>
        <w:rPr>
          <w:sz w:val="20"/>
        </w:rPr>
        <w:t>the</w:t>
      </w:r>
      <w:r>
        <w:rPr>
          <w:spacing w:val="6"/>
          <w:sz w:val="20"/>
        </w:rPr>
        <w:t> </w:t>
      </w:r>
      <w:r>
        <w:rPr>
          <w:sz w:val="20"/>
        </w:rPr>
        <w:t>Trade</w:t>
      </w:r>
      <w:r>
        <w:rPr>
          <w:spacing w:val="6"/>
          <w:sz w:val="20"/>
        </w:rPr>
        <w:t> </w:t>
      </w:r>
      <w:r>
        <w:rPr>
          <w:sz w:val="20"/>
        </w:rPr>
        <w:t>Descriptions</w:t>
      </w:r>
      <w:r>
        <w:rPr>
          <w:spacing w:val="6"/>
          <w:sz w:val="20"/>
        </w:rPr>
        <w:t> </w:t>
      </w:r>
      <w:r>
        <w:rPr>
          <w:sz w:val="20"/>
        </w:rPr>
        <w:t>Act</w:t>
      </w:r>
      <w:r>
        <w:rPr>
          <w:spacing w:val="6"/>
          <w:sz w:val="20"/>
        </w:rPr>
        <w:t> </w:t>
      </w:r>
      <w:r>
        <w:rPr>
          <w:sz w:val="20"/>
        </w:rPr>
        <w:t>1968,</w:t>
      </w:r>
      <w:r>
        <w:rPr>
          <w:spacing w:val="6"/>
          <w:sz w:val="20"/>
        </w:rPr>
        <w:t> </w:t>
      </w:r>
      <w:r>
        <w:rPr>
          <w:sz w:val="20"/>
        </w:rPr>
        <w:t>see</w:t>
      </w:r>
      <w:r>
        <w:rPr>
          <w:spacing w:val="5"/>
          <w:sz w:val="20"/>
        </w:rPr>
        <w:t> </w:t>
      </w:r>
      <w:r>
        <w:rPr>
          <w:rFonts w:ascii="Arial"/>
          <w:i/>
          <w:sz w:val="20"/>
        </w:rPr>
        <w:t>Cottee</w:t>
      </w:r>
      <w:r>
        <w:rPr>
          <w:rFonts w:ascii="Arial"/>
          <w:i/>
          <w:spacing w:val="6"/>
          <w:sz w:val="20"/>
        </w:rPr>
        <w:t> </w:t>
      </w:r>
      <w:r>
        <w:rPr>
          <w:rFonts w:ascii="Arial"/>
          <w:i/>
          <w:sz w:val="20"/>
        </w:rPr>
        <w:t>v</w:t>
      </w:r>
      <w:r>
        <w:rPr>
          <w:rFonts w:ascii="Arial"/>
          <w:i/>
          <w:spacing w:val="6"/>
          <w:sz w:val="20"/>
        </w:rPr>
        <w:t> </w:t>
      </w:r>
      <w:r>
        <w:rPr>
          <w:rFonts w:ascii="Arial"/>
          <w:i/>
          <w:sz w:val="20"/>
        </w:rPr>
        <w:t>Douglas</w:t>
      </w:r>
      <w:r>
        <w:rPr>
          <w:rFonts w:ascii="Arial"/>
          <w:i/>
          <w:spacing w:val="6"/>
          <w:sz w:val="20"/>
        </w:rPr>
        <w:t> </w:t>
      </w:r>
      <w:r>
        <w:rPr>
          <w:rFonts w:ascii="Arial"/>
          <w:i/>
          <w:sz w:val="20"/>
        </w:rPr>
        <w:t>Seaton</w:t>
      </w:r>
      <w:r>
        <w:rPr>
          <w:rFonts w:ascii="Arial"/>
          <w:i/>
          <w:spacing w:val="6"/>
          <w:sz w:val="20"/>
        </w:rPr>
        <w:t> </w:t>
      </w:r>
      <w:r>
        <w:rPr>
          <w:rFonts w:ascii="Arial"/>
          <w:i/>
          <w:sz w:val="20"/>
        </w:rPr>
        <w:t>(Used</w:t>
      </w:r>
      <w:r>
        <w:rPr>
          <w:rFonts w:ascii="Arial"/>
          <w:i/>
          <w:spacing w:val="6"/>
          <w:sz w:val="20"/>
        </w:rPr>
        <w:t> </w:t>
      </w:r>
      <w:r>
        <w:rPr>
          <w:rFonts w:ascii="Arial"/>
          <w:i/>
          <w:sz w:val="20"/>
        </w:rPr>
        <w:t>Cars)</w:t>
      </w:r>
      <w:r>
        <w:rPr>
          <w:rFonts w:ascii="Arial"/>
          <w:i/>
          <w:spacing w:val="6"/>
          <w:sz w:val="20"/>
        </w:rPr>
        <w:t> </w:t>
      </w:r>
      <w:r>
        <w:rPr>
          <w:rFonts w:ascii="Arial"/>
          <w:i/>
          <w:sz w:val="20"/>
        </w:rPr>
        <w:t>Ltd</w:t>
      </w:r>
      <w:r>
        <w:rPr>
          <w:rFonts w:ascii="Arial"/>
          <w:i/>
          <w:spacing w:val="6"/>
          <w:sz w:val="20"/>
        </w:rPr>
        <w:t> </w:t>
      </w:r>
      <w:r>
        <w:rPr>
          <w:rFonts w:ascii="Arial"/>
          <w:i/>
          <w:sz w:val="20"/>
        </w:rPr>
        <w:t>[1972]</w:t>
      </w:r>
      <w:r>
        <w:rPr>
          <w:rFonts w:ascii="Arial"/>
          <w:i/>
          <w:spacing w:val="6"/>
          <w:sz w:val="20"/>
        </w:rPr>
        <w:t> </w:t>
      </w:r>
      <w:r>
        <w:rPr>
          <w:rFonts w:ascii="Arial"/>
          <w:i/>
          <w:spacing w:val="-10"/>
          <w:sz w:val="20"/>
        </w:rPr>
        <w:t>1</w:t>
      </w:r>
    </w:p>
    <w:p>
      <w:pPr>
        <w:spacing w:line="235" w:lineRule="auto" w:before="0"/>
        <w:ind w:left="705" w:right="185" w:firstLine="0"/>
        <w:jc w:val="left"/>
        <w:rPr>
          <w:sz w:val="20"/>
        </w:rPr>
      </w:pPr>
      <w:r>
        <w:rPr>
          <w:rFonts w:ascii="Arial" w:hAnsi="Arial"/>
          <w:i/>
          <w:sz w:val="20"/>
        </w:rPr>
        <w:t>W.L.R. 1408</w:t>
      </w:r>
      <w:r>
        <w:rPr>
          <w:sz w:val="20"/>
        </w:rPr>
        <w:t>. In </w:t>
      </w:r>
      <w:r>
        <w:rPr>
          <w:rFonts w:ascii="Arial" w:hAnsi="Arial"/>
          <w:i/>
          <w:sz w:val="20"/>
        </w:rPr>
        <w:t>Taittinger v Allbev (1993) 12 Tr.L.R. 165</w:t>
      </w:r>
      <w:r>
        <w:rPr>
          <w:sz w:val="20"/>
        </w:rPr>
        <w:t>, a passing-off case, it was held </w:t>
      </w:r>
      <w:r>
        <w:rPr>
          <w:sz w:val="20"/>
        </w:rPr>
        <w:t>that</w:t>
      </w:r>
      <w:r>
        <w:rPr>
          <w:spacing w:val="80"/>
          <w:sz w:val="20"/>
        </w:rPr>
        <w:t> </w:t>
      </w:r>
      <w:r>
        <w:rPr>
          <w:sz w:val="20"/>
        </w:rPr>
        <w:t>the labelling and “get-up” of a bottle constituted a false representation.</w:t>
      </w:r>
    </w:p>
    <w:p>
      <w:pPr>
        <w:pStyle w:val="BodyText"/>
        <w:spacing w:before="8"/>
      </w:pPr>
    </w:p>
    <w:p>
      <w:pPr>
        <w:spacing w:line="235" w:lineRule="auto" w:before="1"/>
        <w:ind w:left="705" w:right="167" w:hanging="541"/>
        <w:jc w:val="both"/>
        <w:rPr>
          <w:sz w:val="20"/>
        </w:rPr>
      </w:pPr>
      <w:bookmarkStart w:name="_bookmark219" w:id="221"/>
      <w:bookmarkEnd w:id="221"/>
      <w:r>
        <w:rPr/>
      </w:r>
      <w:hyperlink w:history="true" w:anchor="_bookmark114">
        <w:r>
          <w:rPr>
            <w:color w:val="005DA1"/>
            <w:position w:val="5"/>
            <w:sz w:val="14"/>
            <w:u w:val="single" w:color="005DA1"/>
          </w:rPr>
          <w:t>106</w:t>
        </w:r>
      </w:hyperlink>
      <w:r>
        <w:rPr>
          <w:position w:val="5"/>
          <w:sz w:val="14"/>
        </w:rPr>
        <w:t>.</w:t>
      </w:r>
      <w:r>
        <w:rPr>
          <w:spacing w:val="80"/>
          <w:w w:val="150"/>
          <w:position w:val="5"/>
          <w:sz w:val="14"/>
        </w:rPr>
        <w:t> </w:t>
      </w:r>
      <w:r>
        <w:rPr>
          <w:rFonts w:ascii="Arial"/>
          <w:i/>
          <w:sz w:val="20"/>
        </w:rPr>
        <w:t>Horsfall v Thomas (1862) 1 H. &amp; C. 90</w:t>
      </w:r>
      <w:r>
        <w:rPr>
          <w:sz w:val="20"/>
        </w:rPr>
        <w:t>, but it was held in this case that as the buyer had not examined</w:t>
      </w:r>
      <w:r>
        <w:rPr>
          <w:spacing w:val="40"/>
          <w:sz w:val="20"/>
        </w:rPr>
        <w:t> </w:t>
      </w:r>
      <w:r>
        <w:rPr>
          <w:sz w:val="20"/>
        </w:rPr>
        <w:t>the</w:t>
      </w:r>
      <w:r>
        <w:rPr>
          <w:spacing w:val="40"/>
          <w:sz w:val="20"/>
        </w:rPr>
        <w:t> </w:t>
      </w:r>
      <w:r>
        <w:rPr>
          <w:sz w:val="20"/>
        </w:rPr>
        <w:t>gun</w:t>
      </w:r>
      <w:r>
        <w:rPr>
          <w:spacing w:val="40"/>
          <w:sz w:val="20"/>
        </w:rPr>
        <w:t> </w:t>
      </w:r>
      <w:r>
        <w:rPr>
          <w:sz w:val="20"/>
        </w:rPr>
        <w:t>he</w:t>
      </w:r>
      <w:r>
        <w:rPr>
          <w:spacing w:val="40"/>
          <w:sz w:val="20"/>
        </w:rPr>
        <w:t> </w:t>
      </w:r>
      <w:r>
        <w:rPr>
          <w:sz w:val="20"/>
        </w:rPr>
        <w:t>had</w:t>
      </w:r>
      <w:r>
        <w:rPr>
          <w:spacing w:val="40"/>
          <w:sz w:val="20"/>
        </w:rPr>
        <w:t> </w:t>
      </w:r>
      <w:r>
        <w:rPr>
          <w:sz w:val="20"/>
        </w:rPr>
        <w:t>not</w:t>
      </w:r>
      <w:r>
        <w:rPr>
          <w:spacing w:val="40"/>
          <w:sz w:val="20"/>
        </w:rPr>
        <w:t> </w:t>
      </w:r>
      <w:r>
        <w:rPr>
          <w:sz w:val="20"/>
        </w:rPr>
        <w:t>been</w:t>
      </w:r>
      <w:r>
        <w:rPr>
          <w:spacing w:val="40"/>
          <w:sz w:val="20"/>
        </w:rPr>
        <w:t> </w:t>
      </w:r>
      <w:r>
        <w:rPr>
          <w:sz w:val="20"/>
        </w:rPr>
        <w:t>influenced</w:t>
      </w:r>
      <w:r>
        <w:rPr>
          <w:spacing w:val="40"/>
          <w:sz w:val="20"/>
        </w:rPr>
        <w:t> </w:t>
      </w:r>
      <w:r>
        <w:rPr>
          <w:sz w:val="20"/>
        </w:rPr>
        <w:t>by</w:t>
      </w:r>
      <w:r>
        <w:rPr>
          <w:spacing w:val="40"/>
          <w:sz w:val="20"/>
        </w:rPr>
        <w:t> </w:t>
      </w:r>
      <w:r>
        <w:rPr>
          <w:sz w:val="20"/>
        </w:rPr>
        <w:t>the</w:t>
      </w:r>
      <w:r>
        <w:rPr>
          <w:spacing w:val="40"/>
          <w:sz w:val="20"/>
        </w:rPr>
        <w:t> </w:t>
      </w:r>
      <w:r>
        <w:rPr>
          <w:sz w:val="20"/>
        </w:rPr>
        <w:t>misrepresentation.</w:t>
      </w:r>
      <w:r>
        <w:rPr>
          <w:spacing w:val="40"/>
          <w:sz w:val="20"/>
        </w:rPr>
        <w:t> </w:t>
      </w:r>
      <w:r>
        <w:rPr>
          <w:sz w:val="20"/>
        </w:rPr>
        <w:t>See</w:t>
      </w:r>
      <w:r>
        <w:rPr>
          <w:spacing w:val="40"/>
          <w:sz w:val="20"/>
        </w:rPr>
        <w:t> </w:t>
      </w:r>
      <w:r>
        <w:rPr>
          <w:sz w:val="20"/>
        </w:rPr>
        <w:t>below, </w:t>
      </w:r>
      <w:r>
        <w:rPr>
          <w:spacing w:val="-2"/>
          <w:sz w:val="20"/>
        </w:rPr>
        <w:t>para.7-035.</w:t>
      </w:r>
    </w:p>
    <w:p>
      <w:pPr>
        <w:pStyle w:val="BodyText"/>
        <w:spacing w:before="5"/>
      </w:pPr>
    </w:p>
    <w:p>
      <w:pPr>
        <w:pStyle w:val="BodyText"/>
        <w:tabs>
          <w:tab w:pos="705" w:val="left" w:leader="none"/>
        </w:tabs>
        <w:ind w:left="165"/>
      </w:pPr>
      <w:bookmarkStart w:name="_bookmark220" w:id="222"/>
      <w:bookmarkEnd w:id="222"/>
      <w:r>
        <w:rPr/>
      </w:r>
      <w:hyperlink w:history="true" w:anchor="_bookmark115">
        <w:r>
          <w:rPr>
            <w:color w:val="005DA1"/>
            <w:spacing w:val="-4"/>
            <w:position w:val="5"/>
            <w:sz w:val="14"/>
            <w:u w:val="single" w:color="005DA1"/>
          </w:rPr>
          <w:t>107</w:t>
        </w:r>
      </w:hyperlink>
      <w:r>
        <w:rPr>
          <w:spacing w:val="-4"/>
          <w:position w:val="5"/>
          <w:sz w:val="14"/>
        </w:rPr>
        <w:t>.</w:t>
      </w:r>
      <w:r>
        <w:rPr>
          <w:position w:val="5"/>
          <w:sz w:val="14"/>
        </w:rPr>
        <w:tab/>
      </w:r>
      <w:r>
        <w:rPr/>
        <w:t>See Hudson (1969) 85 L.Q.R. </w:t>
      </w:r>
      <w:r>
        <w:rPr>
          <w:spacing w:val="-4"/>
        </w:rPr>
        <w:t>524.</w:t>
      </w:r>
    </w:p>
    <w:p>
      <w:pPr>
        <w:pStyle w:val="BodyText"/>
        <w:spacing w:before="5"/>
      </w:pPr>
    </w:p>
    <w:p>
      <w:pPr>
        <w:tabs>
          <w:tab w:pos="705" w:val="left" w:leader="none"/>
        </w:tabs>
        <w:spacing w:before="0"/>
        <w:ind w:left="165" w:right="0" w:firstLine="0"/>
        <w:jc w:val="left"/>
        <w:rPr>
          <w:sz w:val="20"/>
        </w:rPr>
      </w:pPr>
      <w:bookmarkStart w:name="_bookmark221" w:id="223"/>
      <w:bookmarkEnd w:id="223"/>
      <w:r>
        <w:rPr/>
      </w:r>
      <w:hyperlink w:history="true" w:anchor="_bookmark116">
        <w:r>
          <w:rPr>
            <w:color w:val="005DA1"/>
            <w:spacing w:val="-4"/>
            <w:position w:val="5"/>
            <w:sz w:val="14"/>
            <w:u w:val="single" w:color="005DA1"/>
          </w:rPr>
          <w:t>108</w:t>
        </w:r>
      </w:hyperlink>
      <w:r>
        <w:rPr>
          <w:spacing w:val="-4"/>
          <w:position w:val="5"/>
          <w:sz w:val="14"/>
        </w:rPr>
        <w:t>.</w:t>
      </w:r>
      <w:r>
        <w:rPr>
          <w:position w:val="5"/>
          <w:sz w:val="14"/>
        </w:rPr>
        <w:tab/>
      </w:r>
      <w:r>
        <w:rPr>
          <w:rFonts w:ascii="Arial" w:hAnsi="Arial"/>
          <w:i/>
          <w:sz w:val="20"/>
        </w:rPr>
        <w:t>[1962] 2 Lloyd’s Rep. </w:t>
      </w:r>
      <w:r>
        <w:rPr>
          <w:rFonts w:ascii="Arial" w:hAnsi="Arial"/>
          <w:i/>
          <w:spacing w:val="-4"/>
          <w:sz w:val="20"/>
        </w:rPr>
        <w:t>249</w:t>
      </w:r>
      <w:r>
        <w:rPr>
          <w:spacing w:val="-4"/>
          <w:sz w:val="20"/>
        </w:rPr>
        <w:t>.</w:t>
      </w:r>
    </w:p>
    <w:p>
      <w:pPr>
        <w:pStyle w:val="BodyText"/>
        <w:spacing w:before="5"/>
      </w:pPr>
    </w:p>
    <w:p>
      <w:pPr>
        <w:tabs>
          <w:tab w:pos="540" w:val="left" w:leader="none"/>
        </w:tabs>
        <w:spacing w:line="227" w:lineRule="exact" w:before="0"/>
        <w:ind w:left="0" w:right="168" w:firstLine="0"/>
        <w:jc w:val="right"/>
        <w:rPr>
          <w:rFonts w:ascii="Arial"/>
          <w:i/>
          <w:sz w:val="20"/>
        </w:rPr>
      </w:pPr>
      <w:bookmarkStart w:name="_bookmark222" w:id="224"/>
      <w:bookmarkEnd w:id="224"/>
      <w:r>
        <w:rPr/>
      </w:r>
      <w:hyperlink w:history="true" w:anchor="_bookmark117">
        <w:r>
          <w:rPr>
            <w:color w:val="005DA1"/>
            <w:spacing w:val="-4"/>
            <w:position w:val="5"/>
            <w:sz w:val="14"/>
            <w:u w:val="single" w:color="005DA1"/>
          </w:rPr>
          <w:t>109</w:t>
        </w:r>
      </w:hyperlink>
      <w:r>
        <w:rPr>
          <w:spacing w:val="-4"/>
          <w:position w:val="5"/>
          <w:sz w:val="14"/>
        </w:rPr>
        <w:t>.</w:t>
      </w:r>
      <w:r>
        <w:rPr>
          <w:position w:val="5"/>
          <w:sz w:val="14"/>
        </w:rPr>
        <w:tab/>
      </w:r>
      <w:r>
        <w:rPr>
          <w:rFonts w:ascii="Arial"/>
          <w:i/>
          <w:sz w:val="20"/>
        </w:rPr>
        <w:t>Oakes</w:t>
      </w:r>
      <w:r>
        <w:rPr>
          <w:rFonts w:ascii="Arial"/>
          <w:i/>
          <w:spacing w:val="-1"/>
          <w:sz w:val="20"/>
        </w:rPr>
        <w:t> </w:t>
      </w:r>
      <w:r>
        <w:rPr>
          <w:rFonts w:ascii="Arial"/>
          <w:i/>
          <w:sz w:val="20"/>
        </w:rPr>
        <w:t>v Turquand (1867) L.R. 2 H.L. 325</w:t>
      </w:r>
      <w:r>
        <w:rPr>
          <w:sz w:val="20"/>
        </w:rPr>
        <w:t>; </w:t>
      </w:r>
      <w:r>
        <w:rPr>
          <w:rFonts w:ascii="Arial"/>
          <w:i/>
          <w:sz w:val="20"/>
        </w:rPr>
        <w:t>Barwick v English Joint Stock Bank (1867) L.R. 2 </w:t>
      </w:r>
      <w:r>
        <w:rPr>
          <w:rFonts w:ascii="Arial"/>
          <w:i/>
          <w:spacing w:val="-5"/>
          <w:sz w:val="20"/>
        </w:rPr>
        <w:t>Ex.</w:t>
      </w:r>
    </w:p>
    <w:p>
      <w:pPr>
        <w:spacing w:line="225" w:lineRule="exact" w:before="0"/>
        <w:ind w:left="0" w:right="168" w:firstLine="0"/>
        <w:jc w:val="right"/>
        <w:rPr>
          <w:rFonts w:ascii="Arial"/>
          <w:i/>
          <w:sz w:val="20"/>
        </w:rPr>
      </w:pPr>
      <w:r>
        <w:rPr>
          <w:rFonts w:ascii="Arial"/>
          <w:i/>
          <w:sz w:val="20"/>
        </w:rPr>
        <w:t>259</w:t>
      </w:r>
      <w:r>
        <w:rPr>
          <w:sz w:val="20"/>
        </w:rPr>
        <w:t>;</w:t>
      </w:r>
      <w:r>
        <w:rPr>
          <w:spacing w:val="15"/>
          <w:sz w:val="20"/>
        </w:rPr>
        <w:t> </w:t>
      </w:r>
      <w:r>
        <w:rPr>
          <w:rFonts w:ascii="Arial"/>
          <w:i/>
          <w:sz w:val="20"/>
        </w:rPr>
        <w:t>Peek</w:t>
      </w:r>
      <w:r>
        <w:rPr>
          <w:rFonts w:ascii="Arial"/>
          <w:i/>
          <w:spacing w:val="18"/>
          <w:sz w:val="20"/>
        </w:rPr>
        <w:t> </w:t>
      </w:r>
      <w:r>
        <w:rPr>
          <w:rFonts w:ascii="Arial"/>
          <w:i/>
          <w:sz w:val="20"/>
        </w:rPr>
        <w:t>v</w:t>
      </w:r>
      <w:r>
        <w:rPr>
          <w:rFonts w:ascii="Arial"/>
          <w:i/>
          <w:spacing w:val="18"/>
          <w:sz w:val="20"/>
        </w:rPr>
        <w:t> </w:t>
      </w:r>
      <w:r>
        <w:rPr>
          <w:rFonts w:ascii="Arial"/>
          <w:i/>
          <w:sz w:val="20"/>
        </w:rPr>
        <w:t>Gurney</w:t>
      </w:r>
      <w:r>
        <w:rPr>
          <w:rFonts w:ascii="Arial"/>
          <w:i/>
          <w:spacing w:val="18"/>
          <w:sz w:val="20"/>
        </w:rPr>
        <w:t> </w:t>
      </w:r>
      <w:r>
        <w:rPr>
          <w:rFonts w:ascii="Arial"/>
          <w:i/>
          <w:sz w:val="20"/>
        </w:rPr>
        <w:t>(1873)</w:t>
      </w:r>
      <w:r>
        <w:rPr>
          <w:rFonts w:ascii="Arial"/>
          <w:i/>
          <w:spacing w:val="18"/>
          <w:sz w:val="20"/>
        </w:rPr>
        <w:t> </w:t>
      </w:r>
      <w:r>
        <w:rPr>
          <w:rFonts w:ascii="Arial"/>
          <w:i/>
          <w:sz w:val="20"/>
        </w:rPr>
        <w:t>L.R.</w:t>
      </w:r>
      <w:r>
        <w:rPr>
          <w:rFonts w:ascii="Arial"/>
          <w:i/>
          <w:spacing w:val="18"/>
          <w:sz w:val="20"/>
        </w:rPr>
        <w:t> </w:t>
      </w:r>
      <w:r>
        <w:rPr>
          <w:rFonts w:ascii="Arial"/>
          <w:i/>
          <w:sz w:val="20"/>
        </w:rPr>
        <w:t>6</w:t>
      </w:r>
      <w:r>
        <w:rPr>
          <w:rFonts w:ascii="Arial"/>
          <w:i/>
          <w:spacing w:val="18"/>
          <w:sz w:val="20"/>
        </w:rPr>
        <w:t> </w:t>
      </w:r>
      <w:r>
        <w:rPr>
          <w:rFonts w:ascii="Arial"/>
          <w:i/>
          <w:sz w:val="20"/>
        </w:rPr>
        <w:t>H.L.</w:t>
      </w:r>
      <w:r>
        <w:rPr>
          <w:rFonts w:ascii="Arial"/>
          <w:i/>
          <w:spacing w:val="18"/>
          <w:sz w:val="20"/>
        </w:rPr>
        <w:t> </w:t>
      </w:r>
      <w:r>
        <w:rPr>
          <w:rFonts w:ascii="Arial"/>
          <w:i/>
          <w:sz w:val="20"/>
        </w:rPr>
        <w:t>377,</w:t>
      </w:r>
      <w:r>
        <w:rPr>
          <w:rFonts w:ascii="Arial"/>
          <w:i/>
          <w:spacing w:val="17"/>
          <w:sz w:val="20"/>
        </w:rPr>
        <w:t> </w:t>
      </w:r>
      <w:r>
        <w:rPr>
          <w:rFonts w:ascii="Arial"/>
          <w:i/>
          <w:sz w:val="20"/>
        </w:rPr>
        <w:t>403</w:t>
      </w:r>
      <w:r>
        <w:rPr>
          <w:sz w:val="20"/>
        </w:rPr>
        <w:t>;</w:t>
      </w:r>
      <w:r>
        <w:rPr>
          <w:spacing w:val="18"/>
          <w:sz w:val="20"/>
        </w:rPr>
        <w:t> </w:t>
      </w:r>
      <w:r>
        <w:rPr>
          <w:rFonts w:ascii="Arial"/>
          <w:i/>
          <w:sz w:val="20"/>
        </w:rPr>
        <w:t>Arkwright</w:t>
      </w:r>
      <w:r>
        <w:rPr>
          <w:rFonts w:ascii="Arial"/>
          <w:i/>
          <w:spacing w:val="18"/>
          <w:sz w:val="20"/>
        </w:rPr>
        <w:t> </w:t>
      </w:r>
      <w:r>
        <w:rPr>
          <w:rFonts w:ascii="Arial"/>
          <w:i/>
          <w:sz w:val="20"/>
        </w:rPr>
        <w:t>v</w:t>
      </w:r>
      <w:r>
        <w:rPr>
          <w:rFonts w:ascii="Arial"/>
          <w:i/>
          <w:spacing w:val="18"/>
          <w:sz w:val="20"/>
        </w:rPr>
        <w:t> </w:t>
      </w:r>
      <w:r>
        <w:rPr>
          <w:rFonts w:ascii="Arial"/>
          <w:i/>
          <w:sz w:val="20"/>
        </w:rPr>
        <w:t>Newbold</w:t>
      </w:r>
      <w:r>
        <w:rPr>
          <w:rFonts w:ascii="Arial"/>
          <w:i/>
          <w:spacing w:val="18"/>
          <w:sz w:val="20"/>
        </w:rPr>
        <w:t> </w:t>
      </w:r>
      <w:r>
        <w:rPr>
          <w:rFonts w:ascii="Arial"/>
          <w:i/>
          <w:sz w:val="20"/>
        </w:rPr>
        <w:t>(1881)</w:t>
      </w:r>
      <w:r>
        <w:rPr>
          <w:rFonts w:ascii="Arial"/>
          <w:i/>
          <w:spacing w:val="18"/>
          <w:sz w:val="20"/>
        </w:rPr>
        <w:t> </w:t>
      </w:r>
      <w:r>
        <w:rPr>
          <w:rFonts w:ascii="Arial"/>
          <w:i/>
          <w:sz w:val="20"/>
        </w:rPr>
        <w:t>17</w:t>
      </w:r>
      <w:r>
        <w:rPr>
          <w:rFonts w:ascii="Arial"/>
          <w:i/>
          <w:spacing w:val="18"/>
          <w:sz w:val="20"/>
        </w:rPr>
        <w:t> </w:t>
      </w:r>
      <w:r>
        <w:rPr>
          <w:rFonts w:ascii="Arial"/>
          <w:i/>
          <w:sz w:val="20"/>
        </w:rPr>
        <w:t>Ch.</w:t>
      </w:r>
      <w:r>
        <w:rPr>
          <w:rFonts w:ascii="Arial"/>
          <w:i/>
          <w:spacing w:val="18"/>
          <w:sz w:val="20"/>
        </w:rPr>
        <w:t> </w:t>
      </w:r>
      <w:r>
        <w:rPr>
          <w:rFonts w:ascii="Arial"/>
          <w:i/>
          <w:sz w:val="20"/>
        </w:rPr>
        <w:t>D.</w:t>
      </w:r>
      <w:r>
        <w:rPr>
          <w:rFonts w:ascii="Arial"/>
          <w:i/>
          <w:spacing w:val="18"/>
          <w:sz w:val="20"/>
        </w:rPr>
        <w:t> </w:t>
      </w:r>
      <w:r>
        <w:rPr>
          <w:rFonts w:ascii="Arial"/>
          <w:i/>
          <w:spacing w:val="-4"/>
          <w:sz w:val="20"/>
        </w:rPr>
        <w:t>301,</w:t>
      </w:r>
    </w:p>
    <w:p>
      <w:pPr>
        <w:spacing w:line="225" w:lineRule="exact" w:before="0"/>
        <w:ind w:left="0" w:right="168" w:firstLine="0"/>
        <w:jc w:val="right"/>
        <w:rPr>
          <w:sz w:val="20"/>
        </w:rPr>
      </w:pPr>
      <w:r>
        <w:rPr>
          <w:rFonts w:ascii="Arial"/>
          <w:i/>
          <w:sz w:val="20"/>
        </w:rPr>
        <w:t>318</w:t>
      </w:r>
      <w:r>
        <w:rPr>
          <w:sz w:val="20"/>
        </w:rPr>
        <w:t>;</w:t>
      </w:r>
      <w:r>
        <w:rPr>
          <w:spacing w:val="11"/>
          <w:sz w:val="20"/>
        </w:rPr>
        <w:t> </w:t>
      </w:r>
      <w:r>
        <w:rPr>
          <w:rFonts w:ascii="Arial"/>
          <w:i/>
          <w:sz w:val="20"/>
        </w:rPr>
        <w:t>R.</w:t>
      </w:r>
      <w:r>
        <w:rPr>
          <w:rFonts w:ascii="Arial"/>
          <w:i/>
          <w:spacing w:val="12"/>
          <w:sz w:val="20"/>
        </w:rPr>
        <w:t> </w:t>
      </w:r>
      <w:r>
        <w:rPr>
          <w:rFonts w:ascii="Arial"/>
          <w:i/>
          <w:sz w:val="20"/>
        </w:rPr>
        <w:t>v</w:t>
      </w:r>
      <w:r>
        <w:rPr>
          <w:rFonts w:ascii="Arial"/>
          <w:i/>
          <w:spacing w:val="12"/>
          <w:sz w:val="20"/>
        </w:rPr>
        <w:t> </w:t>
      </w:r>
      <w:r>
        <w:rPr>
          <w:rFonts w:ascii="Arial"/>
          <w:i/>
          <w:sz w:val="20"/>
        </w:rPr>
        <w:t>Kylsant</w:t>
      </w:r>
      <w:r>
        <w:rPr>
          <w:rFonts w:ascii="Arial"/>
          <w:i/>
          <w:spacing w:val="12"/>
          <w:sz w:val="20"/>
        </w:rPr>
        <w:t> </w:t>
      </w:r>
      <w:r>
        <w:rPr>
          <w:rFonts w:ascii="Arial"/>
          <w:i/>
          <w:sz w:val="20"/>
        </w:rPr>
        <w:t>[1932]</w:t>
      </w:r>
      <w:r>
        <w:rPr>
          <w:rFonts w:ascii="Arial"/>
          <w:i/>
          <w:spacing w:val="12"/>
          <w:sz w:val="20"/>
        </w:rPr>
        <w:t> </w:t>
      </w:r>
      <w:r>
        <w:rPr>
          <w:rFonts w:ascii="Arial"/>
          <w:i/>
          <w:sz w:val="20"/>
        </w:rPr>
        <w:t>1</w:t>
      </w:r>
      <w:r>
        <w:rPr>
          <w:rFonts w:ascii="Arial"/>
          <w:i/>
          <w:spacing w:val="12"/>
          <w:sz w:val="20"/>
        </w:rPr>
        <w:t> </w:t>
      </w:r>
      <w:r>
        <w:rPr>
          <w:rFonts w:ascii="Arial"/>
          <w:i/>
          <w:sz w:val="20"/>
        </w:rPr>
        <w:t>K.B.</w:t>
      </w:r>
      <w:r>
        <w:rPr>
          <w:rFonts w:ascii="Arial"/>
          <w:i/>
          <w:spacing w:val="12"/>
          <w:sz w:val="20"/>
        </w:rPr>
        <w:t> </w:t>
      </w:r>
      <w:r>
        <w:rPr>
          <w:rFonts w:ascii="Arial"/>
          <w:i/>
          <w:sz w:val="20"/>
        </w:rPr>
        <w:t>442</w:t>
      </w:r>
      <w:r>
        <w:rPr>
          <w:sz w:val="20"/>
        </w:rPr>
        <w:t>;</w:t>
      </w:r>
      <w:r>
        <w:rPr>
          <w:spacing w:val="12"/>
          <w:sz w:val="20"/>
        </w:rPr>
        <w:t> </w:t>
      </w:r>
      <w:r>
        <w:rPr>
          <w:rFonts w:ascii="Arial"/>
          <w:i/>
          <w:sz w:val="20"/>
        </w:rPr>
        <w:t>Jewson</w:t>
      </w:r>
      <w:r>
        <w:rPr>
          <w:rFonts w:ascii="Arial"/>
          <w:i/>
          <w:spacing w:val="12"/>
          <w:sz w:val="20"/>
        </w:rPr>
        <w:t> </w:t>
      </w:r>
      <w:r>
        <w:rPr>
          <w:rFonts w:ascii="Arial"/>
          <w:i/>
          <w:sz w:val="20"/>
        </w:rPr>
        <w:t>&amp;</w:t>
      </w:r>
      <w:r>
        <w:rPr>
          <w:rFonts w:ascii="Arial"/>
          <w:i/>
          <w:spacing w:val="11"/>
          <w:sz w:val="20"/>
        </w:rPr>
        <w:t> </w:t>
      </w:r>
      <w:r>
        <w:rPr>
          <w:rFonts w:ascii="Arial"/>
          <w:i/>
          <w:sz w:val="20"/>
        </w:rPr>
        <w:t>Sons</w:t>
      </w:r>
      <w:r>
        <w:rPr>
          <w:rFonts w:ascii="Arial"/>
          <w:i/>
          <w:spacing w:val="12"/>
          <w:sz w:val="20"/>
        </w:rPr>
        <w:t> </w:t>
      </w:r>
      <w:r>
        <w:rPr>
          <w:rFonts w:ascii="Arial"/>
          <w:i/>
          <w:sz w:val="20"/>
        </w:rPr>
        <w:t>Ltd</w:t>
      </w:r>
      <w:r>
        <w:rPr>
          <w:rFonts w:ascii="Arial"/>
          <w:i/>
          <w:spacing w:val="12"/>
          <w:sz w:val="20"/>
        </w:rPr>
        <w:t> </w:t>
      </w:r>
      <w:r>
        <w:rPr>
          <w:rFonts w:ascii="Arial"/>
          <w:i/>
          <w:sz w:val="20"/>
        </w:rPr>
        <w:t>v</w:t>
      </w:r>
      <w:r>
        <w:rPr>
          <w:rFonts w:ascii="Arial"/>
          <w:i/>
          <w:spacing w:val="12"/>
          <w:sz w:val="20"/>
        </w:rPr>
        <w:t> </w:t>
      </w:r>
      <w:r>
        <w:rPr>
          <w:rFonts w:ascii="Arial"/>
          <w:i/>
          <w:sz w:val="20"/>
        </w:rPr>
        <w:t>Arcos</w:t>
      </w:r>
      <w:r>
        <w:rPr>
          <w:rFonts w:ascii="Arial"/>
          <w:i/>
          <w:spacing w:val="12"/>
          <w:sz w:val="20"/>
        </w:rPr>
        <w:t> </w:t>
      </w:r>
      <w:r>
        <w:rPr>
          <w:rFonts w:ascii="Arial"/>
          <w:i/>
          <w:sz w:val="20"/>
        </w:rPr>
        <w:t>Ltd</w:t>
      </w:r>
      <w:r>
        <w:rPr>
          <w:rFonts w:ascii="Arial"/>
          <w:i/>
          <w:spacing w:val="12"/>
          <w:sz w:val="20"/>
        </w:rPr>
        <w:t> </w:t>
      </w:r>
      <w:r>
        <w:rPr>
          <w:rFonts w:ascii="Arial"/>
          <w:i/>
          <w:sz w:val="20"/>
        </w:rPr>
        <w:t>(1933)</w:t>
      </w:r>
      <w:r>
        <w:rPr>
          <w:rFonts w:ascii="Arial"/>
          <w:i/>
          <w:spacing w:val="12"/>
          <w:sz w:val="20"/>
        </w:rPr>
        <w:t> </w:t>
      </w:r>
      <w:r>
        <w:rPr>
          <w:rFonts w:ascii="Arial"/>
          <w:i/>
          <w:sz w:val="20"/>
        </w:rPr>
        <w:t>39</w:t>
      </w:r>
      <w:r>
        <w:rPr>
          <w:rFonts w:ascii="Arial"/>
          <w:i/>
          <w:spacing w:val="12"/>
          <w:sz w:val="20"/>
        </w:rPr>
        <w:t> </w:t>
      </w:r>
      <w:r>
        <w:rPr>
          <w:rFonts w:ascii="Arial"/>
          <w:i/>
          <w:sz w:val="20"/>
        </w:rPr>
        <w:t>Com.</w:t>
      </w:r>
      <w:r>
        <w:rPr>
          <w:rFonts w:ascii="Arial"/>
          <w:i/>
          <w:spacing w:val="12"/>
          <w:sz w:val="20"/>
        </w:rPr>
        <w:t> </w:t>
      </w:r>
      <w:r>
        <w:rPr>
          <w:rFonts w:ascii="Arial"/>
          <w:i/>
          <w:sz w:val="20"/>
        </w:rPr>
        <w:t>Cas.</w:t>
      </w:r>
      <w:r>
        <w:rPr>
          <w:rFonts w:ascii="Arial"/>
          <w:i/>
          <w:spacing w:val="12"/>
          <w:sz w:val="20"/>
        </w:rPr>
        <w:t> </w:t>
      </w:r>
      <w:r>
        <w:rPr>
          <w:rFonts w:ascii="Arial"/>
          <w:i/>
          <w:spacing w:val="-5"/>
          <w:sz w:val="20"/>
        </w:rPr>
        <w:t>59</w:t>
      </w:r>
      <w:r>
        <w:rPr>
          <w:spacing w:val="-5"/>
          <w:sz w:val="20"/>
        </w:rPr>
        <w:t>;</w:t>
      </w:r>
    </w:p>
    <w:p>
      <w:pPr>
        <w:spacing w:line="227" w:lineRule="exact" w:before="0"/>
        <w:ind w:left="705" w:right="0" w:firstLine="0"/>
        <w:jc w:val="left"/>
        <w:rPr>
          <w:sz w:val="20"/>
        </w:rPr>
      </w:pPr>
      <w:r>
        <w:rPr>
          <w:rFonts w:ascii="Arial"/>
          <w:i/>
          <w:sz w:val="20"/>
        </w:rPr>
        <w:t>R. v Bishirgian [1936] 1 All E.R. </w:t>
      </w:r>
      <w:r>
        <w:rPr>
          <w:rFonts w:ascii="Arial"/>
          <w:i/>
          <w:spacing w:val="-4"/>
          <w:sz w:val="20"/>
        </w:rPr>
        <w:t>586</w:t>
      </w:r>
      <w:r>
        <w:rPr>
          <w:spacing w:val="-4"/>
          <w:sz w:val="20"/>
        </w:rPr>
        <w:t>.</w:t>
      </w:r>
    </w:p>
    <w:p>
      <w:pPr>
        <w:pStyle w:val="BodyText"/>
        <w:spacing w:before="8"/>
      </w:pPr>
    </w:p>
    <w:p>
      <w:pPr>
        <w:spacing w:line="235" w:lineRule="auto" w:before="1"/>
        <w:ind w:left="705" w:right="167" w:hanging="541"/>
        <w:jc w:val="both"/>
        <w:rPr>
          <w:sz w:val="20"/>
        </w:rPr>
      </w:pPr>
      <w:bookmarkStart w:name="_bookmark223" w:id="225"/>
      <w:bookmarkEnd w:id="225"/>
      <w:r>
        <w:rPr/>
      </w:r>
      <w:hyperlink w:history="true" w:anchor="_bookmark118">
        <w:r>
          <w:rPr>
            <w:color w:val="005DA1"/>
            <w:position w:val="5"/>
            <w:sz w:val="14"/>
            <w:u w:val="single" w:color="005DA1"/>
          </w:rPr>
          <w:t>110</w:t>
        </w:r>
      </w:hyperlink>
      <w:r>
        <w:rPr>
          <w:position w:val="5"/>
          <w:sz w:val="14"/>
        </w:rPr>
        <w:t>.</w:t>
      </w:r>
      <w:r>
        <w:rPr>
          <w:spacing w:val="80"/>
          <w:w w:val="150"/>
          <w:position w:val="5"/>
          <w:sz w:val="14"/>
        </w:rPr>
        <w:t> </w:t>
      </w:r>
      <w:r>
        <w:rPr>
          <w:rFonts w:ascii="Arial" w:hAnsi="Arial"/>
          <w:i/>
          <w:sz w:val="20"/>
        </w:rPr>
        <w:t>Curtis v Chemical Cleaning and Dyeing Co Ltd [1951] 1 K.B. 805</w:t>
      </w:r>
      <w:r>
        <w:rPr>
          <w:sz w:val="20"/>
        </w:rPr>
        <w:t>. Denning L.J. said </w:t>
      </w:r>
      <w:r>
        <w:rPr>
          <w:sz w:val="20"/>
        </w:rPr>
        <w:t>(at</w:t>
      </w:r>
      <w:r>
        <w:rPr>
          <w:spacing w:val="80"/>
          <w:sz w:val="20"/>
        </w:rPr>
        <w:t> </w:t>
      </w:r>
      <w:r>
        <w:rPr>
          <w:sz w:val="20"/>
        </w:rPr>
        <w:t>809–810) that the company could not rely on the clause, but it seems that the majority took the view that because of the misrepresentation, the clause was never incorporated into the</w:t>
      </w:r>
      <w:r>
        <w:rPr>
          <w:spacing w:val="40"/>
          <w:sz w:val="20"/>
        </w:rPr>
        <w:t> </w:t>
      </w:r>
      <w:r>
        <w:rPr>
          <w:sz w:val="20"/>
        </w:rPr>
        <w:t>contract: see the judgment of Rix L.J. in </w:t>
      </w:r>
      <w:r>
        <w:rPr>
          <w:rFonts w:ascii="Arial" w:hAnsi="Arial"/>
          <w:i/>
          <w:sz w:val="20"/>
        </w:rPr>
        <w:t>AXA Sun Life Services Plc v Campbell Martin Ltd [2011] EWCA Civ 133, [2011] 2 Lloyd’s Rep. 1 </w:t>
      </w:r>
      <w:r>
        <w:rPr>
          <w:sz w:val="20"/>
        </w:rPr>
        <w:t>at [100]–[105]; see below, para.15-146</w:t>
      </w:r>
    </w:p>
    <w:p>
      <w:pPr>
        <w:pStyle w:val="BodyText"/>
        <w:spacing w:before="4"/>
      </w:pPr>
    </w:p>
    <w:p>
      <w:pPr>
        <w:tabs>
          <w:tab w:pos="705" w:val="left" w:leader="none"/>
        </w:tabs>
        <w:spacing w:line="227" w:lineRule="exact" w:before="0"/>
        <w:ind w:left="165" w:right="0" w:firstLine="0"/>
        <w:jc w:val="left"/>
        <w:rPr>
          <w:rFonts w:ascii="Arial" w:hAnsi="Arial"/>
          <w:i/>
          <w:sz w:val="20"/>
        </w:rPr>
      </w:pPr>
      <w:bookmarkStart w:name="_bookmark224" w:id="226"/>
      <w:bookmarkEnd w:id="226"/>
      <w:r>
        <w:rPr/>
      </w:r>
      <w:hyperlink w:history="true" w:anchor="_bookmark119">
        <w:r>
          <w:rPr>
            <w:color w:val="005DA1"/>
            <w:spacing w:val="-4"/>
            <w:position w:val="5"/>
            <w:sz w:val="14"/>
            <w:u w:val="single" w:color="005DA1"/>
          </w:rPr>
          <w:t>111</w:t>
        </w:r>
      </w:hyperlink>
      <w:r>
        <w:rPr>
          <w:spacing w:val="-4"/>
          <w:position w:val="5"/>
          <w:sz w:val="14"/>
        </w:rPr>
        <w:t>.</w:t>
      </w:r>
      <w:r>
        <w:rPr>
          <w:position w:val="5"/>
          <w:sz w:val="14"/>
        </w:rPr>
        <w:tab/>
      </w:r>
      <w:r>
        <w:rPr>
          <w:rFonts w:ascii="Arial" w:hAnsi="Arial"/>
          <w:i/>
          <w:sz w:val="20"/>
        </w:rPr>
        <w:t>Banque</w:t>
      </w:r>
      <w:r>
        <w:rPr>
          <w:rFonts w:ascii="Arial" w:hAnsi="Arial"/>
          <w:i/>
          <w:spacing w:val="39"/>
          <w:sz w:val="20"/>
        </w:rPr>
        <w:t> </w:t>
      </w:r>
      <w:r>
        <w:rPr>
          <w:rFonts w:ascii="Arial" w:hAnsi="Arial"/>
          <w:i/>
          <w:sz w:val="20"/>
        </w:rPr>
        <w:t>Keyser</w:t>
      </w:r>
      <w:r>
        <w:rPr>
          <w:rFonts w:ascii="Arial" w:hAnsi="Arial"/>
          <w:i/>
          <w:spacing w:val="39"/>
          <w:sz w:val="20"/>
        </w:rPr>
        <w:t> </w:t>
      </w:r>
      <w:r>
        <w:rPr>
          <w:rFonts w:ascii="Arial" w:hAnsi="Arial"/>
          <w:i/>
          <w:sz w:val="20"/>
        </w:rPr>
        <w:t>Ullman</w:t>
      </w:r>
      <w:r>
        <w:rPr>
          <w:rFonts w:ascii="Arial" w:hAnsi="Arial"/>
          <w:i/>
          <w:spacing w:val="39"/>
          <w:sz w:val="20"/>
        </w:rPr>
        <w:t> </w:t>
      </w:r>
      <w:r>
        <w:rPr>
          <w:rFonts w:ascii="Arial" w:hAnsi="Arial"/>
          <w:i/>
          <w:sz w:val="20"/>
        </w:rPr>
        <w:t>SA</w:t>
      </w:r>
      <w:r>
        <w:rPr>
          <w:rFonts w:ascii="Arial" w:hAnsi="Arial"/>
          <w:i/>
          <w:spacing w:val="39"/>
          <w:sz w:val="20"/>
        </w:rPr>
        <w:t> </w:t>
      </w:r>
      <w:r>
        <w:rPr>
          <w:rFonts w:ascii="Arial" w:hAnsi="Arial"/>
          <w:i/>
          <w:sz w:val="20"/>
        </w:rPr>
        <w:t>v</w:t>
      </w:r>
      <w:r>
        <w:rPr>
          <w:rFonts w:ascii="Arial" w:hAnsi="Arial"/>
          <w:i/>
          <w:spacing w:val="39"/>
          <w:sz w:val="20"/>
        </w:rPr>
        <w:t> </w:t>
      </w:r>
      <w:r>
        <w:rPr>
          <w:rFonts w:ascii="Arial" w:hAnsi="Arial"/>
          <w:i/>
          <w:sz w:val="20"/>
        </w:rPr>
        <w:t>Skandia</w:t>
      </w:r>
      <w:r>
        <w:rPr>
          <w:rFonts w:ascii="Arial" w:hAnsi="Arial"/>
          <w:i/>
          <w:spacing w:val="39"/>
          <w:sz w:val="20"/>
        </w:rPr>
        <w:t> </w:t>
      </w:r>
      <w:r>
        <w:rPr>
          <w:rFonts w:ascii="Arial" w:hAnsi="Arial"/>
          <w:i/>
          <w:sz w:val="20"/>
        </w:rPr>
        <w:t>(UK)</w:t>
      </w:r>
      <w:r>
        <w:rPr>
          <w:rFonts w:ascii="Arial" w:hAnsi="Arial"/>
          <w:i/>
          <w:spacing w:val="39"/>
          <w:sz w:val="20"/>
        </w:rPr>
        <w:t> </w:t>
      </w:r>
      <w:r>
        <w:rPr>
          <w:rFonts w:ascii="Arial" w:hAnsi="Arial"/>
          <w:i/>
          <w:sz w:val="20"/>
        </w:rPr>
        <w:t>Insurance</w:t>
      </w:r>
      <w:r>
        <w:rPr>
          <w:rFonts w:ascii="Arial" w:hAnsi="Arial"/>
          <w:i/>
          <w:spacing w:val="39"/>
          <w:sz w:val="20"/>
        </w:rPr>
        <w:t> </w:t>
      </w:r>
      <w:r>
        <w:rPr>
          <w:rFonts w:ascii="Arial" w:hAnsi="Arial"/>
          <w:i/>
          <w:sz w:val="20"/>
        </w:rPr>
        <w:t>Co</w:t>
      </w:r>
      <w:r>
        <w:rPr>
          <w:rFonts w:ascii="Arial" w:hAnsi="Arial"/>
          <w:i/>
          <w:spacing w:val="39"/>
          <w:sz w:val="20"/>
        </w:rPr>
        <w:t> </w:t>
      </w:r>
      <w:r>
        <w:rPr>
          <w:rFonts w:ascii="Arial" w:hAnsi="Arial"/>
          <w:i/>
          <w:sz w:val="20"/>
        </w:rPr>
        <w:t>Ltd</w:t>
      </w:r>
      <w:r>
        <w:rPr>
          <w:rFonts w:ascii="Arial" w:hAnsi="Arial"/>
          <w:i/>
          <w:spacing w:val="39"/>
          <w:sz w:val="20"/>
        </w:rPr>
        <w:t> </w:t>
      </w:r>
      <w:r>
        <w:rPr>
          <w:rFonts w:ascii="Arial" w:hAnsi="Arial"/>
          <w:i/>
          <w:sz w:val="20"/>
        </w:rPr>
        <w:t>[1990]</w:t>
      </w:r>
      <w:r>
        <w:rPr>
          <w:rFonts w:ascii="Arial" w:hAnsi="Arial"/>
          <w:i/>
          <w:spacing w:val="39"/>
          <w:sz w:val="20"/>
        </w:rPr>
        <w:t> </w:t>
      </w:r>
      <w:r>
        <w:rPr>
          <w:rFonts w:ascii="Arial" w:hAnsi="Arial"/>
          <w:i/>
          <w:sz w:val="20"/>
        </w:rPr>
        <w:t>1</w:t>
      </w:r>
      <w:r>
        <w:rPr>
          <w:rFonts w:ascii="Arial" w:hAnsi="Arial"/>
          <w:i/>
          <w:spacing w:val="39"/>
          <w:sz w:val="20"/>
        </w:rPr>
        <w:t> </w:t>
      </w:r>
      <w:r>
        <w:rPr>
          <w:rFonts w:ascii="Arial" w:hAnsi="Arial"/>
          <w:i/>
          <w:sz w:val="20"/>
        </w:rPr>
        <w:t>Q.B.</w:t>
      </w:r>
      <w:r>
        <w:rPr>
          <w:rFonts w:ascii="Arial" w:hAnsi="Arial"/>
          <w:i/>
          <w:spacing w:val="39"/>
          <w:sz w:val="20"/>
        </w:rPr>
        <w:t> </w:t>
      </w:r>
      <w:r>
        <w:rPr>
          <w:rFonts w:ascii="Arial" w:hAnsi="Arial"/>
          <w:i/>
          <w:sz w:val="20"/>
        </w:rPr>
        <w:t>665,</w:t>
      </w:r>
      <w:r>
        <w:rPr>
          <w:rFonts w:ascii="Arial" w:hAnsi="Arial"/>
          <w:i/>
          <w:spacing w:val="39"/>
          <w:sz w:val="20"/>
        </w:rPr>
        <w:t> </w:t>
      </w:r>
      <w:r>
        <w:rPr>
          <w:rFonts w:ascii="Arial" w:hAnsi="Arial"/>
          <w:i/>
          <w:spacing w:val="-2"/>
          <w:sz w:val="20"/>
        </w:rPr>
        <w:t>787–789,</w:t>
      </w:r>
    </w:p>
    <w:p>
      <w:pPr>
        <w:spacing w:line="227" w:lineRule="exact" w:before="0"/>
        <w:ind w:left="705" w:right="0" w:firstLine="0"/>
        <w:jc w:val="left"/>
        <w:rPr>
          <w:sz w:val="20"/>
        </w:rPr>
      </w:pPr>
      <w:r>
        <w:rPr>
          <w:rFonts w:ascii="Arial"/>
          <w:i/>
          <w:sz w:val="20"/>
        </w:rPr>
        <w:t>affirmed</w:t>
      </w:r>
      <w:r>
        <w:rPr>
          <w:rFonts w:ascii="Arial"/>
          <w:i/>
          <w:spacing w:val="-1"/>
          <w:sz w:val="20"/>
        </w:rPr>
        <w:t> </w:t>
      </w:r>
      <w:r>
        <w:rPr>
          <w:rFonts w:ascii="Arial"/>
          <w:i/>
          <w:sz w:val="20"/>
        </w:rPr>
        <w:t>on other grounds [1991] 2 A.C. 249</w:t>
      </w:r>
      <w:r>
        <w:rPr>
          <w:sz w:val="20"/>
        </w:rPr>
        <w:t>; cf. Hudson (1969) 85 L.Q.R. </w:t>
      </w:r>
      <w:r>
        <w:rPr>
          <w:spacing w:val="-4"/>
          <w:sz w:val="20"/>
        </w:rPr>
        <w:t>524.</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bookmarkStart w:name="_bookmark225" w:id="227"/>
      <w:bookmarkEnd w:id="227"/>
      <w:r>
        <w:rPr/>
      </w:r>
      <w:hyperlink w:history="true" w:anchor="_bookmark120">
        <w:r>
          <w:rPr>
            <w:color w:val="005DA1"/>
            <w:spacing w:val="-4"/>
            <w:sz w:val="14"/>
            <w:u w:val="single" w:color="005DA1"/>
          </w:rPr>
          <w:t>112</w:t>
        </w:r>
      </w:hyperlink>
      <w:r>
        <w:rPr>
          <w:spacing w:val="-4"/>
          <w:sz w:val="14"/>
        </w:rPr>
        <w:t>.</w:t>
      </w:r>
    </w:p>
    <w:p>
      <w:pPr>
        <w:spacing w:line="235" w:lineRule="auto" w:before="212"/>
        <w:ind w:left="165" w:right="167" w:firstLine="170"/>
        <w:jc w:val="both"/>
        <w:rPr>
          <w:rFonts w:ascii="Arial" w:hAnsi="Arial"/>
          <w:i/>
          <w:sz w:val="20"/>
        </w:rPr>
      </w:pPr>
      <w:r>
        <w:rPr/>
        <w:br w:type="column"/>
      </w:r>
      <w:r>
        <w:rPr>
          <w:rFonts w:ascii="Arial" w:hAnsi="Arial"/>
          <w:i/>
          <w:sz w:val="20"/>
        </w:rPr>
        <w:t>Traill v Baring (1864) 33 L.J.Ch. 521</w:t>
      </w:r>
      <w:r>
        <w:rPr>
          <w:sz w:val="20"/>
        </w:rPr>
        <w:t>; </w:t>
      </w:r>
      <w:r>
        <w:rPr>
          <w:rFonts w:ascii="Arial" w:hAnsi="Arial"/>
          <w:i/>
          <w:sz w:val="20"/>
        </w:rPr>
        <w:t>With v O’Flanagan [1936] Ch. 575</w:t>
      </w:r>
      <w:r>
        <w:rPr>
          <w:sz w:val="20"/>
        </w:rPr>
        <w:t>; </w:t>
      </w:r>
      <w:r>
        <w:rPr>
          <w:rFonts w:ascii="Arial" w:hAnsi="Arial"/>
          <w:i/>
          <w:sz w:val="20"/>
        </w:rPr>
        <w:t>Ray v </w:t>
      </w:r>
      <w:r>
        <w:rPr>
          <w:rFonts w:ascii="Arial" w:hAnsi="Arial"/>
          <w:i/>
          <w:sz w:val="20"/>
        </w:rPr>
        <w:t>Sempers [1974] A.C. 370</w:t>
      </w:r>
      <w:r>
        <w:rPr>
          <w:sz w:val="20"/>
        </w:rPr>
        <w:t>; </w:t>
      </w:r>
      <w:r>
        <w:rPr>
          <w:rFonts w:ascii="Arial" w:hAnsi="Arial"/>
          <w:i/>
          <w:sz w:val="20"/>
        </w:rPr>
        <w:t>FoodCo UK LLP (t/a Muffin Break) v Henry Boot Developments Ltd [2010] EWHC</w:t>
      </w:r>
      <w:r>
        <w:rPr>
          <w:rFonts w:ascii="Arial" w:hAnsi="Arial"/>
          <w:i/>
          <w:spacing w:val="40"/>
          <w:sz w:val="20"/>
        </w:rPr>
        <w:t> </w:t>
      </w:r>
      <w:r>
        <w:rPr>
          <w:rFonts w:ascii="Arial" w:hAnsi="Arial"/>
          <w:i/>
          <w:sz w:val="20"/>
        </w:rPr>
        <w:t>358</w:t>
      </w:r>
      <w:r>
        <w:rPr>
          <w:rFonts w:ascii="Arial" w:hAnsi="Arial"/>
          <w:i/>
          <w:spacing w:val="40"/>
          <w:sz w:val="20"/>
        </w:rPr>
        <w:t> </w:t>
      </w:r>
      <w:r>
        <w:rPr>
          <w:rFonts w:ascii="Arial" w:hAnsi="Arial"/>
          <w:i/>
          <w:sz w:val="20"/>
        </w:rPr>
        <w:t>(Ch)</w:t>
      </w:r>
      <w:r>
        <w:rPr>
          <w:rFonts w:ascii="Arial" w:hAnsi="Arial"/>
          <w:i/>
          <w:spacing w:val="40"/>
          <w:sz w:val="20"/>
        </w:rPr>
        <w:t> </w:t>
      </w:r>
      <w:r>
        <w:rPr>
          <w:sz w:val="20"/>
        </w:rPr>
        <w:t>at</w:t>
      </w:r>
      <w:r>
        <w:rPr>
          <w:spacing w:val="40"/>
          <w:sz w:val="20"/>
        </w:rPr>
        <w:t> </w:t>
      </w:r>
      <w:r>
        <w:rPr>
          <w:sz w:val="20"/>
        </w:rPr>
        <w:t>[208]–[212];</w:t>
      </w:r>
      <w:r>
        <w:rPr>
          <w:spacing w:val="40"/>
          <w:sz w:val="20"/>
        </w:rPr>
        <w:t> </w:t>
      </w:r>
      <w:r>
        <w:rPr>
          <w:sz w:val="20"/>
        </w:rPr>
        <w:t>cf.</w:t>
      </w:r>
      <w:r>
        <w:rPr>
          <w:spacing w:val="40"/>
          <w:sz w:val="20"/>
        </w:rPr>
        <w:t> </w:t>
      </w:r>
      <w:r>
        <w:rPr>
          <w:rFonts w:ascii="Arial" w:hAnsi="Arial"/>
          <w:i/>
          <w:sz w:val="20"/>
        </w:rPr>
        <w:t>Wales</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Wadham</w:t>
      </w:r>
      <w:r>
        <w:rPr>
          <w:rFonts w:ascii="Arial" w:hAnsi="Arial"/>
          <w:i/>
          <w:spacing w:val="40"/>
          <w:sz w:val="20"/>
        </w:rPr>
        <w:t> </w:t>
      </w:r>
      <w:r>
        <w:rPr>
          <w:rFonts w:ascii="Arial" w:hAnsi="Arial"/>
          <w:i/>
          <w:sz w:val="20"/>
        </w:rPr>
        <w:t>[1977]</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W.L.R.</w:t>
      </w:r>
      <w:r>
        <w:rPr>
          <w:rFonts w:ascii="Arial" w:hAnsi="Arial"/>
          <w:i/>
          <w:spacing w:val="40"/>
          <w:sz w:val="20"/>
        </w:rPr>
        <w:t> </w:t>
      </w:r>
      <w:r>
        <w:rPr>
          <w:rFonts w:ascii="Arial" w:hAnsi="Arial"/>
          <w:i/>
          <w:sz w:val="20"/>
        </w:rPr>
        <w:t>199</w:t>
      </w:r>
      <w:r>
        <w:rPr>
          <w:rFonts w:ascii="Arial" w:hAnsi="Arial"/>
          <w:i/>
          <w:spacing w:val="40"/>
          <w:sz w:val="20"/>
        </w:rPr>
        <w:t> </w:t>
      </w:r>
      <w:r>
        <w:rPr>
          <w:sz w:val="20"/>
        </w:rPr>
        <w:t>(see</w:t>
      </w:r>
      <w:r>
        <w:rPr>
          <w:spacing w:val="40"/>
          <w:sz w:val="20"/>
        </w:rPr>
        <w:t> </w:t>
      </w:r>
      <w:r>
        <w:rPr>
          <w:sz w:val="20"/>
        </w:rPr>
        <w:t>below, para.7-171). It has been said that if a person who has made a representation of fact which, before the contract is made, he discovers to be untrue, he is not fraudulent in failing to correct the representation, as he will not be dishonest: </w:t>
      </w:r>
      <w:r>
        <w:rPr>
          <w:rFonts w:ascii="Arial" w:hAnsi="Arial"/>
          <w:i/>
          <w:sz w:val="20"/>
        </w:rPr>
        <w:t>Thomas Witter Ltd v TBP Industries Ltd [1994] Tr.L.R. 145</w:t>
      </w:r>
      <w:r>
        <w:rPr>
          <w:sz w:val="20"/>
        </w:rPr>
        <w:t>. It is submitted that there may still be fraud if the person knows that he should tell the other party but fails to do so; see </w:t>
      </w:r>
      <w:r>
        <w:rPr>
          <w:rFonts w:ascii="Arial" w:hAnsi="Arial"/>
          <w:i/>
          <w:sz w:val="20"/>
        </w:rPr>
        <w:t>(1995) 111 L.Q.R. 385</w:t>
      </w:r>
      <w:r>
        <w:rPr>
          <w:sz w:val="20"/>
        </w:rPr>
        <w:t>; </w:t>
      </w:r>
      <w:r>
        <w:rPr>
          <w:rFonts w:ascii="Arial" w:hAnsi="Arial"/>
          <w:i/>
          <w:sz w:val="20"/>
        </w:rPr>
        <w:t>Abu Dhabi Investment Company v H Clarkson and Co Ltd [2007] EWHC 1267 (Comm) </w:t>
      </w:r>
      <w:r>
        <w:rPr>
          <w:sz w:val="20"/>
        </w:rPr>
        <w:t>at [232] (rev’d on other grounds </w:t>
      </w:r>
      <w:r>
        <w:rPr>
          <w:rFonts w:ascii="Arial" w:hAnsi="Arial"/>
          <w:i/>
          <w:sz w:val="20"/>
        </w:rPr>
        <w:t>[2008] EWCA Civ 699</w:t>
      </w:r>
      <w:r>
        <w:rPr>
          <w:sz w:val="20"/>
        </w:rPr>
        <w:t>). A failure to reveal that a fact stated was no longer true was held to be fraudulent</w:t>
      </w:r>
      <w:r>
        <w:rPr>
          <w:spacing w:val="1"/>
          <w:sz w:val="20"/>
        </w:rPr>
        <w:t> </w:t>
      </w:r>
      <w:r>
        <w:rPr>
          <w:sz w:val="20"/>
        </w:rPr>
        <w:t>in</w:t>
      </w:r>
      <w:r>
        <w:rPr>
          <w:spacing w:val="1"/>
          <w:sz w:val="20"/>
        </w:rPr>
        <w:t> </w:t>
      </w:r>
      <w:r>
        <w:rPr>
          <w:rFonts w:ascii="Arial" w:hAnsi="Arial"/>
          <w:i/>
          <w:sz w:val="20"/>
        </w:rPr>
        <w:t>Fitzroy</w:t>
      </w:r>
      <w:r>
        <w:rPr>
          <w:rFonts w:ascii="Arial" w:hAnsi="Arial"/>
          <w:i/>
          <w:spacing w:val="1"/>
          <w:sz w:val="20"/>
        </w:rPr>
        <w:t> </w:t>
      </w:r>
      <w:r>
        <w:rPr>
          <w:rFonts w:ascii="Arial" w:hAnsi="Arial"/>
          <w:i/>
          <w:sz w:val="20"/>
        </w:rPr>
        <w:t>Robinson</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Mentmore</w:t>
      </w:r>
      <w:r>
        <w:rPr>
          <w:rFonts w:ascii="Arial" w:hAnsi="Arial"/>
          <w:i/>
          <w:spacing w:val="1"/>
          <w:sz w:val="20"/>
        </w:rPr>
        <w:t> </w:t>
      </w:r>
      <w:r>
        <w:rPr>
          <w:rFonts w:ascii="Arial" w:hAnsi="Arial"/>
          <w:i/>
          <w:sz w:val="20"/>
        </w:rPr>
        <w:t>Towers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[2009]</w:t>
      </w:r>
      <w:r>
        <w:rPr>
          <w:rFonts w:ascii="Arial" w:hAnsi="Arial"/>
          <w:i/>
          <w:spacing w:val="1"/>
          <w:sz w:val="20"/>
        </w:rPr>
        <w:t> </w:t>
      </w:r>
      <w:r>
        <w:rPr>
          <w:rFonts w:ascii="Arial" w:hAnsi="Arial"/>
          <w:i/>
          <w:sz w:val="20"/>
        </w:rPr>
        <w:t>EWHC</w:t>
      </w:r>
      <w:r>
        <w:rPr>
          <w:rFonts w:ascii="Arial" w:hAnsi="Arial"/>
          <w:i/>
          <w:spacing w:val="1"/>
          <w:sz w:val="20"/>
        </w:rPr>
        <w:t> </w:t>
      </w:r>
      <w:r>
        <w:rPr>
          <w:rFonts w:ascii="Arial" w:hAnsi="Arial"/>
          <w:i/>
          <w:sz w:val="20"/>
        </w:rPr>
        <w:t>1552</w:t>
      </w:r>
      <w:r>
        <w:rPr>
          <w:rFonts w:ascii="Arial" w:hAnsi="Arial"/>
          <w:i/>
          <w:spacing w:val="1"/>
          <w:sz w:val="20"/>
        </w:rPr>
        <w:t> </w:t>
      </w:r>
      <w:r>
        <w:rPr>
          <w:rFonts w:ascii="Arial" w:hAnsi="Arial"/>
          <w:i/>
          <w:sz w:val="20"/>
        </w:rPr>
        <w:t>(TCC),</w:t>
      </w:r>
      <w:r>
        <w:rPr>
          <w:rFonts w:ascii="Arial" w:hAnsi="Arial"/>
          <w:i/>
          <w:spacing w:val="1"/>
          <w:sz w:val="20"/>
        </w:rPr>
        <w:t> </w:t>
      </w:r>
      <w:r>
        <w:rPr>
          <w:rFonts w:ascii="Arial" w:hAnsi="Arial"/>
          <w:i/>
          <w:sz w:val="20"/>
        </w:rPr>
        <w:t>125</w:t>
      </w:r>
      <w:r>
        <w:rPr>
          <w:rFonts w:ascii="Arial" w:hAnsi="Arial"/>
          <w:i/>
          <w:spacing w:val="1"/>
          <w:sz w:val="20"/>
        </w:rPr>
        <w:t> </w:t>
      </w:r>
      <w:r>
        <w:rPr>
          <w:rFonts w:ascii="Arial" w:hAnsi="Arial"/>
          <w:i/>
          <w:spacing w:val="-4"/>
          <w:sz w:val="20"/>
        </w:rPr>
        <w:t>Con.</w:t>
      </w:r>
    </w:p>
    <w:p>
      <w:pPr>
        <w:pStyle w:val="BodyText"/>
        <w:spacing w:line="235" w:lineRule="auto"/>
        <w:ind w:left="165" w:right="167"/>
        <w:jc w:val="both"/>
      </w:pPr>
      <w:r>
        <w:rPr/>
        <w:drawing>
          <wp:anchor distT="0" distB="0" distL="0" distR="0" allowOverlap="1" layoutInCell="1" locked="0" behindDoc="0" simplePos="0" relativeHeight="15744512">
            <wp:simplePos x="0" y="0"/>
            <wp:positionH relativeFrom="page">
              <wp:posOffset>1257846</wp:posOffset>
            </wp:positionH>
            <wp:positionV relativeFrom="paragraph">
              <wp:posOffset>-1548704</wp:posOffset>
            </wp:positionV>
            <wp:extent cx="107988" cy="107988"/>
            <wp:effectExtent l="0" t="0" r="0" b="0"/>
            <wp:wrapNone/>
            <wp:docPr id="56" name="Image 56"/>
            <wp:cNvGraphicFramePr>
              <a:graphicFrameLocks/>
            </wp:cNvGraphicFramePr>
            <a:graphic>
              <a:graphicData uri="http://schemas.openxmlformats.org/drawingml/2006/picture">
                <pic:pic>
                  <pic:nvPicPr>
                    <pic:cNvPr id="56" name="Image 56"/>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rPr>
        <w:t>L.R. 171</w:t>
      </w:r>
      <w:r>
        <w:rPr/>
        <w:t>; and see </w:t>
      </w:r>
      <w:r>
        <w:rPr>
          <w:rFonts w:ascii="Arial" w:hAnsi="Arial"/>
          <w:i/>
        </w:rPr>
        <w:t>FoodCo UK LLP (t/a Muffin Break) v Henry Boot Developments Ltd </w:t>
      </w:r>
      <w:r>
        <w:rPr>
          <w:rFonts w:ascii="Arial" w:hAnsi="Arial"/>
          <w:i/>
        </w:rPr>
        <w:t>[2010] EWHC 358 (Ch) </w:t>
      </w:r>
      <w:r>
        <w:rPr/>
        <w:t>at [213]–[214] (fraud if knows of change and of its significance). If a </w:t>
      </w:r>
      <w:r>
        <w:rPr/>
        <w:t>senior executive of a company knows that a forecast has been falsified by events to which he is </w:t>
      </w:r>
      <w:r>
        <w:rPr/>
        <w:t>privy but remains silent intending that the forecast should be relied on by persons to whom </w:t>
      </w:r>
      <w:r>
        <w:rPr/>
        <w:t>the forecast is directly communicated, dishonesty on the part of that individual will have been proved without it being necessary distinctly and separately to show a conscious awareness of </w:t>
      </w:r>
      <w:r>
        <w:rPr/>
        <w:t>a duty to correct the statement: </w:t>
      </w:r>
      <w:r>
        <w:rPr>
          <w:rFonts w:ascii="Arial" w:hAnsi="Arial"/>
          <w:i/>
        </w:rPr>
        <w:t>GG 132 Ltd v Hampson Industries Plc [2011] EWHC 1137 (Comm) </w:t>
      </w:r>
      <w:r>
        <w:rPr/>
        <w:t>at [43]. Where statements in listing particulars or in a prospectus become incorrect, supplementary particulars or a supplementary prospectus may have to be issued: </w:t>
      </w:r>
      <w:r>
        <w:rPr/>
        <w:t>Financial Services and Markets Act 2000 ss.81, 87G. Section 87G applies to both listed and </w:t>
      </w:r>
      <w:r>
        <w:rPr/>
        <w:t>unlisted securities. See further below, para.7-098.</w:t>
      </w:r>
    </w:p>
    <w:p>
      <w:pPr>
        <w:pStyle w:val="BodyText"/>
        <w:spacing w:after="0" w:line="235" w:lineRule="auto"/>
        <w:jc w:val="both"/>
        <w:sectPr>
          <w:type w:val="continuous"/>
          <w:pgSz w:w="11900" w:h="16840"/>
          <w:pgMar w:header="971" w:footer="0" w:top="1160" w:bottom="280" w:left="1275" w:right="1275"/>
          <w:cols w:num="2" w:equalWidth="0">
            <w:col w:w="478" w:space="63"/>
            <w:col w:w="8809"/>
          </w:cols>
        </w:sectPr>
      </w:pPr>
    </w:p>
    <w:p>
      <w:pPr>
        <w:pStyle w:val="BodyText"/>
        <w:spacing w:before="81"/>
      </w:pPr>
    </w:p>
    <w:p>
      <w:pPr>
        <w:tabs>
          <w:tab w:pos="540" w:val="left" w:leader="none"/>
        </w:tabs>
        <w:spacing w:line="227" w:lineRule="exact" w:before="0"/>
        <w:ind w:left="0" w:right="167" w:firstLine="0"/>
        <w:jc w:val="right"/>
        <w:rPr>
          <w:rFonts w:ascii="Arial" w:hAnsi="Arial"/>
          <w:i/>
          <w:sz w:val="20"/>
        </w:rPr>
      </w:pPr>
      <w:hyperlink w:history="true" w:anchor="_bookmark121">
        <w:r>
          <w:rPr>
            <w:color w:val="005DA1"/>
            <w:spacing w:val="-4"/>
            <w:position w:val="5"/>
            <w:sz w:val="14"/>
            <w:u w:val="single" w:color="005DA1"/>
          </w:rPr>
          <w:t>113</w:t>
        </w:r>
      </w:hyperlink>
      <w:r>
        <w:rPr>
          <w:spacing w:val="-4"/>
          <w:position w:val="5"/>
          <w:sz w:val="14"/>
        </w:rPr>
        <w:t>.</w:t>
      </w:r>
      <w:r>
        <w:rPr>
          <w:position w:val="5"/>
          <w:sz w:val="14"/>
        </w:rPr>
        <w:tab/>
      </w:r>
      <w:r>
        <w:rPr>
          <w:rFonts w:ascii="Arial" w:hAnsi="Arial"/>
          <w:i/>
          <w:sz w:val="20"/>
        </w:rPr>
        <w:t>IFE</w:t>
      </w:r>
      <w:r>
        <w:rPr>
          <w:rFonts w:ascii="Arial" w:hAnsi="Arial"/>
          <w:i/>
          <w:spacing w:val="35"/>
          <w:sz w:val="20"/>
        </w:rPr>
        <w:t> </w:t>
      </w:r>
      <w:r>
        <w:rPr>
          <w:rFonts w:ascii="Arial" w:hAnsi="Arial"/>
          <w:i/>
          <w:sz w:val="20"/>
        </w:rPr>
        <w:t>Fund</w:t>
      </w:r>
      <w:r>
        <w:rPr>
          <w:rFonts w:ascii="Arial" w:hAnsi="Arial"/>
          <w:i/>
          <w:spacing w:val="35"/>
          <w:sz w:val="20"/>
        </w:rPr>
        <w:t> </w:t>
      </w:r>
      <w:r>
        <w:rPr>
          <w:rFonts w:ascii="Arial" w:hAnsi="Arial"/>
          <w:i/>
          <w:sz w:val="20"/>
        </w:rPr>
        <w:t>SA</w:t>
      </w:r>
      <w:r>
        <w:rPr>
          <w:rFonts w:ascii="Arial" w:hAnsi="Arial"/>
          <w:i/>
          <w:spacing w:val="35"/>
          <w:sz w:val="20"/>
        </w:rPr>
        <w:t> </w:t>
      </w:r>
      <w:r>
        <w:rPr>
          <w:rFonts w:ascii="Arial" w:hAnsi="Arial"/>
          <w:i/>
          <w:sz w:val="20"/>
        </w:rPr>
        <w:t>v</w:t>
      </w:r>
      <w:r>
        <w:rPr>
          <w:rFonts w:ascii="Arial" w:hAnsi="Arial"/>
          <w:i/>
          <w:spacing w:val="35"/>
          <w:sz w:val="20"/>
        </w:rPr>
        <w:t> </w:t>
      </w:r>
      <w:r>
        <w:rPr>
          <w:rFonts w:ascii="Arial" w:hAnsi="Arial"/>
          <w:i/>
          <w:sz w:val="20"/>
        </w:rPr>
        <w:t>Goldman</w:t>
      </w:r>
      <w:r>
        <w:rPr>
          <w:rFonts w:ascii="Arial" w:hAnsi="Arial"/>
          <w:i/>
          <w:spacing w:val="35"/>
          <w:sz w:val="20"/>
        </w:rPr>
        <w:t> </w:t>
      </w:r>
      <w:r>
        <w:rPr>
          <w:rFonts w:ascii="Arial" w:hAnsi="Arial"/>
          <w:i/>
          <w:sz w:val="20"/>
        </w:rPr>
        <w:t>Sachs</w:t>
      </w:r>
      <w:r>
        <w:rPr>
          <w:rFonts w:ascii="Arial" w:hAnsi="Arial"/>
          <w:i/>
          <w:spacing w:val="35"/>
          <w:sz w:val="20"/>
        </w:rPr>
        <w:t> </w:t>
      </w:r>
      <w:r>
        <w:rPr>
          <w:rFonts w:ascii="Arial" w:hAnsi="Arial"/>
          <w:i/>
          <w:sz w:val="20"/>
        </w:rPr>
        <w:t>International</w:t>
      </w:r>
      <w:r>
        <w:rPr>
          <w:rFonts w:ascii="Arial" w:hAnsi="Arial"/>
          <w:i/>
          <w:spacing w:val="35"/>
          <w:sz w:val="20"/>
        </w:rPr>
        <w:t> </w:t>
      </w:r>
      <w:r>
        <w:rPr>
          <w:rFonts w:ascii="Arial" w:hAnsi="Arial"/>
          <w:i/>
          <w:sz w:val="20"/>
        </w:rPr>
        <w:t>[2006]</w:t>
      </w:r>
      <w:r>
        <w:rPr>
          <w:rFonts w:ascii="Arial" w:hAnsi="Arial"/>
          <w:i/>
          <w:spacing w:val="35"/>
          <w:sz w:val="20"/>
        </w:rPr>
        <w:t> </w:t>
      </w:r>
      <w:r>
        <w:rPr>
          <w:rFonts w:ascii="Arial" w:hAnsi="Arial"/>
          <w:i/>
          <w:sz w:val="20"/>
        </w:rPr>
        <w:t>EWHC</w:t>
      </w:r>
      <w:r>
        <w:rPr>
          <w:rFonts w:ascii="Arial" w:hAnsi="Arial"/>
          <w:i/>
          <w:spacing w:val="35"/>
          <w:sz w:val="20"/>
        </w:rPr>
        <w:t> </w:t>
      </w:r>
      <w:r>
        <w:rPr>
          <w:rFonts w:ascii="Arial" w:hAnsi="Arial"/>
          <w:i/>
          <w:sz w:val="20"/>
        </w:rPr>
        <w:t>2887</w:t>
      </w:r>
      <w:r>
        <w:rPr>
          <w:rFonts w:ascii="Arial" w:hAnsi="Arial"/>
          <w:i/>
          <w:spacing w:val="35"/>
          <w:sz w:val="20"/>
        </w:rPr>
        <w:t> </w:t>
      </w:r>
      <w:r>
        <w:rPr>
          <w:rFonts w:ascii="Arial" w:hAnsi="Arial"/>
          <w:i/>
          <w:sz w:val="20"/>
        </w:rPr>
        <w:t>(Comm),</w:t>
      </w:r>
      <w:r>
        <w:rPr>
          <w:rFonts w:ascii="Arial" w:hAnsi="Arial"/>
          <w:i/>
          <w:spacing w:val="35"/>
          <w:sz w:val="20"/>
        </w:rPr>
        <w:t> </w:t>
      </w:r>
      <w:r>
        <w:rPr>
          <w:rFonts w:ascii="Arial" w:hAnsi="Arial"/>
          <w:i/>
          <w:sz w:val="20"/>
        </w:rPr>
        <w:t>[2007]</w:t>
      </w:r>
      <w:r>
        <w:rPr>
          <w:rFonts w:ascii="Arial" w:hAnsi="Arial"/>
          <w:i/>
          <w:spacing w:val="35"/>
          <w:sz w:val="20"/>
        </w:rPr>
        <w:t> </w:t>
      </w:r>
      <w:r>
        <w:rPr>
          <w:rFonts w:ascii="Arial" w:hAnsi="Arial"/>
          <w:i/>
          <w:sz w:val="20"/>
        </w:rPr>
        <w:t>1</w:t>
      </w:r>
      <w:r>
        <w:rPr>
          <w:rFonts w:ascii="Arial" w:hAnsi="Arial"/>
          <w:i/>
          <w:spacing w:val="35"/>
          <w:sz w:val="20"/>
        </w:rPr>
        <w:t> </w:t>
      </w:r>
      <w:r>
        <w:rPr>
          <w:rFonts w:ascii="Arial" w:hAnsi="Arial"/>
          <w:i/>
          <w:spacing w:val="-2"/>
          <w:sz w:val="20"/>
        </w:rPr>
        <w:t>Lloyd’s</w:t>
      </w:r>
    </w:p>
    <w:p>
      <w:pPr>
        <w:spacing w:line="225" w:lineRule="exact" w:before="0"/>
        <w:ind w:left="0" w:right="168" w:firstLine="0"/>
        <w:jc w:val="right"/>
        <w:rPr>
          <w:sz w:val="20"/>
        </w:rPr>
      </w:pPr>
      <w:r>
        <w:rPr>
          <w:rFonts w:ascii="Arial" w:hAnsi="Arial"/>
          <w:i/>
          <w:sz w:val="20"/>
        </w:rPr>
        <w:t>Rep.</w:t>
      </w:r>
      <w:r>
        <w:rPr>
          <w:rFonts w:ascii="Arial" w:hAnsi="Arial"/>
          <w:i/>
          <w:spacing w:val="21"/>
          <w:sz w:val="20"/>
        </w:rPr>
        <w:t> </w:t>
      </w:r>
      <w:r>
        <w:rPr>
          <w:rFonts w:ascii="Arial" w:hAnsi="Arial"/>
          <w:i/>
          <w:sz w:val="20"/>
        </w:rPr>
        <w:t>26</w:t>
      </w:r>
      <w:r>
        <w:rPr>
          <w:rFonts w:ascii="Arial" w:hAnsi="Arial"/>
          <w:i/>
          <w:spacing w:val="22"/>
          <w:sz w:val="20"/>
        </w:rPr>
        <w:t> </w:t>
      </w:r>
      <w:r>
        <w:rPr>
          <w:sz w:val="20"/>
        </w:rPr>
        <w:t>at</w:t>
      </w:r>
      <w:r>
        <w:rPr>
          <w:spacing w:val="22"/>
          <w:sz w:val="20"/>
        </w:rPr>
        <w:t> </w:t>
      </w:r>
      <w:r>
        <w:rPr>
          <w:sz w:val="20"/>
        </w:rPr>
        <w:t>[60];</w:t>
      </w:r>
      <w:r>
        <w:rPr>
          <w:spacing w:val="22"/>
          <w:sz w:val="20"/>
        </w:rPr>
        <w:t> </w:t>
      </w:r>
      <w:r>
        <w:rPr>
          <w:rFonts w:ascii="Arial" w:hAnsi="Arial"/>
          <w:i/>
          <w:sz w:val="20"/>
        </w:rPr>
        <w:t>[2007]</w:t>
      </w:r>
      <w:r>
        <w:rPr>
          <w:rFonts w:ascii="Arial" w:hAnsi="Arial"/>
          <w:i/>
          <w:spacing w:val="22"/>
          <w:sz w:val="20"/>
        </w:rPr>
        <w:t> </w:t>
      </w:r>
      <w:r>
        <w:rPr>
          <w:rFonts w:ascii="Arial" w:hAnsi="Arial"/>
          <w:i/>
          <w:sz w:val="20"/>
        </w:rPr>
        <w:t>EWCA</w:t>
      </w:r>
      <w:r>
        <w:rPr>
          <w:rFonts w:ascii="Arial" w:hAnsi="Arial"/>
          <w:i/>
          <w:spacing w:val="22"/>
          <w:sz w:val="20"/>
        </w:rPr>
        <w:t> </w:t>
      </w:r>
      <w:r>
        <w:rPr>
          <w:rFonts w:ascii="Arial" w:hAnsi="Arial"/>
          <w:i/>
          <w:sz w:val="20"/>
        </w:rPr>
        <w:t>Civ</w:t>
      </w:r>
      <w:r>
        <w:rPr>
          <w:rFonts w:ascii="Arial" w:hAnsi="Arial"/>
          <w:i/>
          <w:spacing w:val="22"/>
          <w:sz w:val="20"/>
        </w:rPr>
        <w:t> </w:t>
      </w:r>
      <w:r>
        <w:rPr>
          <w:rFonts w:ascii="Arial" w:hAnsi="Arial"/>
          <w:i/>
          <w:sz w:val="20"/>
        </w:rPr>
        <w:t>811,</w:t>
      </w:r>
      <w:r>
        <w:rPr>
          <w:rFonts w:ascii="Arial" w:hAnsi="Arial"/>
          <w:i/>
          <w:spacing w:val="22"/>
          <w:sz w:val="20"/>
        </w:rPr>
        <w:t> </w:t>
      </w:r>
      <w:r>
        <w:rPr>
          <w:rFonts w:ascii="Arial" w:hAnsi="Arial"/>
          <w:i/>
          <w:sz w:val="20"/>
        </w:rPr>
        <w:t>[2007]</w:t>
      </w:r>
      <w:r>
        <w:rPr>
          <w:rFonts w:ascii="Arial" w:hAnsi="Arial"/>
          <w:i/>
          <w:spacing w:val="22"/>
          <w:sz w:val="20"/>
        </w:rPr>
        <w:t> </w:t>
      </w:r>
      <w:r>
        <w:rPr>
          <w:rFonts w:ascii="Arial" w:hAnsi="Arial"/>
          <w:i/>
          <w:sz w:val="20"/>
        </w:rPr>
        <w:t>2</w:t>
      </w:r>
      <w:r>
        <w:rPr>
          <w:rFonts w:ascii="Arial" w:hAnsi="Arial"/>
          <w:i/>
          <w:spacing w:val="22"/>
          <w:sz w:val="20"/>
        </w:rPr>
        <w:t> </w:t>
      </w:r>
      <w:r>
        <w:rPr>
          <w:rFonts w:ascii="Arial" w:hAnsi="Arial"/>
          <w:i/>
          <w:sz w:val="20"/>
        </w:rPr>
        <w:t>Lloyd’s</w:t>
      </w:r>
      <w:r>
        <w:rPr>
          <w:rFonts w:ascii="Arial" w:hAnsi="Arial"/>
          <w:i/>
          <w:spacing w:val="22"/>
          <w:sz w:val="20"/>
        </w:rPr>
        <w:t> </w:t>
      </w:r>
      <w:r>
        <w:rPr>
          <w:rFonts w:ascii="Arial" w:hAnsi="Arial"/>
          <w:i/>
          <w:sz w:val="20"/>
        </w:rPr>
        <w:t>Rep.</w:t>
      </w:r>
      <w:r>
        <w:rPr>
          <w:rFonts w:ascii="Arial" w:hAnsi="Arial"/>
          <w:i/>
          <w:spacing w:val="22"/>
          <w:sz w:val="20"/>
        </w:rPr>
        <w:t> </w:t>
      </w:r>
      <w:r>
        <w:rPr>
          <w:rFonts w:ascii="Arial" w:hAnsi="Arial"/>
          <w:i/>
          <w:sz w:val="20"/>
        </w:rPr>
        <w:t>449</w:t>
      </w:r>
      <w:r>
        <w:rPr>
          <w:sz w:val="20"/>
        </w:rPr>
        <w:t>,</w:t>
      </w:r>
      <w:r>
        <w:rPr>
          <w:spacing w:val="22"/>
          <w:sz w:val="20"/>
        </w:rPr>
        <w:t> </w:t>
      </w:r>
      <w:r>
        <w:rPr>
          <w:sz w:val="20"/>
        </w:rPr>
        <w:t>see</w:t>
      </w:r>
      <w:r>
        <w:rPr>
          <w:spacing w:val="22"/>
          <w:sz w:val="20"/>
        </w:rPr>
        <w:t> </w:t>
      </w:r>
      <w:r>
        <w:rPr>
          <w:sz w:val="20"/>
        </w:rPr>
        <w:t>at</w:t>
      </w:r>
      <w:r>
        <w:rPr>
          <w:spacing w:val="22"/>
          <w:sz w:val="20"/>
        </w:rPr>
        <w:t> </w:t>
      </w:r>
      <w:r>
        <w:rPr>
          <w:sz w:val="20"/>
        </w:rPr>
        <w:t>[35],</w:t>
      </w:r>
      <w:r>
        <w:rPr>
          <w:spacing w:val="22"/>
          <w:sz w:val="20"/>
        </w:rPr>
        <w:t> </w:t>
      </w:r>
      <w:r>
        <w:rPr>
          <w:sz w:val="20"/>
        </w:rPr>
        <w:t>[38]</w:t>
      </w:r>
      <w:r>
        <w:rPr>
          <w:spacing w:val="22"/>
          <w:sz w:val="20"/>
        </w:rPr>
        <w:t> </w:t>
      </w:r>
      <w:r>
        <w:rPr>
          <w:sz w:val="20"/>
        </w:rPr>
        <w:t>and</w:t>
      </w:r>
      <w:r>
        <w:rPr>
          <w:spacing w:val="22"/>
          <w:sz w:val="20"/>
        </w:rPr>
        <w:t> </w:t>
      </w:r>
      <w:r>
        <w:rPr>
          <w:spacing w:val="-2"/>
          <w:sz w:val="20"/>
        </w:rPr>
        <w:t>[74].</w:t>
      </w:r>
    </w:p>
    <w:p>
      <w:pPr>
        <w:pStyle w:val="BodyText"/>
        <w:spacing w:line="227" w:lineRule="exact"/>
        <w:ind w:left="705"/>
      </w:pPr>
      <w:r>
        <w:rPr/>
        <w:t>See above, para.7-</w:t>
      </w:r>
      <w:r>
        <w:rPr>
          <w:spacing w:val="-4"/>
        </w:rPr>
        <w:t>010.</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5024">
            <wp:simplePos x="0" y="0"/>
            <wp:positionH relativeFrom="page">
              <wp:posOffset>1257846</wp:posOffset>
            </wp:positionH>
            <wp:positionV relativeFrom="paragraph">
              <wp:posOffset>160187</wp:posOffset>
            </wp:positionV>
            <wp:extent cx="107988" cy="107988"/>
            <wp:effectExtent l="0" t="0" r="0" b="0"/>
            <wp:wrapNone/>
            <wp:docPr id="57" name="Image 57"/>
            <wp:cNvGraphicFramePr>
              <a:graphicFrameLocks/>
            </wp:cNvGraphicFramePr>
            <a:graphic>
              <a:graphicData uri="http://schemas.openxmlformats.org/drawingml/2006/picture">
                <pic:pic>
                  <pic:nvPicPr>
                    <pic:cNvPr id="57" name="Image 5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26" w:id="228"/>
      <w:bookmarkEnd w:id="228"/>
      <w:r>
        <w:rPr/>
      </w:r>
      <w:hyperlink w:history="true" w:anchor="_bookmark122">
        <w:r>
          <w:rPr>
            <w:color w:val="005DA1"/>
            <w:spacing w:val="-4"/>
            <w:sz w:val="14"/>
            <w:u w:val="single" w:color="005DA1"/>
          </w:rPr>
          <w:t>114</w:t>
        </w:r>
      </w:hyperlink>
      <w:r>
        <w:rPr>
          <w:spacing w:val="-4"/>
          <w:sz w:val="14"/>
        </w:rPr>
        <w:t>.</w:t>
      </w:r>
    </w:p>
    <w:p>
      <w:pPr>
        <w:spacing w:line="235" w:lineRule="auto" w:before="212"/>
        <w:ind w:left="165" w:right="89" w:firstLine="170"/>
        <w:jc w:val="left"/>
        <w:rPr>
          <w:sz w:val="20"/>
        </w:rPr>
      </w:pPr>
      <w:r>
        <w:rPr/>
        <w:br w:type="column"/>
      </w:r>
      <w:r>
        <w:rPr>
          <w:rFonts w:ascii="Arial" w:hAnsi="Arial"/>
          <w:i/>
          <w:sz w:val="20"/>
        </w:rPr>
        <w:t>Cramaso LLP v Viscount Reidhaven’s Trustees [2014] UKSC 9, [2014] 2 W.L.R. 317 </w:t>
      </w:r>
      <w:r>
        <w:rPr>
          <w:sz w:val="20"/>
        </w:rPr>
        <w:t>at [20]. On inducement see Vol.I, paras 7-035 et seq.</w:t>
      </w:r>
    </w:p>
    <w:p>
      <w:pPr>
        <w:spacing w:after="0" w:line="235" w:lineRule="auto"/>
        <w:jc w:val="left"/>
        <w:rPr>
          <w:sz w:val="20"/>
        </w:rPr>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5536">
            <wp:simplePos x="0" y="0"/>
            <wp:positionH relativeFrom="page">
              <wp:posOffset>1257846</wp:posOffset>
            </wp:positionH>
            <wp:positionV relativeFrom="paragraph">
              <wp:posOffset>160346</wp:posOffset>
            </wp:positionV>
            <wp:extent cx="107988" cy="107988"/>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27" w:id="229"/>
      <w:bookmarkEnd w:id="229"/>
      <w:r>
        <w:rPr/>
      </w:r>
      <w:hyperlink w:history="true" w:anchor="_bookmark123">
        <w:r>
          <w:rPr>
            <w:color w:val="005DA1"/>
            <w:spacing w:val="-4"/>
            <w:sz w:val="14"/>
            <w:u w:val="single" w:color="005DA1"/>
          </w:rPr>
          <w:t>115</w:t>
        </w:r>
      </w:hyperlink>
      <w:r>
        <w:rPr>
          <w:spacing w:val="-4"/>
          <w:sz w:val="14"/>
        </w:rPr>
        <w:t>.</w:t>
      </w:r>
    </w:p>
    <w:p>
      <w:pPr>
        <w:spacing w:line="235" w:lineRule="auto" w:before="212"/>
        <w:ind w:left="165" w:right="168" w:firstLine="170"/>
        <w:jc w:val="both"/>
        <w:rPr>
          <w:sz w:val="20"/>
        </w:rPr>
      </w:pPr>
      <w:r>
        <w:rPr/>
        <w:br w:type="column"/>
      </w:r>
      <w:r>
        <w:rPr>
          <w:rFonts w:ascii="Arial"/>
          <w:i/>
          <w:sz w:val="20"/>
        </w:rPr>
        <w:t>Mortgage Express v Countrywide Surveyors Ltd [2016] EWHC 224 (Ch) </w:t>
      </w:r>
      <w:r>
        <w:rPr>
          <w:sz w:val="20"/>
        </w:rPr>
        <w:t>at [194], referring </w:t>
      </w:r>
      <w:r>
        <w:rPr>
          <w:sz w:val="20"/>
        </w:rPr>
        <w:t>to </w:t>
      </w:r>
      <w:r>
        <w:rPr>
          <w:rFonts w:ascii="Arial"/>
          <w:i/>
          <w:sz w:val="20"/>
        </w:rPr>
        <w:t>Arnison v Smith (1889) 41 Ch. D. 348, 370, 373 </w:t>
      </w:r>
      <w:r>
        <w:rPr>
          <w:sz w:val="20"/>
        </w:rPr>
        <w:t>and </w:t>
      </w:r>
      <w:r>
        <w:rPr>
          <w:rFonts w:ascii="Arial"/>
          <w:i/>
          <w:sz w:val="20"/>
        </w:rPr>
        <w:t>Abu Dhabi Investment Company v H Clarkson and Co Ltd [2007] EWHC 1267 (Comm)</w:t>
      </w:r>
      <w:r>
        <w:rPr>
          <w:sz w:val="20"/>
        </w:rPr>
        <w:t>.</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bookmarkStart w:name="_bookmark228" w:id="230"/>
      <w:bookmarkEnd w:id="230"/>
      <w:r>
        <w:rPr/>
      </w:r>
      <w:hyperlink w:history="true" w:anchor="_bookmark124">
        <w:r>
          <w:rPr>
            <w:color w:val="005DA1"/>
            <w:spacing w:val="-4"/>
            <w:position w:val="5"/>
            <w:sz w:val="14"/>
            <w:u w:val="single" w:color="005DA1"/>
          </w:rPr>
          <w:t>116</w:t>
        </w:r>
      </w:hyperlink>
      <w:r>
        <w:rPr>
          <w:spacing w:val="-4"/>
          <w:position w:val="5"/>
          <w:sz w:val="14"/>
        </w:rPr>
        <w:t>.</w:t>
      </w:r>
      <w:r>
        <w:rPr>
          <w:position w:val="5"/>
          <w:sz w:val="14"/>
        </w:rPr>
        <w:tab/>
      </w:r>
      <w:r>
        <w:rPr>
          <w:sz w:val="20"/>
        </w:rPr>
        <w:t>Above, para.7-</w:t>
      </w:r>
      <w:r>
        <w:rPr>
          <w:spacing w:val="-4"/>
          <w:sz w:val="20"/>
        </w:rPr>
        <w:t>021.</w:t>
      </w:r>
    </w:p>
    <w:p>
      <w:pPr>
        <w:pStyle w:val="BodyText"/>
        <w:spacing w:before="5"/>
      </w:pPr>
    </w:p>
    <w:p>
      <w:pPr>
        <w:tabs>
          <w:tab w:pos="705" w:val="left" w:leader="none"/>
        </w:tabs>
        <w:spacing w:before="0"/>
        <w:ind w:left="165" w:right="0" w:firstLine="0"/>
        <w:jc w:val="left"/>
        <w:rPr>
          <w:sz w:val="20"/>
        </w:rPr>
      </w:pPr>
      <w:bookmarkStart w:name="_bookmark229" w:id="231"/>
      <w:bookmarkEnd w:id="231"/>
      <w:r>
        <w:rPr/>
      </w:r>
      <w:hyperlink w:history="true" w:anchor="_bookmark125">
        <w:r>
          <w:rPr>
            <w:color w:val="005DA1"/>
            <w:spacing w:val="-4"/>
            <w:position w:val="5"/>
            <w:sz w:val="14"/>
            <w:u w:val="single" w:color="005DA1"/>
          </w:rPr>
          <w:t>117</w:t>
        </w:r>
      </w:hyperlink>
      <w:r>
        <w:rPr>
          <w:spacing w:val="-4"/>
          <w:position w:val="5"/>
          <w:sz w:val="14"/>
        </w:rPr>
        <w:t>.</w:t>
      </w:r>
      <w:r>
        <w:rPr>
          <w:position w:val="5"/>
          <w:sz w:val="14"/>
        </w:rPr>
        <w:tab/>
      </w:r>
      <w:r>
        <w:rPr>
          <w:rFonts w:ascii="Arial"/>
          <w:i/>
          <w:sz w:val="20"/>
        </w:rPr>
        <w:t>Davies v London Provincial Marine Insurance Co (1878) 8 Ch. D. </w:t>
      </w:r>
      <w:r>
        <w:rPr>
          <w:rFonts w:ascii="Arial"/>
          <w:i/>
          <w:spacing w:val="-4"/>
          <w:sz w:val="20"/>
        </w:rPr>
        <w:t>469</w:t>
      </w:r>
      <w:r>
        <w:rPr>
          <w:spacing w:val="-4"/>
          <w:sz w:val="20"/>
        </w:rPr>
        <w:t>.</w:t>
      </w:r>
    </w:p>
    <w:p>
      <w:pPr>
        <w:pStyle w:val="BodyText"/>
        <w:spacing w:before="9"/>
      </w:pPr>
    </w:p>
    <w:p>
      <w:pPr>
        <w:spacing w:line="235" w:lineRule="auto" w:before="0"/>
        <w:ind w:left="705" w:right="167" w:hanging="541"/>
        <w:jc w:val="both"/>
        <w:rPr>
          <w:sz w:val="20"/>
        </w:rPr>
      </w:pPr>
      <w:bookmarkStart w:name="_bookmark230" w:id="232"/>
      <w:bookmarkEnd w:id="232"/>
      <w:r>
        <w:rPr/>
      </w:r>
      <w:hyperlink w:history="true" w:anchor="_bookmark126">
        <w:r>
          <w:rPr>
            <w:color w:val="005DA1"/>
            <w:position w:val="5"/>
            <w:sz w:val="14"/>
            <w:u w:val="single" w:color="005DA1"/>
          </w:rPr>
          <w:t>118</w:t>
        </w:r>
      </w:hyperlink>
      <w:r>
        <w:rPr>
          <w:position w:val="5"/>
          <w:sz w:val="14"/>
        </w:rPr>
        <w:t>.</w:t>
      </w:r>
      <w:r>
        <w:rPr>
          <w:spacing w:val="80"/>
          <w:position w:val="5"/>
          <w:sz w:val="14"/>
        </w:rPr>
        <w:t>  </w:t>
      </w:r>
      <w:r>
        <w:rPr>
          <w:rFonts w:ascii="Arial" w:hAnsi="Arial"/>
          <w:i/>
          <w:sz w:val="20"/>
        </w:rPr>
        <w:t>Ray v Sempers [1974] A.C. 370</w:t>
      </w:r>
      <w:r>
        <w:rPr>
          <w:sz w:val="20"/>
        </w:rPr>
        <w:t>. But contrast </w:t>
      </w:r>
      <w:r>
        <w:rPr>
          <w:rFonts w:ascii="Arial" w:hAnsi="Arial"/>
          <w:i/>
          <w:sz w:val="20"/>
        </w:rPr>
        <w:t>Wales v Wadham [1977] 1 W.L.R. 199, 211 </w:t>
      </w:r>
      <w:r>
        <w:rPr>
          <w:sz w:val="20"/>
        </w:rPr>
        <w:t>(wife not obliged to reveal change of intention not to marry; overruled on another ground </w:t>
      </w:r>
      <w:r>
        <w:rPr>
          <w:sz w:val="20"/>
        </w:rPr>
        <w:t>but</w:t>
      </w:r>
      <w:r>
        <w:rPr>
          <w:spacing w:val="40"/>
          <w:sz w:val="20"/>
        </w:rPr>
        <w:t> </w:t>
      </w:r>
      <w:r>
        <w:rPr>
          <w:sz w:val="20"/>
        </w:rPr>
        <w:t>apparent approval given to the decision on this point, </w:t>
      </w:r>
      <w:r>
        <w:rPr>
          <w:rFonts w:ascii="Arial" w:hAnsi="Arial"/>
          <w:i/>
          <w:sz w:val="20"/>
        </w:rPr>
        <w:t>Livesey v Jenkins [1985] A.C. 424, 439</w:t>
      </w:r>
      <w:r>
        <w:rPr>
          <w:sz w:val="20"/>
        </w:rPr>
        <w:t>); see Cartwright, </w:t>
      </w:r>
      <w:r>
        <w:rPr>
          <w:rFonts w:ascii="Arial" w:hAnsi="Arial"/>
          <w:i/>
          <w:sz w:val="20"/>
        </w:rPr>
        <w:t>Unequal Bargaining</w:t>
      </w:r>
      <w:r>
        <w:rPr>
          <w:sz w:val="20"/>
        </w:rPr>
        <w:t>, pp.84–88.</w:t>
      </w:r>
    </w:p>
    <w:p>
      <w:pPr>
        <w:pStyle w:val="BodyText"/>
        <w:spacing w:before="4"/>
      </w:pPr>
    </w:p>
    <w:p>
      <w:pPr>
        <w:pStyle w:val="BodyText"/>
        <w:tabs>
          <w:tab w:pos="705" w:val="left" w:leader="none"/>
        </w:tabs>
        <w:spacing w:before="1"/>
        <w:ind w:left="165"/>
      </w:pPr>
      <w:bookmarkStart w:name="_bookmark231" w:id="233"/>
      <w:bookmarkEnd w:id="233"/>
      <w:r>
        <w:rPr/>
      </w:r>
      <w:hyperlink w:history="true" w:anchor="_bookmark127">
        <w:r>
          <w:rPr>
            <w:color w:val="005DA1"/>
            <w:spacing w:val="-4"/>
            <w:position w:val="5"/>
            <w:sz w:val="14"/>
            <w:u w:val="single" w:color="005DA1"/>
          </w:rPr>
          <w:t>119</w:t>
        </w:r>
      </w:hyperlink>
      <w:r>
        <w:rPr>
          <w:spacing w:val="-4"/>
          <w:position w:val="5"/>
          <w:sz w:val="14"/>
        </w:rPr>
        <w:t>.</w:t>
      </w:r>
      <w:r>
        <w:rPr>
          <w:position w:val="5"/>
          <w:sz w:val="14"/>
        </w:rPr>
        <w:tab/>
      </w:r>
      <w:r>
        <w:rPr/>
        <w:t>This is dealt with fully below, paras 7-075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232" w:id="234"/>
      <w:bookmarkEnd w:id="234"/>
      <w:r>
        <w:rPr/>
      </w:r>
      <w:hyperlink w:history="true" w:anchor="_bookmark128">
        <w:r>
          <w:rPr>
            <w:color w:val="005DA1"/>
            <w:spacing w:val="-4"/>
            <w:position w:val="5"/>
            <w:sz w:val="14"/>
            <w:u w:val="single" w:color="005DA1"/>
          </w:rPr>
          <w:t>120</w:t>
        </w:r>
      </w:hyperlink>
      <w:r>
        <w:rPr>
          <w:spacing w:val="-4"/>
          <w:position w:val="5"/>
          <w:sz w:val="14"/>
        </w:rPr>
        <w:t>.</w:t>
      </w:r>
      <w:r>
        <w:rPr>
          <w:position w:val="5"/>
          <w:sz w:val="14"/>
        </w:rPr>
        <w:tab/>
      </w:r>
      <w:r>
        <w:rPr>
          <w:rFonts w:ascii="Arial"/>
          <w:i/>
          <w:sz w:val="20"/>
        </w:rPr>
        <w:t>Corner v Munday [1987] C.L.Y. </w:t>
      </w:r>
      <w:r>
        <w:rPr>
          <w:rFonts w:ascii="Arial"/>
          <w:i/>
          <w:spacing w:val="-4"/>
          <w:sz w:val="20"/>
        </w:rPr>
        <w:t>479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33" w:id="235"/>
      <w:bookmarkEnd w:id="235"/>
      <w:r>
        <w:rPr/>
      </w:r>
      <w:hyperlink w:history="true" w:anchor="_bookmark129">
        <w:r>
          <w:rPr>
            <w:color w:val="005DA1"/>
            <w:spacing w:val="-4"/>
            <w:position w:val="5"/>
            <w:sz w:val="14"/>
            <w:u w:val="single" w:color="005DA1"/>
          </w:rPr>
          <w:t>121</w:t>
        </w:r>
      </w:hyperlink>
      <w:r>
        <w:rPr>
          <w:spacing w:val="-4"/>
          <w:position w:val="5"/>
          <w:sz w:val="14"/>
        </w:rPr>
        <w:t>.</w:t>
      </w:r>
      <w:r>
        <w:rPr>
          <w:position w:val="5"/>
          <w:sz w:val="14"/>
        </w:rPr>
        <w:tab/>
      </w:r>
      <w:r>
        <w:rPr>
          <w:rFonts w:ascii="Arial"/>
          <w:i/>
          <w:sz w:val="20"/>
        </w:rPr>
        <w:t>Briess v Woolley [1954] A.C. </w:t>
      </w:r>
      <w:r>
        <w:rPr>
          <w:rFonts w:ascii="Arial"/>
          <w:i/>
          <w:spacing w:val="-4"/>
          <w:sz w:val="20"/>
        </w:rPr>
        <w:t>333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34" w:id="236"/>
      <w:bookmarkEnd w:id="236"/>
      <w:r>
        <w:rPr/>
      </w:r>
      <w:hyperlink w:history="true" w:anchor="_bookmark130">
        <w:r>
          <w:rPr>
            <w:color w:val="005DA1"/>
            <w:spacing w:val="-4"/>
            <w:position w:val="5"/>
            <w:sz w:val="14"/>
            <w:u w:val="single" w:color="005DA1"/>
          </w:rPr>
          <w:t>122</w:t>
        </w:r>
      </w:hyperlink>
      <w:r>
        <w:rPr>
          <w:spacing w:val="-4"/>
          <w:position w:val="5"/>
          <w:sz w:val="14"/>
        </w:rPr>
        <w:t>.</w:t>
      </w:r>
      <w:r>
        <w:rPr>
          <w:position w:val="5"/>
          <w:sz w:val="14"/>
        </w:rPr>
        <w:tab/>
      </w:r>
      <w:r>
        <w:rPr>
          <w:rFonts w:ascii="Arial" w:hAnsi="Arial"/>
          <w:i/>
          <w:sz w:val="20"/>
        </w:rPr>
        <w:t>Cramaso LLP v Viscount Reidhaven’s Trustees [2014] UKSC 9, [2014] 2 W.L.R. </w:t>
      </w:r>
      <w:r>
        <w:rPr>
          <w:rFonts w:ascii="Arial" w:hAnsi="Arial"/>
          <w:i/>
          <w:spacing w:val="-4"/>
          <w:sz w:val="20"/>
        </w:rPr>
        <w:t>317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35" w:id="237"/>
      <w:bookmarkEnd w:id="237"/>
      <w:r>
        <w:rPr/>
      </w:r>
      <w:hyperlink w:history="true" w:anchor="_bookmark131">
        <w:r>
          <w:rPr>
            <w:color w:val="005DA1"/>
            <w:spacing w:val="-4"/>
            <w:position w:val="5"/>
            <w:sz w:val="14"/>
            <w:u w:val="single" w:color="005DA1"/>
          </w:rPr>
          <w:t>123</w:t>
        </w:r>
      </w:hyperlink>
      <w:r>
        <w:rPr>
          <w:spacing w:val="-4"/>
          <w:position w:val="5"/>
          <w:sz w:val="14"/>
        </w:rPr>
        <w:t>.</w:t>
      </w:r>
      <w:r>
        <w:rPr>
          <w:position w:val="5"/>
          <w:sz w:val="14"/>
        </w:rPr>
        <w:tab/>
      </w:r>
      <w:r>
        <w:rPr>
          <w:rFonts w:ascii="Arial"/>
          <w:i/>
          <w:sz w:val="20"/>
        </w:rPr>
        <w:t>[2014] UKSC 9</w:t>
      </w:r>
      <w:r>
        <w:rPr>
          <w:rFonts w:ascii="Arial"/>
          <w:i/>
          <w:spacing w:val="-1"/>
          <w:sz w:val="20"/>
        </w:rPr>
        <w:t> </w:t>
      </w:r>
      <w:r>
        <w:rPr>
          <w:sz w:val="20"/>
        </w:rPr>
        <w:t>at </w:t>
      </w:r>
      <w:r>
        <w:rPr>
          <w:spacing w:val="-2"/>
          <w:sz w:val="20"/>
        </w:rPr>
        <w:t>[56].</w:t>
      </w:r>
    </w:p>
    <w:p>
      <w:pPr>
        <w:pStyle w:val="BodyText"/>
        <w:spacing w:before="5"/>
      </w:pPr>
    </w:p>
    <w:p>
      <w:pPr>
        <w:pStyle w:val="BodyText"/>
        <w:tabs>
          <w:tab w:pos="705" w:val="left" w:leader="none"/>
        </w:tabs>
        <w:ind w:left="165"/>
      </w:pPr>
      <w:bookmarkStart w:name="_bookmark236" w:id="238"/>
      <w:bookmarkEnd w:id="238"/>
      <w:r>
        <w:rPr/>
      </w:r>
      <w:hyperlink w:history="true" w:anchor="_bookmark132">
        <w:r>
          <w:rPr>
            <w:color w:val="005DA1"/>
            <w:spacing w:val="-4"/>
            <w:position w:val="5"/>
            <w:sz w:val="14"/>
            <w:u w:val="single" w:color="005DA1"/>
          </w:rPr>
          <w:t>124</w:t>
        </w:r>
      </w:hyperlink>
      <w:r>
        <w:rPr>
          <w:spacing w:val="-4"/>
          <w:position w:val="5"/>
          <w:sz w:val="14"/>
        </w:rPr>
        <w:t>.</w:t>
      </w:r>
      <w:r>
        <w:rPr>
          <w:position w:val="5"/>
          <w:sz w:val="14"/>
        </w:rPr>
        <w:tab/>
      </w:r>
      <w:r>
        <w:rPr/>
        <w:t>Below,</w:t>
      </w:r>
      <w:r>
        <w:rPr>
          <w:spacing w:val="-2"/>
        </w:rPr>
        <w:t> </w:t>
      </w:r>
      <w:r>
        <w:rPr/>
        <w:t>paras 7-157 et </w:t>
      </w:r>
      <w:r>
        <w:rPr>
          <w:spacing w:val="-4"/>
        </w:rPr>
        <w:t>seq.</w:t>
      </w:r>
    </w:p>
    <w:p>
      <w:pPr>
        <w:pStyle w:val="BodyText"/>
        <w:spacing w:before="8"/>
      </w:pPr>
    </w:p>
    <w:p>
      <w:pPr>
        <w:tabs>
          <w:tab w:pos="705" w:val="left" w:leader="none"/>
        </w:tabs>
        <w:spacing w:line="235" w:lineRule="auto" w:before="1"/>
        <w:ind w:left="705" w:right="168" w:hanging="541"/>
        <w:jc w:val="left"/>
        <w:rPr>
          <w:sz w:val="20"/>
        </w:rPr>
      </w:pPr>
      <w:bookmarkStart w:name="_bookmark237" w:id="239"/>
      <w:bookmarkEnd w:id="239"/>
      <w:r>
        <w:rPr/>
      </w:r>
      <w:hyperlink w:history="true" w:anchor="_bookmark133">
        <w:r>
          <w:rPr>
            <w:color w:val="005DA1"/>
            <w:spacing w:val="-4"/>
            <w:position w:val="5"/>
            <w:sz w:val="14"/>
            <w:u w:val="single" w:color="005DA1"/>
          </w:rPr>
          <w:t>125</w:t>
        </w:r>
      </w:hyperlink>
      <w:r>
        <w:rPr>
          <w:spacing w:val="-4"/>
          <w:position w:val="5"/>
          <w:sz w:val="14"/>
        </w:rPr>
        <w:t>.</w:t>
      </w:r>
      <w:r>
        <w:rPr>
          <w:position w:val="5"/>
          <w:sz w:val="14"/>
        </w:rPr>
        <w:tab/>
      </w:r>
      <w:r>
        <w:rPr>
          <w:rFonts w:ascii="Arial" w:hAnsi="Arial"/>
          <w:i/>
          <w:sz w:val="20"/>
        </w:rPr>
        <w:t>Cory v Patton (1872) L.R. 7 Q.B. 304</w:t>
      </w:r>
      <w:r>
        <w:rPr>
          <w:sz w:val="20"/>
        </w:rPr>
        <w:t>; cf. </w:t>
      </w:r>
      <w:r>
        <w:rPr>
          <w:rFonts w:ascii="Arial" w:hAnsi="Arial"/>
          <w:i/>
          <w:sz w:val="20"/>
        </w:rPr>
        <w:t>Berger and Light Diffusers Pty Ltd v Pollock [1973] </w:t>
      </w:r>
      <w:r>
        <w:rPr>
          <w:rFonts w:ascii="Arial" w:hAnsi="Arial"/>
          <w:i/>
          <w:sz w:val="20"/>
        </w:rPr>
        <w:t>2 Lloyd’s Rep. 442, 460–461</w:t>
      </w:r>
      <w:r>
        <w:rPr>
          <w:sz w:val="20"/>
        </w:rPr>
        <w:t>.</w:t>
      </w:r>
    </w:p>
    <w:p>
      <w:pPr>
        <w:pStyle w:val="BodyText"/>
        <w:spacing w:before="5"/>
      </w:pPr>
    </w:p>
    <w:p>
      <w:pPr>
        <w:tabs>
          <w:tab w:pos="705" w:val="left" w:leader="none"/>
        </w:tabs>
        <w:spacing w:before="0"/>
        <w:ind w:left="165" w:right="0" w:firstLine="0"/>
        <w:jc w:val="left"/>
        <w:rPr>
          <w:sz w:val="20"/>
        </w:rPr>
      </w:pPr>
      <w:bookmarkStart w:name="_bookmark238" w:id="240"/>
      <w:bookmarkEnd w:id="240"/>
      <w:r>
        <w:rPr/>
      </w:r>
      <w:hyperlink w:history="true" w:anchor="_bookmark134">
        <w:r>
          <w:rPr>
            <w:color w:val="005DA1"/>
            <w:spacing w:val="-4"/>
            <w:position w:val="5"/>
            <w:sz w:val="14"/>
            <w:u w:val="single" w:color="005DA1"/>
          </w:rPr>
          <w:t>126</w:t>
        </w:r>
      </w:hyperlink>
      <w:r>
        <w:rPr>
          <w:spacing w:val="-4"/>
          <w:position w:val="5"/>
          <w:sz w:val="14"/>
        </w:rPr>
        <w:t>.</w:t>
      </w:r>
      <w:r>
        <w:rPr>
          <w:position w:val="5"/>
          <w:sz w:val="14"/>
        </w:rPr>
        <w:tab/>
      </w:r>
      <w:r>
        <w:rPr>
          <w:rFonts w:ascii="Arial"/>
          <w:i/>
          <w:sz w:val="20"/>
        </w:rPr>
        <w:t>[2000] 1 All E.R. (Comm) </w:t>
      </w:r>
      <w:r>
        <w:rPr>
          <w:rFonts w:ascii="Arial"/>
          <w:i/>
          <w:spacing w:val="-4"/>
          <w:sz w:val="20"/>
        </w:rPr>
        <w:t>573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39" w:id="241"/>
      <w:bookmarkEnd w:id="241"/>
      <w:r>
        <w:rPr/>
      </w:r>
      <w:hyperlink w:history="true" w:anchor="_bookmark135">
        <w:r>
          <w:rPr>
            <w:color w:val="005DA1"/>
            <w:spacing w:val="-4"/>
            <w:position w:val="5"/>
            <w:sz w:val="14"/>
            <w:u w:val="single" w:color="005DA1"/>
          </w:rPr>
          <w:t>127</w:t>
        </w:r>
      </w:hyperlink>
      <w:r>
        <w:rPr>
          <w:spacing w:val="-4"/>
          <w:position w:val="5"/>
          <w:sz w:val="14"/>
        </w:rPr>
        <w:t>.</w:t>
      </w:r>
      <w:r>
        <w:rPr>
          <w:position w:val="5"/>
          <w:sz w:val="14"/>
        </w:rPr>
        <w:tab/>
      </w:r>
      <w:r>
        <w:rPr>
          <w:sz w:val="20"/>
        </w:rPr>
        <w:t>See para.7-</w:t>
      </w:r>
      <w:r>
        <w:rPr>
          <w:spacing w:val="-4"/>
          <w:sz w:val="20"/>
        </w:rPr>
        <w:t>041.</w:t>
      </w:r>
    </w:p>
    <w:p>
      <w:pPr>
        <w:pStyle w:val="BodyText"/>
        <w:spacing w:before="9"/>
      </w:pPr>
    </w:p>
    <w:p>
      <w:pPr>
        <w:tabs>
          <w:tab w:pos="705" w:val="left" w:leader="none"/>
        </w:tabs>
        <w:spacing w:line="235" w:lineRule="auto" w:before="0"/>
        <w:ind w:left="705" w:right="167" w:hanging="541"/>
        <w:jc w:val="left"/>
        <w:rPr>
          <w:rFonts w:ascii="Arial" w:hAnsi="Arial"/>
          <w:i/>
          <w:sz w:val="20"/>
        </w:rPr>
      </w:pPr>
      <w:bookmarkStart w:name="_bookmark240" w:id="242"/>
      <w:bookmarkEnd w:id="242"/>
      <w:r>
        <w:rPr/>
      </w:r>
      <w:hyperlink w:history="true" w:anchor="_bookmark136">
        <w:r>
          <w:rPr>
            <w:color w:val="005DA1"/>
            <w:spacing w:val="-4"/>
            <w:position w:val="5"/>
            <w:sz w:val="14"/>
            <w:u w:val="single" w:color="005DA1"/>
          </w:rPr>
          <w:t>128</w:t>
        </w:r>
      </w:hyperlink>
      <w:r>
        <w:rPr>
          <w:spacing w:val="-4"/>
          <w:position w:val="5"/>
          <w:sz w:val="14"/>
        </w:rPr>
        <w:t>.</w:t>
      </w:r>
      <w:r>
        <w:rPr>
          <w:position w:val="5"/>
          <w:sz w:val="14"/>
        </w:rPr>
        <w:tab/>
      </w:r>
      <w:r>
        <w:rPr>
          <w:rFonts w:ascii="Arial" w:hAnsi="Arial"/>
          <w:i/>
          <w:sz w:val="20"/>
        </w:rPr>
        <w:t>Raiffeisen</w:t>
      </w:r>
      <w:r>
        <w:rPr>
          <w:rFonts w:ascii="Arial" w:hAnsi="Arial"/>
          <w:i/>
          <w:spacing w:val="40"/>
          <w:sz w:val="20"/>
        </w:rPr>
        <w:t> </w:t>
      </w:r>
      <w:r>
        <w:rPr>
          <w:rFonts w:ascii="Arial" w:hAnsi="Arial"/>
          <w:i/>
          <w:sz w:val="20"/>
        </w:rPr>
        <w:t>Zentralbank</w:t>
      </w:r>
      <w:r>
        <w:rPr>
          <w:rFonts w:ascii="Arial" w:hAnsi="Arial"/>
          <w:i/>
          <w:spacing w:val="40"/>
          <w:sz w:val="20"/>
        </w:rPr>
        <w:t> </w:t>
      </w:r>
      <w:r>
        <w:rPr>
          <w:rFonts w:ascii="Arial" w:hAnsi="Arial"/>
          <w:i/>
          <w:sz w:val="20"/>
        </w:rPr>
        <w:t>Osterreich</w:t>
      </w:r>
      <w:r>
        <w:rPr>
          <w:rFonts w:ascii="Arial" w:hAnsi="Arial"/>
          <w:i/>
          <w:spacing w:val="40"/>
          <w:sz w:val="20"/>
        </w:rPr>
        <w:t> </w:t>
      </w:r>
      <w:r>
        <w:rPr>
          <w:rFonts w:ascii="Arial" w:hAnsi="Arial"/>
          <w:i/>
          <w:sz w:val="20"/>
        </w:rPr>
        <w:t>AG</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Royal</w:t>
      </w:r>
      <w:r>
        <w:rPr>
          <w:rFonts w:ascii="Arial" w:hAnsi="Arial"/>
          <w:i/>
          <w:spacing w:val="40"/>
          <w:sz w:val="20"/>
        </w:rPr>
        <w:t> </w:t>
      </w:r>
      <w:r>
        <w:rPr>
          <w:rFonts w:ascii="Arial" w:hAnsi="Arial"/>
          <w:i/>
          <w:sz w:val="20"/>
        </w:rPr>
        <w:t>Bank</w:t>
      </w:r>
      <w:r>
        <w:rPr>
          <w:rFonts w:ascii="Arial" w:hAnsi="Arial"/>
          <w:i/>
          <w:spacing w:val="40"/>
          <w:sz w:val="20"/>
        </w:rPr>
        <w:t> </w:t>
      </w:r>
      <w:r>
        <w:rPr>
          <w:rFonts w:ascii="Arial" w:hAnsi="Arial"/>
          <w:i/>
          <w:sz w:val="20"/>
        </w:rPr>
        <w:t>of</w:t>
      </w:r>
      <w:r>
        <w:rPr>
          <w:rFonts w:ascii="Arial" w:hAnsi="Arial"/>
          <w:i/>
          <w:spacing w:val="40"/>
          <w:sz w:val="20"/>
        </w:rPr>
        <w:t> </w:t>
      </w:r>
      <w:r>
        <w:rPr>
          <w:rFonts w:ascii="Arial" w:hAnsi="Arial"/>
          <w:i/>
          <w:sz w:val="20"/>
        </w:rPr>
        <w:t>Scotland</w:t>
      </w:r>
      <w:r>
        <w:rPr>
          <w:rFonts w:ascii="Arial" w:hAnsi="Arial"/>
          <w:i/>
          <w:spacing w:val="40"/>
          <w:sz w:val="20"/>
        </w:rPr>
        <w:t> </w:t>
      </w:r>
      <w:r>
        <w:rPr>
          <w:rFonts w:ascii="Arial" w:hAnsi="Arial"/>
          <w:i/>
          <w:sz w:val="20"/>
        </w:rPr>
        <w:t>Plc</w:t>
      </w:r>
      <w:r>
        <w:rPr>
          <w:rFonts w:ascii="Arial" w:hAnsi="Arial"/>
          <w:i/>
          <w:spacing w:val="40"/>
          <w:sz w:val="20"/>
        </w:rPr>
        <w:t> </w:t>
      </w:r>
      <w:r>
        <w:rPr>
          <w:rFonts w:ascii="Arial" w:hAnsi="Arial"/>
          <w:i/>
          <w:sz w:val="20"/>
        </w:rPr>
        <w:t>[2010]</w:t>
      </w:r>
      <w:r>
        <w:rPr>
          <w:rFonts w:ascii="Arial" w:hAnsi="Arial"/>
          <w:i/>
          <w:spacing w:val="40"/>
          <w:sz w:val="20"/>
        </w:rPr>
        <w:t> </w:t>
      </w:r>
      <w:r>
        <w:rPr>
          <w:rFonts w:ascii="Arial" w:hAnsi="Arial"/>
          <w:i/>
          <w:sz w:val="20"/>
        </w:rPr>
        <w:t>EWHC</w:t>
      </w:r>
      <w:r>
        <w:rPr>
          <w:rFonts w:ascii="Arial" w:hAnsi="Arial"/>
          <w:i/>
          <w:spacing w:val="40"/>
          <w:sz w:val="20"/>
        </w:rPr>
        <w:t> </w:t>
      </w:r>
      <w:r>
        <w:rPr>
          <w:rFonts w:ascii="Arial" w:hAnsi="Arial"/>
          <w:i/>
          <w:sz w:val="20"/>
        </w:rPr>
        <w:t>1392</w:t>
      </w:r>
      <w:r>
        <w:rPr>
          <w:rFonts w:ascii="Arial" w:hAnsi="Arial"/>
          <w:i/>
          <w:spacing w:val="80"/>
          <w:sz w:val="20"/>
        </w:rPr>
        <w:t> </w:t>
      </w:r>
      <w:r>
        <w:rPr>
          <w:rFonts w:ascii="Arial" w:hAnsi="Arial"/>
          <w:i/>
          <w:sz w:val="20"/>
        </w:rPr>
        <w:t>(Comm), [2011]</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123</w:t>
      </w:r>
      <w:r>
        <w:rPr>
          <w:rFonts w:ascii="Arial" w:hAnsi="Arial"/>
          <w:i/>
          <w:spacing w:val="2"/>
          <w:sz w:val="20"/>
        </w:rPr>
        <w:t> </w:t>
      </w:r>
      <w:r>
        <w:rPr>
          <w:sz w:val="20"/>
        </w:rPr>
        <w:t>at</w:t>
      </w:r>
      <w:r>
        <w:rPr>
          <w:spacing w:val="2"/>
          <w:sz w:val="20"/>
        </w:rPr>
        <w:t> </w:t>
      </w:r>
      <w:r>
        <w:rPr>
          <w:sz w:val="20"/>
        </w:rPr>
        <w:t>[149];</w:t>
      </w:r>
      <w:r>
        <w:rPr>
          <w:spacing w:val="2"/>
          <w:sz w:val="20"/>
        </w:rPr>
        <w:t> </w:t>
      </w:r>
      <w:r>
        <w:rPr>
          <w:rFonts w:ascii="Arial" w:hAnsi="Arial"/>
          <w:i/>
          <w:sz w:val="20"/>
        </w:rPr>
        <w:t>Bonham-Carter</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SITU</w:t>
      </w:r>
      <w:r>
        <w:rPr>
          <w:rFonts w:ascii="Arial" w:hAnsi="Arial"/>
          <w:i/>
          <w:spacing w:val="2"/>
          <w:sz w:val="20"/>
        </w:rPr>
        <w:t> </w:t>
      </w:r>
      <w:r>
        <w:rPr>
          <w:rFonts w:ascii="Arial" w:hAnsi="Arial"/>
          <w:i/>
          <w:sz w:val="20"/>
        </w:rPr>
        <w:t>Ventures</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[2012]</w:t>
      </w:r>
      <w:r>
        <w:rPr>
          <w:rFonts w:ascii="Arial" w:hAnsi="Arial"/>
          <w:i/>
          <w:spacing w:val="2"/>
          <w:sz w:val="20"/>
        </w:rPr>
        <w:t> </w:t>
      </w:r>
      <w:r>
        <w:rPr>
          <w:rFonts w:ascii="Arial" w:hAnsi="Arial"/>
          <w:i/>
          <w:spacing w:val="-4"/>
          <w:sz w:val="20"/>
        </w:rPr>
        <w:t>EWHC</w:t>
      </w:r>
    </w:p>
    <w:p>
      <w:pPr>
        <w:spacing w:line="225" w:lineRule="exact" w:before="0"/>
        <w:ind w:left="705" w:right="0" w:firstLine="0"/>
        <w:jc w:val="left"/>
        <w:rPr>
          <w:sz w:val="20"/>
        </w:rPr>
      </w:pPr>
      <w:r>
        <w:rPr>
          <w:rFonts w:ascii="Arial"/>
          <w:i/>
          <w:sz w:val="20"/>
        </w:rPr>
        <w:t>3589 (Ch)</w:t>
      </w:r>
      <w:r>
        <w:rPr>
          <w:rFonts w:ascii="Arial"/>
          <w:i/>
          <w:spacing w:val="-1"/>
          <w:sz w:val="20"/>
        </w:rPr>
        <w:t> </w:t>
      </w:r>
      <w:r>
        <w:rPr>
          <w:sz w:val="20"/>
        </w:rPr>
        <w:t>at </w:t>
      </w:r>
      <w:r>
        <w:rPr>
          <w:spacing w:val="-2"/>
          <w:sz w:val="20"/>
        </w:rPr>
        <w:t>[120].</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539" w:right="2543"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3879936">
                <wp:simplePos x="0" y="0"/>
                <wp:positionH relativeFrom="page">
                  <wp:posOffset>4851958</wp:posOffset>
                </wp:positionH>
                <wp:positionV relativeFrom="paragraph">
                  <wp:posOffset>377436</wp:posOffset>
                </wp:positionV>
                <wp:extent cx="4254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36544" from="382.044006pt,29.719406pt" to="385.380006pt,29.719406pt" stroked="true" strokeweight=".428pt" strokecolor="#005da1">
                <v:stroke dashstyle="solid"/>
                <w10:wrap type="none"/>
              </v:line>
            </w:pict>
          </mc:Fallback>
        </mc:AlternateContent>
      </w:r>
      <w:r>
        <w:rPr>
          <w:rFonts w:ascii="Arial"/>
          <w:b/>
          <w:sz w:val="24"/>
        </w:rPr>
        <w:t>Part 2 - Formation of Contract Chapter 7 - Misrepresentation</w:t>
      </w:r>
      <w:r>
        <w:rPr>
          <w:rFonts w:ascii="Arial"/>
          <w:b/>
          <w:spacing w:val="-1"/>
          <w:sz w:val="24"/>
        </w:rPr>
        <w:t> </w:t>
      </w:r>
      <w:r>
        <w:rPr>
          <w:rFonts w:ascii="Arial"/>
          <w:b/>
          <w:color w:val="005DA1"/>
          <w:spacing w:val="-10"/>
          <w:position w:val="11"/>
          <w:sz w:val="12"/>
        </w:rPr>
        <w:t>1</w:t>
      </w:r>
    </w:p>
    <w:p>
      <w:pPr>
        <w:spacing w:before="2"/>
        <w:ind w:left="940" w:right="943" w:firstLine="0"/>
        <w:jc w:val="center"/>
        <w:rPr>
          <w:rFonts w:ascii="Arial"/>
          <w:b/>
          <w:sz w:val="24"/>
        </w:rPr>
      </w:pPr>
      <w:r>
        <w:rPr>
          <w:rFonts w:ascii="Arial"/>
          <w:b/>
          <w:sz w:val="24"/>
        </w:rPr>
        <w:t>Section 2. - What Constitutes Effective </w:t>
      </w:r>
      <w:r>
        <w:rPr>
          <w:rFonts w:ascii="Arial"/>
          <w:b/>
          <w:spacing w:val="-2"/>
          <w:sz w:val="24"/>
        </w:rPr>
        <w:t>Misrepresentation</w:t>
      </w:r>
    </w:p>
    <w:p>
      <w:pPr>
        <w:pStyle w:val="ListParagraph"/>
        <w:numPr>
          <w:ilvl w:val="0"/>
          <w:numId w:val="1"/>
        </w:numPr>
        <w:tabs>
          <w:tab w:pos="2598" w:val="left" w:leader="none"/>
        </w:tabs>
        <w:spacing w:line="240" w:lineRule="auto" w:before="194" w:after="0"/>
        <w:ind w:left="2598" w:right="0" w:hanging="373"/>
        <w:jc w:val="left"/>
        <w:rPr>
          <w:b/>
          <w:sz w:val="24"/>
        </w:rPr>
      </w:pPr>
      <w:r>
        <w:rPr>
          <w:b/>
          <w:sz w:val="24"/>
        </w:rPr>
        <w:t>- Statement By or Known to Other </w:t>
      </w:r>
      <w:r>
        <w:rPr>
          <w:b/>
          <w:spacing w:val="-2"/>
          <w:sz w:val="24"/>
        </w:rPr>
        <w:t>Party</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The </w:t>
      </w:r>
      <w:r>
        <w:rPr>
          <w:rFonts w:ascii="Arial"/>
          <w:b/>
          <w:spacing w:val="-2"/>
          <w:sz w:val="18"/>
        </w:rPr>
        <w:t>representor</w:t>
      </w:r>
    </w:p>
    <w:p>
      <w:pPr>
        <w:pStyle w:val="BodyText"/>
        <w:spacing w:before="41"/>
        <w:rPr>
          <w:rFonts w:ascii="Arial"/>
          <w:b/>
          <w:sz w:val="18"/>
        </w:rPr>
      </w:pPr>
    </w:p>
    <w:p>
      <w:pPr>
        <w:pStyle w:val="Heading2"/>
        <w:ind w:left="164"/>
      </w:pPr>
      <w:r>
        <w:rPr/>
        <w:t>7-</w:t>
      </w:r>
      <w:r>
        <w:rPr>
          <w:spacing w:val="-5"/>
        </w:rPr>
        <w:t>024</w:t>
      </w:r>
    </w:p>
    <w:p>
      <w:pPr>
        <w:pStyle w:val="BodyText"/>
        <w:spacing w:line="235" w:lineRule="auto" w:before="203"/>
        <w:ind w:left="164" w:right="167"/>
        <w:jc w:val="both"/>
      </w:pPr>
      <w:r>
        <w:rPr/>
        <w:t>In order to ground relief to a person who has entered into a contract as a result of a</w:t>
      </w:r>
      <w:r>
        <w:rPr>
          <w:spacing w:val="40"/>
        </w:rPr>
        <w:t> </w:t>
      </w:r>
      <w:bookmarkStart w:name="_bookmark241" w:id="243"/>
      <w:bookmarkEnd w:id="243"/>
      <w:r>
        <w:rPr/>
        <w:t>misrepresentation,</w:t>
      </w:r>
      <w:r>
        <w:rPr/>
        <w:t> it is normally necessary that the misrepresentation should have been made </w:t>
      </w:r>
      <w:r>
        <w:rPr/>
        <w:t>either </w:t>
      </w:r>
      <w:bookmarkStart w:name="_bookmark242" w:id="244"/>
      <w:bookmarkEnd w:id="244"/>
      <w:r>
        <w:rPr/>
        <w:t>by</w:t>
      </w:r>
      <w:r>
        <w:rPr/>
        <w:t> the other party to the contract, </w:t>
      </w:r>
      <w:r>
        <w:rPr>
          <w:color w:val="005DA1"/>
          <w:u w:val="single" w:color="005DA1"/>
          <w:vertAlign w:val="superscript"/>
        </w:rPr>
        <w:t>129</w:t>
      </w:r>
      <w:r>
        <w:rPr>
          <w:color w:val="005DA1"/>
          <w:vertAlign w:val="baseline"/>
        </w:rPr>
        <w:t> </w:t>
      </w:r>
      <w:r>
        <w:rPr>
          <w:vertAlign w:val="baseline"/>
        </w:rPr>
        <w:t>or by his agent acting within the scope of his authority,</w:t>
      </w:r>
      <w:r>
        <w:rPr>
          <w:spacing w:val="-1"/>
          <w:vertAlign w:val="baseline"/>
        </w:rPr>
        <w:t> </w:t>
      </w:r>
      <w:r>
        <w:rPr>
          <w:color w:val="005DA1"/>
          <w:u w:val="single" w:color="005DA1"/>
          <w:vertAlign w:val="superscript"/>
        </w:rPr>
        <w:t>130</w:t>
      </w:r>
      <w:r>
        <w:rPr>
          <w:color w:val="005DA1"/>
          <w:vertAlign w:val="baseline"/>
        </w:rPr>
        <w:t> </w:t>
      </w:r>
      <w:r>
        <w:rPr>
          <w:vertAlign w:val="baseline"/>
        </w:rPr>
        <w:t>or that the</w:t>
      </w:r>
      <w:r>
        <w:rPr>
          <w:spacing w:val="-1"/>
          <w:vertAlign w:val="baseline"/>
        </w:rPr>
        <w:t> </w:t>
      </w:r>
      <w:r>
        <w:rPr>
          <w:vertAlign w:val="baseline"/>
        </w:rPr>
        <w:t>other</w:t>
      </w:r>
      <w:r>
        <w:rPr>
          <w:spacing w:val="-1"/>
          <w:vertAlign w:val="baseline"/>
        </w:rPr>
        <w:t> </w:t>
      </w:r>
      <w:r>
        <w:rPr>
          <w:vertAlign w:val="baseline"/>
        </w:rPr>
        <w:t>party</w:t>
      </w:r>
      <w:r>
        <w:rPr>
          <w:spacing w:val="-1"/>
          <w:vertAlign w:val="baseline"/>
        </w:rPr>
        <w:t> </w:t>
      </w:r>
      <w:r>
        <w:rPr>
          <w:vertAlign w:val="baseline"/>
        </w:rPr>
        <w:t>had</w:t>
      </w:r>
      <w:r>
        <w:rPr>
          <w:spacing w:val="-1"/>
          <w:vertAlign w:val="baseline"/>
        </w:rPr>
        <w:t> </w:t>
      </w:r>
      <w:r>
        <w:rPr>
          <w:vertAlign w:val="baseline"/>
        </w:rPr>
        <w:t>notice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misrepresentation.</w:t>
      </w:r>
      <w:r>
        <w:rPr>
          <w:spacing w:val="-2"/>
          <w:vertAlign w:val="baseline"/>
        </w:rPr>
        <w:t> </w:t>
      </w:r>
      <w:r>
        <w:rPr>
          <w:color w:val="005DA1"/>
          <w:u w:val="single" w:color="005DA1"/>
          <w:vertAlign w:val="superscript"/>
        </w:rPr>
        <w:t>131</w:t>
      </w:r>
      <w:r>
        <w:rPr>
          <w:color w:val="005DA1"/>
          <w:spacing w:val="-1"/>
          <w:vertAlign w:val="baseline"/>
        </w:rPr>
        <w:t> </w:t>
      </w:r>
      <w:r>
        <w:rPr>
          <w:vertAlign w:val="baseline"/>
        </w:rPr>
        <w:t>A</w:t>
      </w:r>
      <w:r>
        <w:rPr>
          <w:spacing w:val="-1"/>
          <w:vertAlign w:val="baseline"/>
        </w:rPr>
        <w:t> </w:t>
      </w:r>
      <w:r>
        <w:rPr>
          <w:vertAlign w:val="baseline"/>
        </w:rPr>
        <w:t>person</w:t>
      </w:r>
      <w:r>
        <w:rPr>
          <w:spacing w:val="-1"/>
          <w:vertAlign w:val="baseline"/>
        </w:rPr>
        <w:t> </w:t>
      </w:r>
      <w:r>
        <w:rPr>
          <w:vertAlign w:val="baseline"/>
        </w:rPr>
        <w:t>who</w:t>
      </w:r>
      <w:r>
        <w:rPr>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induced</w:t>
      </w:r>
      <w:r>
        <w:rPr>
          <w:spacing w:val="-1"/>
          <w:vertAlign w:val="baseline"/>
        </w:rPr>
        <w:t> </w:t>
      </w:r>
      <w:r>
        <w:rPr>
          <w:vertAlign w:val="baseline"/>
        </w:rPr>
        <w:t>to</w:t>
      </w:r>
      <w:r>
        <w:rPr>
          <w:spacing w:val="-1"/>
          <w:vertAlign w:val="baseline"/>
        </w:rPr>
        <w:t> </w:t>
      </w:r>
      <w:r>
        <w:rPr>
          <w:vertAlign w:val="baseline"/>
        </w:rPr>
        <w:t>enter</w:t>
      </w:r>
      <w:r>
        <w:rPr>
          <w:spacing w:val="-1"/>
          <w:vertAlign w:val="baseline"/>
        </w:rPr>
        <w:t> </w:t>
      </w:r>
      <w:r>
        <w:rPr>
          <w:vertAlign w:val="baseline"/>
        </w:rPr>
        <w:t>into</w:t>
      </w:r>
      <w:r>
        <w:rPr>
          <w:spacing w:val="-1"/>
          <w:vertAlign w:val="baseline"/>
        </w:rPr>
        <w:t> </w:t>
      </w:r>
      <w:r>
        <w:rPr>
          <w:vertAlign w:val="baseline"/>
        </w:rPr>
        <w:t>a </w:t>
      </w:r>
      <w:bookmarkStart w:name="_bookmark243" w:id="245"/>
      <w:bookmarkEnd w:id="245"/>
      <w:r>
        <w:rPr>
          <w:vertAlign w:val="baseline"/>
        </w:rPr>
        <w:t>contract</w:t>
      </w:r>
      <w:r>
        <w:rPr>
          <w:vertAlign w:val="baseline"/>
        </w:rPr>
        <w:t> with A as a result of a misrepresentation made to him by B and of which A had no notice has no</w:t>
      </w:r>
      <w:r>
        <w:rPr>
          <w:spacing w:val="-2"/>
          <w:vertAlign w:val="baseline"/>
        </w:rPr>
        <w:t> </w:t>
      </w:r>
      <w:r>
        <w:rPr>
          <w:vertAlign w:val="baseline"/>
        </w:rPr>
        <w:t>ground</w:t>
      </w:r>
      <w:r>
        <w:rPr>
          <w:spacing w:val="-2"/>
          <w:vertAlign w:val="baseline"/>
        </w:rPr>
        <w:t> </w:t>
      </w:r>
      <w:r>
        <w:rPr>
          <w:vertAlign w:val="baseline"/>
        </w:rPr>
        <w:t>of</w:t>
      </w:r>
      <w:r>
        <w:rPr>
          <w:spacing w:val="-2"/>
          <w:vertAlign w:val="baseline"/>
        </w:rPr>
        <w:t> </w:t>
      </w:r>
      <w:r>
        <w:rPr>
          <w:vertAlign w:val="baseline"/>
        </w:rPr>
        <w:t>relief</w:t>
      </w:r>
      <w:r>
        <w:rPr>
          <w:spacing w:val="-2"/>
          <w:vertAlign w:val="baseline"/>
        </w:rPr>
        <w:t> </w:t>
      </w:r>
      <w:r>
        <w:rPr>
          <w:vertAlign w:val="baseline"/>
        </w:rPr>
        <w:t>against</w:t>
      </w:r>
      <w:r>
        <w:rPr>
          <w:spacing w:val="-2"/>
          <w:vertAlign w:val="baseline"/>
        </w:rPr>
        <w:t> </w:t>
      </w:r>
      <w:r>
        <w:rPr>
          <w:vertAlign w:val="baseline"/>
        </w:rPr>
        <w:t>A</w:t>
      </w:r>
      <w:r>
        <w:rPr>
          <w:spacing w:val="-2"/>
          <w:vertAlign w:val="baseline"/>
        </w:rPr>
        <w:t> </w:t>
      </w:r>
      <w:r>
        <w:rPr>
          <w:vertAlign w:val="baseline"/>
        </w:rPr>
        <w:t>unless</w:t>
      </w:r>
      <w:r>
        <w:rPr>
          <w:spacing w:val="-2"/>
          <w:vertAlign w:val="baseline"/>
        </w:rPr>
        <w:t> </w:t>
      </w:r>
      <w:r>
        <w:rPr>
          <w:vertAlign w:val="baseline"/>
        </w:rPr>
        <w:t>B</w:t>
      </w:r>
      <w:r>
        <w:rPr>
          <w:spacing w:val="-2"/>
          <w:vertAlign w:val="baseline"/>
        </w:rPr>
        <w:t> </w:t>
      </w:r>
      <w:r>
        <w:rPr>
          <w:vertAlign w:val="baseline"/>
        </w:rPr>
        <w:t>was</w:t>
      </w:r>
      <w:r>
        <w:rPr>
          <w:spacing w:val="-2"/>
          <w:vertAlign w:val="baseline"/>
        </w:rPr>
        <w:t> </w:t>
      </w:r>
      <w:r>
        <w:rPr>
          <w:vertAlign w:val="baseline"/>
        </w:rPr>
        <w:t>A’s</w:t>
      </w:r>
      <w:r>
        <w:rPr>
          <w:spacing w:val="-2"/>
          <w:vertAlign w:val="baseline"/>
        </w:rPr>
        <w:t> </w:t>
      </w:r>
      <w:r>
        <w:rPr>
          <w:vertAlign w:val="baseline"/>
        </w:rPr>
        <w:t>agent.</w:t>
      </w:r>
      <w:r>
        <w:rPr>
          <w:spacing w:val="-3"/>
          <w:vertAlign w:val="baseline"/>
        </w:rPr>
        <w:t> </w:t>
      </w:r>
      <w:r>
        <w:rPr>
          <w:color w:val="005DA1"/>
          <w:u w:val="single" w:color="005DA1"/>
          <w:vertAlign w:val="superscript"/>
        </w:rPr>
        <w:t>132</w:t>
      </w:r>
      <w:r>
        <w:rPr>
          <w:color w:val="005DA1"/>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however,</w:t>
      </w:r>
      <w:r>
        <w:rPr>
          <w:spacing w:val="-2"/>
          <w:vertAlign w:val="baseline"/>
        </w:rPr>
        <w:t> </w:t>
      </w:r>
      <w:r>
        <w:rPr>
          <w:vertAlign w:val="baseline"/>
        </w:rPr>
        <w:t>not</w:t>
      </w:r>
      <w:r>
        <w:rPr>
          <w:spacing w:val="-2"/>
          <w:vertAlign w:val="baseline"/>
        </w:rPr>
        <w:t> </w:t>
      </w:r>
      <w:r>
        <w:rPr>
          <w:vertAlign w:val="baseline"/>
        </w:rPr>
        <w:t>necessary</w:t>
      </w:r>
      <w:r>
        <w:rPr>
          <w:spacing w:val="-2"/>
          <w:vertAlign w:val="baseline"/>
        </w:rPr>
        <w:t> </w:t>
      </w:r>
      <w:r>
        <w:rPr>
          <w:vertAlign w:val="baseline"/>
        </w:rPr>
        <w:t>to</w:t>
      </w:r>
      <w:r>
        <w:rPr>
          <w:spacing w:val="-2"/>
          <w:vertAlign w:val="baseline"/>
        </w:rPr>
        <w:t> </w:t>
      </w:r>
      <w:r>
        <w:rPr>
          <w:vertAlign w:val="baseline"/>
        </w:rPr>
        <w:t>show</w:t>
      </w:r>
      <w:r>
        <w:rPr>
          <w:spacing w:val="-2"/>
          <w:vertAlign w:val="baseline"/>
        </w:rPr>
        <w:t> </w:t>
      </w:r>
      <w:r>
        <w:rPr>
          <w:vertAlign w:val="baseline"/>
        </w:rPr>
        <w:t>that</w:t>
      </w:r>
      <w:r>
        <w:rPr>
          <w:spacing w:val="-2"/>
          <w:vertAlign w:val="baseline"/>
        </w:rPr>
        <w:t> </w:t>
      </w:r>
      <w:r>
        <w:rPr>
          <w:vertAlign w:val="baseline"/>
        </w:rPr>
        <w:t>the misrepresentor was the agent of the other contracting party for the purpose of concluding the</w:t>
      </w:r>
      <w:r>
        <w:rPr>
          <w:spacing w:val="40"/>
          <w:vertAlign w:val="baseline"/>
        </w:rPr>
        <w:t> </w:t>
      </w:r>
      <w:r>
        <w:rPr>
          <w:vertAlign w:val="baseline"/>
        </w:rPr>
        <w:t>contract, or even for the purpose of conducting negotiations; it is sufficient if the misrepresentor was </w:t>
      </w:r>
      <w:bookmarkStart w:name="_bookmark244" w:id="246"/>
      <w:bookmarkEnd w:id="246"/>
      <w:r>
        <w:rPr>
          <w:vertAlign w:val="baseline"/>
        </w:rPr>
        <w:t>the</w:t>
      </w:r>
      <w:r>
        <w:rPr>
          <w:vertAlign w:val="baseline"/>
        </w:rPr>
        <w:t> agent of the other contracting party simply for the purpose of passing on the misrepresentation to the misrepresentee. </w:t>
      </w:r>
      <w:r>
        <w:rPr>
          <w:color w:val="005DA1"/>
          <w:u w:val="single" w:color="005DA1"/>
          <w:vertAlign w:val="superscript"/>
        </w:rPr>
        <w:t>133</w:t>
      </w:r>
    </w:p>
    <w:p>
      <w:pPr>
        <w:pStyle w:val="BodyText"/>
      </w:pPr>
    </w:p>
    <w:p>
      <w:pPr>
        <w:pStyle w:val="BodyText"/>
        <w:spacing w:before="34"/>
      </w:pPr>
    </w:p>
    <w:p>
      <w:pPr>
        <w:spacing w:before="1"/>
        <w:ind w:left="165" w:right="0" w:firstLine="0"/>
        <w:jc w:val="left"/>
        <w:rPr>
          <w:rFonts w:ascii="Arial"/>
          <w:b/>
          <w:sz w:val="18"/>
        </w:rPr>
      </w:pPr>
      <w:r>
        <w:rPr>
          <w:rFonts w:ascii="Arial"/>
          <w:b/>
          <w:sz w:val="18"/>
        </w:rPr>
        <w:t>Third party representor may be liable in </w:t>
      </w:r>
      <w:r>
        <w:rPr>
          <w:rFonts w:ascii="Arial"/>
          <w:b/>
          <w:spacing w:val="-2"/>
          <w:sz w:val="18"/>
        </w:rPr>
        <w:t>damages</w:t>
      </w:r>
    </w:p>
    <w:p>
      <w:pPr>
        <w:pStyle w:val="BodyText"/>
        <w:spacing w:before="41"/>
        <w:rPr>
          <w:rFonts w:ascii="Arial"/>
          <w:b/>
          <w:sz w:val="18"/>
        </w:rPr>
      </w:pPr>
    </w:p>
    <w:p>
      <w:pPr>
        <w:pStyle w:val="Heading2"/>
      </w:pPr>
      <w:r>
        <w:rPr/>
        <w:t>7-</w:t>
      </w:r>
      <w:r>
        <w:rPr>
          <w:spacing w:val="-5"/>
        </w:rPr>
        <w:t>025</w:t>
      </w:r>
    </w:p>
    <w:p>
      <w:pPr>
        <w:pStyle w:val="BodyText"/>
        <w:spacing w:line="235" w:lineRule="auto" w:before="203"/>
        <w:ind w:left="164" w:right="167"/>
        <w:jc w:val="both"/>
      </w:pPr>
      <w:r>
        <w:rPr/>
        <w:t>Although, apart from cases of notice or of agency, a misrepresentation made by one person will </w:t>
      </w:r>
      <w:r>
        <w:rPr/>
        <w:t>not found relief against another, nevertheless where the representee has been induced to enter into a </w:t>
      </w:r>
      <w:bookmarkStart w:name="_bookmark245" w:id="247"/>
      <w:bookmarkEnd w:id="247"/>
      <w:r>
        <w:rPr/>
        <w:t>contract</w:t>
      </w:r>
      <w:r>
        <w:rPr>
          <w:spacing w:val="-2"/>
        </w:rPr>
        <w:t> </w:t>
      </w:r>
      <w:r>
        <w:rPr/>
        <w:t>with</w:t>
      </w:r>
      <w:r>
        <w:rPr>
          <w:spacing w:val="-2"/>
        </w:rPr>
        <w:t> </w:t>
      </w:r>
      <w:r>
        <w:rPr/>
        <w:t>a</w:t>
      </w:r>
      <w:r>
        <w:rPr>
          <w:spacing w:val="-2"/>
        </w:rPr>
        <w:t> </w:t>
      </w:r>
      <w:r>
        <w:rPr/>
        <w:t>third</w:t>
      </w:r>
      <w:r>
        <w:rPr>
          <w:spacing w:val="-2"/>
        </w:rPr>
        <w:t> </w:t>
      </w:r>
      <w:r>
        <w:rPr/>
        <w:t>party,</w:t>
      </w:r>
      <w:r>
        <w:rPr>
          <w:spacing w:val="-2"/>
        </w:rPr>
        <w:t> </w:t>
      </w:r>
      <w:r>
        <w:rPr/>
        <w:t>the</w:t>
      </w:r>
      <w:r>
        <w:rPr>
          <w:spacing w:val="-2"/>
        </w:rPr>
        <w:t> </w:t>
      </w:r>
      <w:r>
        <w:rPr/>
        <w:t>representor</w:t>
      </w:r>
      <w:r>
        <w:rPr>
          <w:spacing w:val="-2"/>
        </w:rPr>
        <w:t> </w:t>
      </w:r>
      <w:r>
        <w:rPr/>
        <w:t>may</w:t>
      </w:r>
      <w:r>
        <w:rPr>
          <w:spacing w:val="-2"/>
        </w:rPr>
        <w:t> </w:t>
      </w:r>
      <w:r>
        <w:rPr/>
        <w:t>himself</w:t>
      </w:r>
      <w:r>
        <w:rPr>
          <w:spacing w:val="-2"/>
        </w:rPr>
        <w:t> </w:t>
      </w:r>
      <w:r>
        <w:rPr/>
        <w:t>be</w:t>
      </w:r>
      <w:r>
        <w:rPr>
          <w:spacing w:val="-2"/>
        </w:rPr>
        <w:t> </w:t>
      </w:r>
      <w:r>
        <w:rPr/>
        <w:t>liable</w:t>
      </w:r>
      <w:r>
        <w:rPr>
          <w:spacing w:val="-2"/>
        </w:rPr>
        <w:t> </w:t>
      </w:r>
      <w:r>
        <w:rPr/>
        <w:t>in</w:t>
      </w:r>
      <w:r>
        <w:rPr>
          <w:spacing w:val="-2"/>
        </w:rPr>
        <w:t> </w:t>
      </w:r>
      <w:r>
        <w:rPr/>
        <w:t>damages</w:t>
      </w:r>
      <w:r>
        <w:rPr>
          <w:spacing w:val="-2"/>
        </w:rPr>
        <w:t> </w:t>
      </w:r>
      <w:r>
        <w:rPr/>
        <w:t>to</w:t>
      </w:r>
      <w:r>
        <w:rPr>
          <w:spacing w:val="-2"/>
        </w:rPr>
        <w:t> </w:t>
      </w:r>
      <w:r>
        <w:rPr/>
        <w:t>the</w:t>
      </w:r>
      <w:r>
        <w:rPr>
          <w:spacing w:val="-2"/>
        </w:rPr>
        <w:t> </w:t>
      </w:r>
      <w:r>
        <w:rPr/>
        <w:t>representee,</w:t>
      </w:r>
      <w:r>
        <w:rPr>
          <w:spacing w:val="-2"/>
        </w:rPr>
        <w:t> </w:t>
      </w:r>
      <w:r>
        <w:rPr/>
        <w:t>either </w:t>
      </w:r>
      <w:bookmarkStart w:name="_bookmark246" w:id="248"/>
      <w:bookmarkEnd w:id="248"/>
      <w:r>
        <w:rPr/>
        <w:t>in</w:t>
      </w:r>
      <w:r>
        <w:rPr/>
        <w:t> tort, if the misrepresentation was fraudulent or, in some cases, negligent </w:t>
      </w:r>
      <w:r>
        <w:rPr>
          <w:color w:val="005DA1"/>
          <w:u w:val="single" w:color="005DA1"/>
          <w:vertAlign w:val="superscript"/>
        </w:rPr>
        <w:t>134</w:t>
      </w:r>
      <w:r>
        <w:rPr>
          <w:color w:val="005DA1"/>
          <w:vertAlign w:val="baseline"/>
        </w:rPr>
        <w:t> </w:t>
      </w:r>
      <w:r>
        <w:rPr>
          <w:vertAlign w:val="baseline"/>
        </w:rPr>
        <w:t>or on the grounds of a collateral contract between the representor and the representee. </w:t>
      </w:r>
      <w:r>
        <w:rPr>
          <w:color w:val="005DA1"/>
          <w:u w:val="single" w:color="005DA1"/>
          <w:vertAlign w:val="superscript"/>
        </w:rPr>
        <w:t>135</w:t>
      </w:r>
    </w:p>
    <w:p>
      <w:pPr>
        <w:pStyle w:val="BodyText"/>
      </w:pPr>
    </w:p>
    <w:p>
      <w:pPr>
        <w:pStyle w:val="BodyText"/>
        <w:spacing w:before="36"/>
      </w:pPr>
    </w:p>
    <w:p>
      <w:pPr>
        <w:spacing w:before="0"/>
        <w:ind w:left="165" w:right="0" w:firstLine="0"/>
        <w:jc w:val="left"/>
        <w:rPr>
          <w:rFonts w:ascii="Arial"/>
          <w:b/>
          <w:sz w:val="18"/>
        </w:rPr>
      </w:pPr>
      <w:r>
        <w:rPr>
          <w:rFonts w:ascii="Arial"/>
          <w:b/>
          <w:sz w:val="18"/>
        </w:rPr>
        <w:t>Sureties and misrepresentation by </w:t>
      </w:r>
      <w:r>
        <w:rPr>
          <w:rFonts w:ascii="Arial"/>
          <w:b/>
          <w:spacing w:val="-2"/>
          <w:sz w:val="18"/>
        </w:rPr>
        <w:t>debtor</w:t>
      </w:r>
    </w:p>
    <w:p>
      <w:pPr>
        <w:pStyle w:val="BodyText"/>
        <w:spacing w:before="41"/>
        <w:rPr>
          <w:rFonts w:ascii="Arial"/>
          <w:b/>
          <w:sz w:val="18"/>
        </w:rPr>
      </w:pPr>
    </w:p>
    <w:p>
      <w:pPr>
        <w:pStyle w:val="Heading2"/>
        <w:spacing w:before="1"/>
      </w:pPr>
      <w:r>
        <w:rPr/>
        <w:t>7-</w:t>
      </w:r>
      <w:r>
        <w:rPr>
          <w:spacing w:val="-5"/>
        </w:rPr>
        <w:t>026</w:t>
      </w:r>
    </w:p>
    <w:p>
      <w:pPr>
        <w:pStyle w:val="BodyText"/>
        <w:spacing w:line="235" w:lineRule="auto" w:before="202"/>
        <w:ind w:left="165" w:right="167"/>
        <w:jc w:val="both"/>
      </w:pPr>
      <w:r>
        <w:rPr/>
        <w:t>In a number of cases a recurring situation has arisen. A husband has wanted to borrow money from a creditor who has refused to proceed without having a guarantee secured by a charge over the </w:t>
      </w:r>
      <w:bookmarkStart w:name="_bookmark247" w:id="249"/>
      <w:bookmarkEnd w:id="249"/>
      <w:r>
        <w:rPr/>
        <w:t>matrimonial</w:t>
      </w:r>
      <w:r>
        <w:rPr/>
        <w:t> home, or similarly a charge without a guarantee, from the wife. The wife’s consent has been secured by misrepresentation </w:t>
      </w:r>
      <w:r>
        <w:rPr>
          <w:color w:val="005DA1"/>
          <w:u w:val="single" w:color="005DA1"/>
          <w:vertAlign w:val="superscript"/>
        </w:rPr>
        <w:t>136</w:t>
      </w:r>
      <w:r>
        <w:rPr>
          <w:color w:val="005DA1"/>
          <w:vertAlign w:val="baseline"/>
        </w:rPr>
        <w:t> </w:t>
      </w:r>
      <w:r>
        <w:rPr>
          <w:vertAlign w:val="baseline"/>
        </w:rPr>
        <w:t>or undue influence </w:t>
      </w:r>
      <w:r>
        <w:rPr>
          <w:color w:val="005DA1"/>
          <w:u w:val="single" w:color="005DA1"/>
          <w:vertAlign w:val="superscript"/>
        </w:rPr>
        <w:t>137</w:t>
      </w:r>
      <w:r>
        <w:rPr>
          <w:color w:val="005DA1"/>
          <w:vertAlign w:val="baseline"/>
        </w:rPr>
        <w:t> </w:t>
      </w:r>
      <w:r>
        <w:rPr>
          <w:vertAlign w:val="baseline"/>
        </w:rPr>
        <w:t>by the husband. Can the creditor</w:t>
      </w:r>
      <w:r>
        <w:rPr>
          <w:spacing w:val="40"/>
          <w:vertAlign w:val="baseline"/>
        </w:rPr>
        <w:t> </w:t>
      </w:r>
      <w:bookmarkStart w:name="_bookmark248" w:id="250"/>
      <w:bookmarkEnd w:id="250"/>
      <w:r>
        <w:rPr>
          <w:vertAlign w:val="baseline"/>
        </w:rPr>
        <w:t>enforce</w:t>
      </w:r>
      <w:r>
        <w:rPr>
          <w:vertAlign w:val="baseline"/>
        </w:rPr>
        <w:t> the guarantee? In a number of cases it was held that if the creditor had “left it to the </w:t>
      </w:r>
      <w:r>
        <w:rPr>
          <w:vertAlign w:val="baseline"/>
        </w:rPr>
        <w:t>husband” </w:t>
      </w:r>
      <w:bookmarkStart w:name="_bookmark249" w:id="251"/>
      <w:bookmarkEnd w:id="251"/>
      <w:r>
        <w:rPr>
          <w:vertAlign w:val="baseline"/>
        </w:rPr>
        <w:t>to</w:t>
      </w:r>
      <w:r>
        <w:rPr>
          <w:vertAlign w:val="baseline"/>
        </w:rPr>
        <w:t> get the wife’s signature, the husband was acting as agent for the creditor </w:t>
      </w:r>
      <w:r>
        <w:rPr>
          <w:color w:val="005DA1"/>
          <w:u w:val="single" w:color="005DA1"/>
          <w:vertAlign w:val="superscript"/>
        </w:rPr>
        <w:t>138</w:t>
      </w:r>
      <w:r>
        <w:rPr>
          <w:color w:val="005DA1"/>
          <w:vertAlign w:val="baseline"/>
        </w:rPr>
        <w:t> </w:t>
      </w:r>
      <w:r>
        <w:rPr>
          <w:vertAlign w:val="baseline"/>
        </w:rPr>
        <w:t>and it was therefore responsible for his misconduct. In </w:t>
      </w:r>
      <w:r>
        <w:rPr>
          <w:rFonts w:ascii="Arial" w:hAnsi="Arial"/>
          <w:i/>
          <w:vertAlign w:val="baseline"/>
        </w:rPr>
        <w:t>Barclays Bank Plc v O’Brien</w:t>
      </w:r>
      <w:r>
        <w:rPr>
          <w:vertAlign w:val="baseline"/>
        </w:rPr>
        <w:t>, </w:t>
      </w:r>
      <w:r>
        <w:rPr>
          <w:color w:val="005DA1"/>
          <w:u w:val="single" w:color="005DA1"/>
          <w:vertAlign w:val="superscript"/>
        </w:rPr>
        <w:t>139</w:t>
      </w:r>
      <w:r>
        <w:rPr>
          <w:color w:val="005DA1"/>
          <w:vertAlign w:val="baseline"/>
        </w:rPr>
        <w:t> </w:t>
      </w:r>
      <w:r>
        <w:rPr>
          <w:vertAlign w:val="baseline"/>
        </w:rPr>
        <w:t>a case where the husband had by misrepresentation secured his wife’s signature to a charge over the matrimonial home to secure the debts of his business, this approach was rejected as artificial. However, the bank was prevented from enforcing the charge on the ground that it had constructive notice of the husband’s misrepresentation even though it had no actual knowledge of it. Lord Browne-Wilkinson, delivering the only full speech</w:t>
      </w:r>
      <w:r>
        <w:rPr>
          <w:spacing w:val="80"/>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House</w:t>
      </w:r>
      <w:r>
        <w:rPr>
          <w:spacing w:val="3"/>
          <w:vertAlign w:val="baseline"/>
        </w:rPr>
        <w:t> </w:t>
      </w:r>
      <w:r>
        <w:rPr>
          <w:vertAlign w:val="baseline"/>
        </w:rPr>
        <w:t>of</w:t>
      </w:r>
      <w:r>
        <w:rPr>
          <w:spacing w:val="3"/>
          <w:vertAlign w:val="baseline"/>
        </w:rPr>
        <w:t> </w:t>
      </w:r>
      <w:r>
        <w:rPr>
          <w:vertAlign w:val="baseline"/>
        </w:rPr>
        <w:t>Lords,</w:t>
      </w:r>
      <w:r>
        <w:rPr>
          <w:spacing w:val="3"/>
          <w:vertAlign w:val="baseline"/>
        </w:rPr>
        <w:t> </w:t>
      </w:r>
      <w:r>
        <w:rPr>
          <w:vertAlign w:val="baseline"/>
        </w:rPr>
        <w:t>pointed</w:t>
      </w:r>
      <w:r>
        <w:rPr>
          <w:spacing w:val="3"/>
          <w:vertAlign w:val="baseline"/>
        </w:rPr>
        <w:t> </w:t>
      </w:r>
      <w:r>
        <w:rPr>
          <w:vertAlign w:val="baseline"/>
        </w:rPr>
        <w:t>out</w:t>
      </w:r>
      <w:r>
        <w:rPr>
          <w:spacing w:val="3"/>
          <w:vertAlign w:val="baseline"/>
        </w:rPr>
        <w:t> </w:t>
      </w:r>
      <w:r>
        <w:rPr>
          <w:vertAlign w:val="baseline"/>
        </w:rPr>
        <w:t>that</w:t>
      </w:r>
      <w:r>
        <w:rPr>
          <w:spacing w:val="3"/>
          <w:vertAlign w:val="baseline"/>
        </w:rPr>
        <w:t> </w:t>
      </w:r>
      <w:r>
        <w:rPr>
          <w:vertAlign w:val="baseline"/>
        </w:rPr>
        <w:t>there</w:t>
      </w:r>
      <w:r>
        <w:rPr>
          <w:spacing w:val="3"/>
          <w:vertAlign w:val="baseline"/>
        </w:rPr>
        <w:t> </w:t>
      </w:r>
      <w:r>
        <w:rPr>
          <w:vertAlign w:val="baseline"/>
        </w:rPr>
        <w:t>is</w:t>
      </w:r>
      <w:r>
        <w:rPr>
          <w:spacing w:val="3"/>
          <w:vertAlign w:val="baseline"/>
        </w:rPr>
        <w:t> </w:t>
      </w:r>
      <w:r>
        <w:rPr>
          <w:vertAlign w:val="baseline"/>
        </w:rPr>
        <w:t>a</w:t>
      </w:r>
      <w:r>
        <w:rPr>
          <w:spacing w:val="3"/>
          <w:vertAlign w:val="baseline"/>
        </w:rPr>
        <w:t> </w:t>
      </w:r>
      <w:r>
        <w:rPr>
          <w:vertAlign w:val="baseline"/>
        </w:rPr>
        <w:t>substantial</w:t>
      </w:r>
      <w:r>
        <w:rPr>
          <w:spacing w:val="3"/>
          <w:vertAlign w:val="baseline"/>
        </w:rPr>
        <w:t> </w:t>
      </w:r>
      <w:r>
        <w:rPr>
          <w:vertAlign w:val="baseline"/>
        </w:rPr>
        <w:t>risk</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wife</w:t>
      </w:r>
      <w:r>
        <w:rPr>
          <w:spacing w:val="3"/>
          <w:vertAlign w:val="baseline"/>
        </w:rPr>
        <w:t> </w:t>
      </w:r>
      <w:r>
        <w:rPr>
          <w:vertAlign w:val="baseline"/>
        </w:rPr>
        <w:t>may</w:t>
      </w:r>
      <w:r>
        <w:rPr>
          <w:spacing w:val="3"/>
          <w:vertAlign w:val="baseline"/>
        </w:rPr>
        <w:t> </w:t>
      </w:r>
      <w:r>
        <w:rPr>
          <w:vertAlign w:val="baseline"/>
        </w:rPr>
        <w:t>act</w:t>
      </w:r>
      <w:r>
        <w:rPr>
          <w:spacing w:val="3"/>
          <w:vertAlign w:val="baseline"/>
        </w:rPr>
        <w:t> </w:t>
      </w:r>
      <w:r>
        <w:rPr>
          <w:vertAlign w:val="baseline"/>
        </w:rPr>
        <w:t>as</w:t>
      </w:r>
      <w:r>
        <w:rPr>
          <w:spacing w:val="3"/>
          <w:vertAlign w:val="baseline"/>
        </w:rPr>
        <w:t> </w:t>
      </w:r>
      <w:r>
        <w:rPr>
          <w:vertAlign w:val="baseline"/>
        </w:rPr>
        <w:t>surety</w:t>
      </w:r>
      <w:r>
        <w:rPr>
          <w:spacing w:val="3"/>
          <w:vertAlign w:val="baseline"/>
        </w:rPr>
        <w:t> </w:t>
      </w:r>
      <w:r>
        <w:rPr>
          <w:spacing w:val="-4"/>
          <w:vertAlign w:val="baseline"/>
        </w:rPr>
        <w:t>when</w:t>
      </w:r>
    </w:p>
    <w:p>
      <w:pPr>
        <w:pStyle w:val="BodyText"/>
        <w:spacing w:after="0" w:line="235" w:lineRule="auto"/>
        <w:jc w:val="both"/>
        <w:sectPr>
          <w:headerReference w:type="default" r:id="rId8"/>
          <w:pgSz w:w="11900" w:h="16840"/>
          <w:pgMar w:header="971" w:footer="0" w:top="1160" w:bottom="280" w:left="1275" w:right="1275"/>
          <w:pgNumType w:start="1"/>
        </w:sectPr>
      </w:pPr>
    </w:p>
    <w:p>
      <w:pPr>
        <w:pStyle w:val="BodyText"/>
        <w:spacing w:before="24"/>
      </w:pPr>
    </w:p>
    <w:p>
      <w:pPr>
        <w:pStyle w:val="BodyText"/>
        <w:spacing w:line="235" w:lineRule="auto" w:before="1"/>
        <w:ind w:left="165" w:right="167"/>
        <w:jc w:val="both"/>
      </w:pPr>
      <w:r>
        <w:rPr/>
        <w:t>the transaction is not to her advantage because of some legal or equitable wrong by the husband. Where the creditor is aware that the debtor and the surety are husband and wife, and the </w:t>
      </w:r>
      <w:r>
        <w:rPr/>
        <w:t>transaction is on its face not to the financial advantage of the surety as well as of the debtor, the creditor will be fixed with constructive notice of any undue influence, misrepresentation or other legal wrong by the </w:t>
      </w:r>
      <w:bookmarkStart w:name="_bookmark250" w:id="252"/>
      <w:bookmarkEnd w:id="252"/>
      <w:r>
        <w:rPr/>
        <w:t>debtor</w:t>
      </w:r>
      <w:r>
        <w:rPr/>
        <w:t> unless it has taken reasonable steps to satisfy itself that the surety has entered into the obligation freely and with knowledge of the true facts. </w:t>
      </w:r>
      <w:r>
        <w:rPr>
          <w:color w:val="005DA1"/>
          <w:u w:val="single" w:color="005DA1"/>
          <w:vertAlign w:val="superscript"/>
        </w:rPr>
        <w:t>140</w:t>
      </w:r>
      <w:r>
        <w:rPr>
          <w:color w:val="005DA1"/>
          <w:vertAlign w:val="baseline"/>
        </w:rPr>
        <w:t> </w:t>
      </w:r>
      <w:r>
        <w:rPr>
          <w:vertAlign w:val="baseline"/>
        </w:rPr>
        <w:t>The decision in </w:t>
      </w:r>
      <w:r>
        <w:rPr>
          <w:rFonts w:ascii="Arial" w:hAnsi="Arial"/>
          <w:i/>
          <w:vertAlign w:val="baseline"/>
        </w:rPr>
        <w:t>Barclays Bank v O’Brien</w:t>
      </w:r>
      <w:r>
        <w:rPr>
          <w:vertAlign w:val="baseline"/>
        </w:rPr>
        <w:t>,</w:t>
      </w:r>
      <w:r>
        <w:rPr>
          <w:spacing w:val="40"/>
          <w:vertAlign w:val="baseline"/>
        </w:rPr>
        <w:t> </w:t>
      </w:r>
      <w:bookmarkStart w:name="_bookmark251" w:id="253"/>
      <w:bookmarkEnd w:id="253"/>
      <w:r>
        <w:rPr>
          <w:vertAlign w:val="baseline"/>
        </w:rPr>
        <w:t>and</w:t>
      </w:r>
      <w:r>
        <w:rPr>
          <w:vertAlign w:val="baseline"/>
        </w:rPr>
        <w:t> many other decisions that followed it, must be read in the light of the subsequent decision of the House of Lords in </w:t>
      </w:r>
      <w:r>
        <w:rPr>
          <w:rFonts w:ascii="Arial" w:hAnsi="Arial"/>
          <w:i/>
          <w:vertAlign w:val="baseline"/>
        </w:rPr>
        <w:t>Royal Bank of Scotland v Etridge (No.2)</w:t>
      </w:r>
      <w:r>
        <w:rPr>
          <w:vertAlign w:val="baseline"/>
        </w:rPr>
        <w:t>. </w:t>
      </w:r>
      <w:r>
        <w:rPr>
          <w:color w:val="005DA1"/>
          <w:u w:val="single" w:color="005DA1"/>
          <w:vertAlign w:val="superscript"/>
        </w:rPr>
        <w:t>141</w:t>
      </w:r>
      <w:r>
        <w:rPr>
          <w:color w:val="005DA1"/>
          <w:vertAlign w:val="baseline"/>
        </w:rPr>
        <w:t> </w:t>
      </w:r>
      <w:r>
        <w:rPr>
          <w:vertAlign w:val="baseline"/>
        </w:rPr>
        <w:t>That case applied a similar approach wherever “the relationship between the surety and the debtor is non-commercial”, and considered in detail the steps that the lender should take if, instead of itself ensuring that the wife was not the victim </w:t>
      </w:r>
      <w:bookmarkStart w:name="_bookmark252" w:id="254"/>
      <w:bookmarkEnd w:id="254"/>
      <w:r>
        <w:rPr>
          <w:vertAlign w:val="baseline"/>
        </w:rPr>
        <w:t>of</w:t>
      </w:r>
      <w:r>
        <w:rPr>
          <w:vertAlign w:val="baseline"/>
        </w:rPr>
        <w:t> misrepresentation or undue influence, it chooses to rely on a confirmation from a solicitor that the </w:t>
      </w:r>
      <w:bookmarkStart w:name="_bookmark253" w:id="255"/>
      <w:bookmarkEnd w:id="255"/>
      <w:r>
        <w:rPr>
          <w:vertAlign w:val="baseline"/>
        </w:rPr>
        <w:t>wife</w:t>
      </w:r>
      <w:r>
        <w:rPr>
          <w:vertAlign w:val="baseline"/>
        </w:rPr>
        <w:t> has received advice. </w:t>
      </w:r>
      <w:r>
        <w:rPr>
          <w:color w:val="005DA1"/>
          <w:u w:val="single" w:color="005DA1"/>
          <w:vertAlign w:val="superscript"/>
        </w:rPr>
        <w:t>142</w:t>
      </w:r>
      <w:r>
        <w:rPr>
          <w:color w:val="005DA1"/>
          <w:vertAlign w:val="baseline"/>
        </w:rPr>
        <w:t> </w:t>
      </w:r>
      <w:r>
        <w:rPr>
          <w:vertAlign w:val="baseline"/>
        </w:rPr>
        <w:t>Since </w:t>
      </w:r>
      <w:r>
        <w:rPr>
          <w:rFonts w:ascii="Arial" w:hAnsi="Arial"/>
          <w:i/>
          <w:vertAlign w:val="baseline"/>
        </w:rPr>
        <w:t>Etridge </w:t>
      </w:r>
      <w:r>
        <w:rPr>
          <w:vertAlign w:val="baseline"/>
        </w:rPr>
        <w:t>and most of the decisions following </w:t>
      </w:r>
      <w:r>
        <w:rPr>
          <w:rFonts w:ascii="Arial" w:hAnsi="Arial"/>
          <w:i/>
          <w:vertAlign w:val="baseline"/>
        </w:rPr>
        <w:t>O’Brien </w:t>
      </w:r>
      <w:r>
        <w:rPr>
          <w:vertAlign w:val="baseline"/>
        </w:rPr>
        <w:t>were cases of alleged undue influence rather than misrepresentation, the topic is treated in detail in Ch.8. </w:t>
      </w:r>
      <w:r>
        <w:rPr>
          <w:color w:val="005DA1"/>
          <w:u w:val="single" w:color="005DA1"/>
          <w:vertAlign w:val="superscript"/>
        </w:rPr>
        <w:t>143</w:t>
      </w:r>
    </w:p>
    <w:p>
      <w:pPr>
        <w:pStyle w:val="BodyText"/>
      </w:pPr>
    </w:p>
    <w:p>
      <w:pPr>
        <w:pStyle w:val="BodyText"/>
        <w:spacing w:before="33"/>
      </w:pPr>
    </w:p>
    <w:p>
      <w:pPr>
        <w:spacing w:before="0"/>
        <w:ind w:left="165" w:right="0" w:firstLine="0"/>
        <w:jc w:val="both"/>
        <w:rPr>
          <w:rFonts w:ascii="Arial"/>
          <w:b/>
          <w:sz w:val="18"/>
        </w:rPr>
      </w:pPr>
      <w:r>
        <w:rPr>
          <w:rFonts w:ascii="Arial"/>
          <w:b/>
          <w:sz w:val="18"/>
        </w:rPr>
        <w:t>Application to cases of </w:t>
      </w:r>
      <w:r>
        <w:rPr>
          <w:rFonts w:ascii="Arial"/>
          <w:b/>
          <w:spacing w:val="-2"/>
          <w:sz w:val="18"/>
        </w:rPr>
        <w:t>misrepresentation</w:t>
      </w:r>
    </w:p>
    <w:p>
      <w:pPr>
        <w:pStyle w:val="BodyText"/>
        <w:spacing w:before="42"/>
        <w:rPr>
          <w:rFonts w:ascii="Arial"/>
          <w:b/>
          <w:sz w:val="18"/>
        </w:rPr>
      </w:pPr>
    </w:p>
    <w:p>
      <w:pPr>
        <w:pStyle w:val="Heading2"/>
      </w:pPr>
      <w:r>
        <w:rPr/>
        <w:t>7-</w:t>
      </w:r>
      <w:r>
        <w:rPr>
          <w:spacing w:val="-5"/>
        </w:rPr>
        <w:t>027</w:t>
      </w:r>
    </w:p>
    <w:p>
      <w:pPr>
        <w:pStyle w:val="BodyText"/>
        <w:spacing w:line="235" w:lineRule="auto" w:before="202"/>
        <w:ind w:left="165" w:right="167"/>
        <w:jc w:val="both"/>
      </w:pPr>
      <w:r>
        <w:rPr/>
        <w:t>As far as cases of misrepresentation by the debtor are concerned, the bank cannot rely on a solicitor to give advice if it has material information which is not made available to the solicitor. Lord Nicholls </w:t>
      </w:r>
      <w:r>
        <w:rPr>
          <w:spacing w:val="-2"/>
        </w:rPr>
        <w:t>said:</w:t>
      </w:r>
    </w:p>
    <w:p>
      <w:pPr>
        <w:pStyle w:val="BodyText"/>
      </w:pPr>
    </w:p>
    <w:p>
      <w:pPr>
        <w:pStyle w:val="BodyText"/>
        <w:spacing w:before="126"/>
      </w:pPr>
    </w:p>
    <w:p>
      <w:pPr>
        <w:pStyle w:val="BodyText"/>
        <w:spacing w:line="235" w:lineRule="auto"/>
        <w:ind w:left="1244" w:right="167"/>
        <w:jc w:val="both"/>
      </w:pPr>
      <w:r>
        <w:rPr/>
        <w:t>“…</w:t>
      </w:r>
      <w:r>
        <w:rPr>
          <w:spacing w:val="-1"/>
        </w:rPr>
        <w:t> </w:t>
      </w:r>
      <w:r>
        <w:rPr/>
        <w:t>the</w:t>
      </w:r>
      <w:r>
        <w:rPr>
          <w:spacing w:val="-1"/>
        </w:rPr>
        <w:t> </w:t>
      </w:r>
      <w:r>
        <w:rPr/>
        <w:t>solicitor</w:t>
      </w:r>
      <w:r>
        <w:rPr>
          <w:spacing w:val="-1"/>
        </w:rPr>
        <w:t> </w:t>
      </w:r>
      <w:r>
        <w:rPr/>
        <w:t>should</w:t>
      </w:r>
      <w:r>
        <w:rPr>
          <w:spacing w:val="-1"/>
        </w:rPr>
        <w:t> </w:t>
      </w:r>
      <w:r>
        <w:rPr/>
        <w:t>obtain</w:t>
      </w:r>
      <w:r>
        <w:rPr>
          <w:spacing w:val="-1"/>
        </w:rPr>
        <w:t> </w:t>
      </w:r>
      <w:r>
        <w:rPr/>
        <w:t>from</w:t>
      </w:r>
      <w:r>
        <w:rPr>
          <w:spacing w:val="-1"/>
        </w:rPr>
        <w:t> </w:t>
      </w:r>
      <w:r>
        <w:rPr/>
        <w:t>the</w:t>
      </w:r>
      <w:r>
        <w:rPr>
          <w:spacing w:val="-1"/>
        </w:rPr>
        <w:t> </w:t>
      </w:r>
      <w:r>
        <w:rPr/>
        <w:t>bank</w:t>
      </w:r>
      <w:r>
        <w:rPr>
          <w:spacing w:val="-1"/>
        </w:rPr>
        <w:t> </w:t>
      </w:r>
      <w:r>
        <w:rPr/>
        <w:t>any</w:t>
      </w:r>
      <w:r>
        <w:rPr>
          <w:spacing w:val="-1"/>
        </w:rPr>
        <w:t> </w:t>
      </w:r>
      <w:r>
        <w:rPr/>
        <w:t>information</w:t>
      </w:r>
      <w:r>
        <w:rPr>
          <w:spacing w:val="-1"/>
        </w:rPr>
        <w:t> </w:t>
      </w:r>
      <w:r>
        <w:rPr/>
        <w:t>he</w:t>
      </w:r>
      <w:r>
        <w:rPr>
          <w:spacing w:val="-1"/>
        </w:rPr>
        <w:t> </w:t>
      </w:r>
      <w:r>
        <w:rPr/>
        <w:t>needs.</w:t>
      </w:r>
      <w:r>
        <w:rPr>
          <w:spacing w:val="-1"/>
        </w:rPr>
        <w:t> </w:t>
      </w:r>
      <w:r>
        <w:rPr/>
        <w:t>If</w:t>
      </w:r>
      <w:r>
        <w:rPr>
          <w:spacing w:val="-1"/>
        </w:rPr>
        <w:t> </w:t>
      </w:r>
      <w:r>
        <w:rPr/>
        <w:t>the</w:t>
      </w:r>
      <w:r>
        <w:rPr>
          <w:spacing w:val="-1"/>
        </w:rPr>
        <w:t> </w:t>
      </w:r>
      <w:r>
        <w:rPr/>
        <w:t>bank</w:t>
      </w:r>
      <w:r>
        <w:rPr>
          <w:spacing w:val="-1"/>
        </w:rPr>
        <w:t> </w:t>
      </w:r>
      <w:r>
        <w:rPr/>
        <w:t>fails</w:t>
      </w:r>
      <w:r>
        <w:rPr>
          <w:spacing w:val="-1"/>
        </w:rPr>
        <w:t> </w:t>
      </w:r>
      <w:r>
        <w:rPr/>
        <w:t>for </w:t>
      </w:r>
      <w:bookmarkStart w:name="_bookmark254" w:id="256"/>
      <w:bookmarkEnd w:id="256"/>
      <w:r>
        <w:rPr/>
        <w:t>any</w:t>
      </w:r>
      <w:r>
        <w:rPr>
          <w:spacing w:val="-3"/>
        </w:rPr>
        <w:t> </w:t>
      </w:r>
      <w:r>
        <w:rPr/>
        <w:t>reason</w:t>
      </w:r>
      <w:r>
        <w:rPr>
          <w:spacing w:val="-3"/>
        </w:rPr>
        <w:t> </w:t>
      </w:r>
      <w:r>
        <w:rPr/>
        <w:t>to</w:t>
      </w:r>
      <w:r>
        <w:rPr>
          <w:spacing w:val="-3"/>
        </w:rPr>
        <w:t> </w:t>
      </w:r>
      <w:r>
        <w:rPr/>
        <w:t>provide</w:t>
      </w:r>
      <w:r>
        <w:rPr>
          <w:spacing w:val="-3"/>
        </w:rPr>
        <w:t> </w:t>
      </w:r>
      <w:r>
        <w:rPr/>
        <w:t>information</w:t>
      </w:r>
      <w:r>
        <w:rPr>
          <w:spacing w:val="-3"/>
        </w:rPr>
        <w:t> </w:t>
      </w:r>
      <w:r>
        <w:rPr/>
        <w:t>requested</w:t>
      </w:r>
      <w:r>
        <w:rPr>
          <w:spacing w:val="-3"/>
        </w:rPr>
        <w:t> </w:t>
      </w:r>
      <w:r>
        <w:rPr/>
        <w:t>by</w:t>
      </w:r>
      <w:r>
        <w:rPr>
          <w:spacing w:val="-3"/>
        </w:rPr>
        <w:t> </w:t>
      </w:r>
      <w:r>
        <w:rPr/>
        <w:t>the</w:t>
      </w:r>
      <w:r>
        <w:rPr>
          <w:spacing w:val="-3"/>
        </w:rPr>
        <w:t> </w:t>
      </w:r>
      <w:r>
        <w:rPr/>
        <w:t>solicitor,</w:t>
      </w:r>
      <w:r>
        <w:rPr>
          <w:spacing w:val="-3"/>
        </w:rPr>
        <w:t> </w:t>
      </w:r>
      <w:r>
        <w:rPr/>
        <w:t>the</w:t>
      </w:r>
      <w:r>
        <w:rPr>
          <w:spacing w:val="-3"/>
        </w:rPr>
        <w:t> </w:t>
      </w:r>
      <w:r>
        <w:rPr/>
        <w:t>solicitor</w:t>
      </w:r>
      <w:r>
        <w:rPr>
          <w:spacing w:val="-3"/>
        </w:rPr>
        <w:t> </w:t>
      </w:r>
      <w:r>
        <w:rPr/>
        <w:t>should</w:t>
      </w:r>
      <w:r>
        <w:rPr>
          <w:spacing w:val="-3"/>
        </w:rPr>
        <w:t> </w:t>
      </w:r>
      <w:r>
        <w:rPr/>
        <w:t>decline</w:t>
      </w:r>
      <w:r>
        <w:rPr>
          <w:spacing w:val="-3"/>
        </w:rPr>
        <w:t> </w:t>
      </w:r>
      <w:r>
        <w:rPr/>
        <w:t>to provide the confirmation sought by the bank … </w:t>
      </w:r>
      <w:r>
        <w:rPr>
          <w:color w:val="005DA1"/>
          <w:u w:val="single" w:color="005DA1"/>
          <w:vertAlign w:val="superscript"/>
        </w:rPr>
        <w:t>144</w:t>
      </w:r>
      <w:r>
        <w:rPr>
          <w:color w:val="005DA1"/>
          <w:vertAlign w:val="baseline"/>
        </w:rPr>
        <w:t> </w:t>
      </w:r>
      <w:r>
        <w:rPr>
          <w:vertAlign w:val="baseline"/>
        </w:rPr>
        <w:t>It should become routine practice </w:t>
      </w:r>
      <w:r>
        <w:rPr>
          <w:vertAlign w:val="baseline"/>
        </w:rPr>
        <w:t>for banks, if relying on confirmation from a solicitor for their protection, to send to the solicitor the necessary financial information. What is required must depend on the facts of the case. Ordinarily this will include information on the purpose for which the proposed new facility</w:t>
      </w:r>
      <w:r>
        <w:rPr>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requested,</w:t>
      </w:r>
      <w:r>
        <w:rPr>
          <w:spacing w:val="-1"/>
          <w:vertAlign w:val="baseline"/>
        </w:rPr>
        <w:t> </w:t>
      </w:r>
      <w:r>
        <w:rPr>
          <w:vertAlign w:val="baseline"/>
        </w:rPr>
        <w:t>the</w:t>
      </w:r>
      <w:r>
        <w:rPr>
          <w:spacing w:val="-1"/>
          <w:vertAlign w:val="baseline"/>
        </w:rPr>
        <w:t> </w:t>
      </w:r>
      <w:r>
        <w:rPr>
          <w:vertAlign w:val="baseline"/>
        </w:rPr>
        <w:t>amount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husband’s</w:t>
      </w:r>
      <w:r>
        <w:rPr>
          <w:spacing w:val="-1"/>
          <w:vertAlign w:val="baseline"/>
        </w:rPr>
        <w:t> </w:t>
      </w:r>
      <w:r>
        <w:rPr>
          <w:vertAlign w:val="baseline"/>
        </w:rPr>
        <w:t>indebtedness,</w:t>
      </w:r>
      <w:r>
        <w:rPr>
          <w:spacing w:val="-1"/>
          <w:vertAlign w:val="baseline"/>
        </w:rPr>
        <w:t> </w:t>
      </w:r>
      <w:r>
        <w:rPr>
          <w:vertAlign w:val="baseline"/>
        </w:rPr>
        <w:t>the</w:t>
      </w:r>
      <w:r>
        <w:rPr>
          <w:spacing w:val="-1"/>
          <w:vertAlign w:val="baseline"/>
        </w:rPr>
        <w:t> </w:t>
      </w:r>
      <w:r>
        <w:rPr>
          <w:vertAlign w:val="baseline"/>
        </w:rPr>
        <w:t>amount</w:t>
      </w:r>
      <w:r>
        <w:rPr>
          <w:spacing w:val="-1"/>
          <w:vertAlign w:val="baseline"/>
        </w:rPr>
        <w:t> </w:t>
      </w:r>
      <w:r>
        <w:rPr>
          <w:vertAlign w:val="baseline"/>
        </w:rPr>
        <w:t>of</w:t>
      </w:r>
      <w:r>
        <w:rPr>
          <w:spacing w:val="-1"/>
          <w:vertAlign w:val="baseline"/>
        </w:rPr>
        <w:t> </w:t>
      </w:r>
      <w:r>
        <w:rPr>
          <w:vertAlign w:val="baseline"/>
        </w:rPr>
        <w:t>his current overdraft facility, and the amount and terms of any new facility. If the banks’ request for security arose from a written application by the husband for a facility, a copy</w:t>
      </w:r>
      <w:r>
        <w:rPr>
          <w:spacing w:val="40"/>
          <w:vertAlign w:val="baseline"/>
        </w:rPr>
        <w:t> </w:t>
      </w:r>
      <w:r>
        <w:rPr>
          <w:vertAlign w:val="baseline"/>
        </w:rPr>
        <w:t>of the application should be sent to the solicitor … Exceptionally there may be a case where the bank believes or suspects that the wife has been misled by her husband … If </w:t>
      </w:r>
      <w:bookmarkStart w:name="_bookmark255" w:id="257"/>
      <w:bookmarkEnd w:id="257"/>
      <w:r>
        <w:rPr>
          <w:vertAlign w:val="baseline"/>
        </w:rPr>
        <w:t>such</w:t>
      </w:r>
      <w:r>
        <w:rPr>
          <w:vertAlign w:val="baseline"/>
        </w:rPr>
        <w:t> a case occurs the bank must inform the wife’s solicitor of the facts giving rise to its belief or suspicion.” </w:t>
      </w:r>
      <w:r>
        <w:rPr>
          <w:color w:val="005DA1"/>
          <w:u w:val="single" w:color="005DA1"/>
          <w:vertAlign w:val="superscript"/>
        </w:rPr>
        <w:t>145</w:t>
      </w:r>
    </w:p>
    <w:p>
      <w:pPr>
        <w:pStyle w:val="BodyText"/>
        <w:spacing w:before="112"/>
      </w:pPr>
    </w:p>
    <w:p>
      <w:pPr>
        <w:pStyle w:val="BodyText"/>
        <w:spacing w:line="235" w:lineRule="auto"/>
        <w:ind w:left="164" w:right="167"/>
        <w:jc w:val="both"/>
      </w:pPr>
      <w:r>
        <w:rPr/>
        <w:t>Where</w:t>
      </w:r>
      <w:r>
        <w:rPr>
          <w:spacing w:val="-3"/>
        </w:rPr>
        <w:t> </w:t>
      </w:r>
      <w:r>
        <w:rPr/>
        <w:t>there has been a misrepresentation by the husband of the kind which occurred in </w:t>
      </w:r>
      <w:r>
        <w:rPr>
          <w:rFonts w:ascii="Arial" w:hAnsi="Arial"/>
          <w:i/>
        </w:rPr>
        <w:t>O’Brien</w:t>
      </w:r>
      <w:r>
        <w:rPr>
          <w:rFonts w:ascii="Arial" w:hAnsi="Arial"/>
          <w:i/>
          <w:spacing w:val="-14"/>
        </w:rPr>
        <w:t> </w:t>
      </w:r>
      <w:r>
        <w:rPr/>
        <w:t>’s case (as to the extent and duration of the guarantee), there should be no problem, as the solicitor will always be informed of the terms of the guarantee or charge. What might be more problematic is </w:t>
      </w:r>
      <w:r>
        <w:rPr/>
        <w:t>if </w:t>
      </w:r>
      <w:bookmarkStart w:name="_bookmark256" w:id="258"/>
      <w:bookmarkEnd w:id="258"/>
      <w:r>
        <w:rPr/>
        <w:t>there</w:t>
      </w:r>
      <w:r>
        <w:rPr/>
        <w:t> has been some misrepresentation by the husband as to some other matter, such as the state of his business affairs, </w:t>
      </w:r>
      <w:r>
        <w:rPr>
          <w:color w:val="005DA1"/>
          <w:u w:val="single" w:color="005DA1"/>
          <w:vertAlign w:val="superscript"/>
        </w:rPr>
        <w:t>146</w:t>
      </w:r>
      <w:r>
        <w:rPr>
          <w:color w:val="005DA1"/>
          <w:vertAlign w:val="baseline"/>
        </w:rPr>
        <w:t> </w:t>
      </w:r>
      <w:r>
        <w:rPr>
          <w:vertAlign w:val="baseline"/>
        </w:rPr>
        <w:t>but it is submitted that the information required of the bank should reveal</w:t>
      </w:r>
      <w:r>
        <w:rPr>
          <w:spacing w:val="40"/>
          <w:vertAlign w:val="baseline"/>
        </w:rPr>
        <w:t> </w:t>
      </w:r>
      <w:r>
        <w:rPr>
          <w:vertAlign w:val="baseline"/>
        </w:rPr>
        <w:t>many such misrepresentations. Lord Nicholls said that the protection of surety wives did not require a </w:t>
      </w:r>
      <w:bookmarkStart w:name="_bookmark257" w:id="259"/>
      <w:bookmarkEnd w:id="259"/>
      <w:r>
        <w:rPr>
          <w:vertAlign w:val="baseline"/>
        </w:rPr>
        <w:t>review</w:t>
      </w:r>
      <w:r>
        <w:rPr>
          <w:vertAlign w:val="baseline"/>
        </w:rPr>
        <w:t> of the rule that a creditor does not normally have any duty to disclose to a surety any unusual risks relating to the debtor, </w:t>
      </w:r>
      <w:r>
        <w:rPr>
          <w:color w:val="005DA1"/>
          <w:u w:val="single" w:color="005DA1"/>
          <w:vertAlign w:val="superscript"/>
        </w:rPr>
        <w:t>147</w:t>
      </w:r>
      <w:r>
        <w:rPr>
          <w:color w:val="005DA1"/>
          <w:vertAlign w:val="baseline"/>
        </w:rPr>
        <w:t> </w:t>
      </w:r>
      <w:r>
        <w:rPr>
          <w:vertAlign w:val="baseline"/>
        </w:rPr>
        <w:t>let alone normal ones. The possibility that the husband has lied to both </w:t>
      </w:r>
      <w:bookmarkStart w:name="_bookmark258" w:id="260"/>
      <w:bookmarkEnd w:id="260"/>
      <w:r>
        <w:rPr>
          <w:vertAlign w:val="baseline"/>
        </w:rPr>
        <w:t>the</w:t>
      </w:r>
      <w:r>
        <w:rPr>
          <w:vertAlign w:val="baseline"/>
        </w:rPr>
        <w:t> bank and his wife will remain. Moreover, if there is a relationship of trust and confidence between the</w:t>
      </w:r>
      <w:r>
        <w:rPr>
          <w:spacing w:val="14"/>
          <w:vertAlign w:val="baseline"/>
        </w:rPr>
        <w:t> </w:t>
      </w:r>
      <w:r>
        <w:rPr>
          <w:vertAlign w:val="baseline"/>
        </w:rPr>
        <w:t>husband</w:t>
      </w:r>
      <w:r>
        <w:rPr>
          <w:spacing w:val="14"/>
          <w:vertAlign w:val="baseline"/>
        </w:rPr>
        <w:t> </w:t>
      </w:r>
      <w:r>
        <w:rPr>
          <w:vertAlign w:val="baseline"/>
        </w:rPr>
        <w:t>and</w:t>
      </w:r>
      <w:r>
        <w:rPr>
          <w:spacing w:val="14"/>
          <w:vertAlign w:val="baseline"/>
        </w:rPr>
        <w:t> </w:t>
      </w:r>
      <w:r>
        <w:rPr>
          <w:vertAlign w:val="baseline"/>
        </w:rPr>
        <w:t>the</w:t>
      </w:r>
      <w:r>
        <w:rPr>
          <w:spacing w:val="14"/>
          <w:vertAlign w:val="baseline"/>
        </w:rPr>
        <w:t> </w:t>
      </w:r>
      <w:r>
        <w:rPr>
          <w:vertAlign w:val="baseline"/>
        </w:rPr>
        <w:t>wife,</w:t>
      </w:r>
      <w:r>
        <w:rPr>
          <w:spacing w:val="14"/>
          <w:vertAlign w:val="baseline"/>
        </w:rPr>
        <w:t> </w:t>
      </w:r>
      <w:r>
        <w:rPr>
          <w:vertAlign w:val="baseline"/>
        </w:rPr>
        <w:t>the</w:t>
      </w:r>
      <w:r>
        <w:rPr>
          <w:spacing w:val="14"/>
          <w:vertAlign w:val="baseline"/>
        </w:rPr>
        <w:t> </w:t>
      </w:r>
      <w:r>
        <w:rPr>
          <w:vertAlign w:val="baseline"/>
        </w:rPr>
        <w:t>husband</w:t>
      </w:r>
      <w:r>
        <w:rPr>
          <w:spacing w:val="14"/>
          <w:vertAlign w:val="baseline"/>
        </w:rPr>
        <w:t> </w:t>
      </w:r>
      <w:r>
        <w:rPr>
          <w:vertAlign w:val="baseline"/>
        </w:rPr>
        <w:t>may</w:t>
      </w:r>
      <w:r>
        <w:rPr>
          <w:spacing w:val="14"/>
          <w:vertAlign w:val="baseline"/>
        </w:rPr>
        <w:t> </w:t>
      </w:r>
      <w:r>
        <w:rPr>
          <w:vertAlign w:val="baseline"/>
        </w:rPr>
        <w:t>be</w:t>
      </w:r>
      <w:r>
        <w:rPr>
          <w:spacing w:val="14"/>
          <w:vertAlign w:val="baseline"/>
        </w:rPr>
        <w:t> </w:t>
      </w:r>
      <w:r>
        <w:rPr>
          <w:vertAlign w:val="baseline"/>
        </w:rPr>
        <w:t>required</w:t>
      </w:r>
      <w:r>
        <w:rPr>
          <w:spacing w:val="14"/>
          <w:vertAlign w:val="baseline"/>
        </w:rPr>
        <w:t> </w:t>
      </w:r>
      <w:r>
        <w:rPr>
          <w:vertAlign w:val="baseline"/>
        </w:rPr>
        <w:t>to</w:t>
      </w:r>
      <w:r>
        <w:rPr>
          <w:spacing w:val="14"/>
          <w:vertAlign w:val="baseline"/>
        </w:rPr>
        <w:t> </w:t>
      </w:r>
      <w:r>
        <w:rPr>
          <w:vertAlign w:val="baseline"/>
        </w:rPr>
        <w:t>disclose</w:t>
      </w:r>
      <w:r>
        <w:rPr>
          <w:spacing w:val="14"/>
          <w:vertAlign w:val="baseline"/>
        </w:rPr>
        <w:t> </w:t>
      </w:r>
      <w:r>
        <w:rPr>
          <w:vertAlign w:val="baseline"/>
        </w:rPr>
        <w:t>relevant</w:t>
      </w:r>
      <w:r>
        <w:rPr>
          <w:spacing w:val="14"/>
          <w:vertAlign w:val="baseline"/>
        </w:rPr>
        <w:t> </w:t>
      </w:r>
      <w:r>
        <w:rPr>
          <w:vertAlign w:val="baseline"/>
        </w:rPr>
        <w:t>information</w:t>
      </w:r>
      <w:r>
        <w:rPr>
          <w:spacing w:val="14"/>
          <w:vertAlign w:val="baseline"/>
        </w:rPr>
        <w:t> </w:t>
      </w:r>
      <w:r>
        <w:rPr>
          <w:vertAlign w:val="baseline"/>
        </w:rPr>
        <w:t>to</w:t>
      </w:r>
      <w:r>
        <w:rPr>
          <w:spacing w:val="14"/>
          <w:vertAlign w:val="baseline"/>
        </w:rPr>
        <w:t> </w:t>
      </w:r>
      <w:r>
        <w:rPr>
          <w:vertAlign w:val="baseline"/>
        </w:rPr>
        <w:t>the</w:t>
      </w:r>
      <w:r>
        <w:rPr>
          <w:spacing w:val="14"/>
          <w:vertAlign w:val="baseline"/>
        </w:rPr>
        <w:t> </w:t>
      </w:r>
      <w:r>
        <w:rPr>
          <w:spacing w:val="-2"/>
          <w:vertAlign w:val="baseline"/>
        </w:rPr>
        <w:t>wife.</w:t>
      </w:r>
    </w:p>
    <w:p>
      <w:pPr>
        <w:spacing w:line="110" w:lineRule="exact" w:before="0"/>
        <w:ind w:left="165" w:right="0" w:firstLine="0"/>
        <w:jc w:val="left"/>
        <w:rPr>
          <w:sz w:val="12"/>
        </w:rPr>
      </w:pPr>
      <w:r>
        <w:rPr>
          <w:color w:val="005DA1"/>
          <w:spacing w:val="-5"/>
          <w:sz w:val="12"/>
          <w:u w:val="single" w:color="005DA1"/>
        </w:rPr>
        <w:t>148</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z w:val="18"/>
        </w:rPr>
        <w:t>Effect of constructive </w:t>
      </w:r>
      <w:r>
        <w:rPr>
          <w:rFonts w:ascii="Arial"/>
          <w:b/>
          <w:spacing w:val="-2"/>
          <w:sz w:val="18"/>
        </w:rPr>
        <w:t>notice</w:t>
      </w:r>
    </w:p>
    <w:p>
      <w:pPr>
        <w:pStyle w:val="BodyText"/>
        <w:spacing w:before="41"/>
        <w:rPr>
          <w:rFonts w:ascii="Arial"/>
          <w:b/>
          <w:sz w:val="18"/>
        </w:rPr>
      </w:pPr>
    </w:p>
    <w:p>
      <w:pPr>
        <w:pStyle w:val="Heading2"/>
      </w:pPr>
      <w:r>
        <w:rPr/>
        <w:t>7-</w:t>
      </w:r>
      <w:r>
        <w:rPr>
          <w:spacing w:val="-5"/>
        </w:rPr>
        <w:t>028</w:t>
      </w:r>
    </w:p>
    <w:p>
      <w:pPr>
        <w:pStyle w:val="BodyText"/>
        <w:spacing w:line="235" w:lineRule="auto" w:before="203"/>
        <w:ind w:left="165" w:right="167"/>
        <w:jc w:val="both"/>
      </w:pPr>
      <w:r>
        <w:rPr/>
        <w:t>After</w:t>
      </w:r>
      <w:r>
        <w:rPr>
          <w:spacing w:val="-1"/>
        </w:rPr>
        <w:t> </w:t>
      </w:r>
      <w:r>
        <w:rPr>
          <w:rFonts w:ascii="Arial" w:hAnsi="Arial"/>
          <w:i/>
        </w:rPr>
        <w:t>O’Brien</w:t>
      </w:r>
      <w:r>
        <w:rPr/>
        <w:t>’s</w:t>
      </w:r>
      <w:r>
        <w:rPr>
          <w:spacing w:val="-1"/>
        </w:rPr>
        <w:t> </w:t>
      </w:r>
      <w:r>
        <w:rPr/>
        <w:t>case</w:t>
      </w:r>
      <w:r>
        <w:rPr>
          <w:spacing w:val="-1"/>
        </w:rPr>
        <w:t> </w:t>
      </w:r>
      <w:r>
        <w:rPr/>
        <w:t>there</w:t>
      </w:r>
      <w:r>
        <w:rPr>
          <w:spacing w:val="-1"/>
        </w:rPr>
        <w:t> </w:t>
      </w:r>
      <w:r>
        <w:rPr/>
        <w:t>was</w:t>
      </w:r>
      <w:r>
        <w:rPr>
          <w:spacing w:val="-1"/>
        </w:rPr>
        <w:t> </w:t>
      </w:r>
      <w:r>
        <w:rPr/>
        <w:t>some</w:t>
      </w:r>
      <w:r>
        <w:rPr>
          <w:spacing w:val="-1"/>
        </w:rPr>
        <w:t> </w:t>
      </w:r>
      <w:r>
        <w:rPr/>
        <w:t>uncertainty</w:t>
      </w:r>
      <w:r>
        <w:rPr>
          <w:spacing w:val="-1"/>
        </w:rPr>
        <w:t> </w:t>
      </w:r>
      <w:r>
        <w:rPr/>
        <w:t>as</w:t>
      </w:r>
      <w:r>
        <w:rPr>
          <w:spacing w:val="-1"/>
        </w:rPr>
        <w:t> </w:t>
      </w:r>
      <w:r>
        <w:rPr/>
        <w:t>to</w:t>
      </w:r>
      <w:r>
        <w:rPr>
          <w:spacing w:val="-1"/>
        </w:rPr>
        <w:t> </w:t>
      </w:r>
      <w:r>
        <w:rPr/>
        <w:t>the</w:t>
      </w:r>
      <w:r>
        <w:rPr>
          <w:spacing w:val="-1"/>
        </w:rPr>
        <w:t> </w:t>
      </w:r>
      <w:r>
        <w:rPr/>
        <w:t>position</w:t>
      </w:r>
      <w:r>
        <w:rPr>
          <w:spacing w:val="-1"/>
        </w:rPr>
        <w:t> </w:t>
      </w:r>
      <w:r>
        <w:rPr/>
        <w:t>when,</w:t>
      </w:r>
      <w:r>
        <w:rPr>
          <w:spacing w:val="-1"/>
        </w:rPr>
        <w:t> </w:t>
      </w:r>
      <w:r>
        <w:rPr/>
        <w:t>as</w:t>
      </w:r>
      <w:r>
        <w:rPr>
          <w:spacing w:val="-1"/>
        </w:rPr>
        <w:t> </w:t>
      </w:r>
      <w:r>
        <w:rPr/>
        <w:t>in</w:t>
      </w:r>
      <w:r>
        <w:rPr>
          <w:spacing w:val="-1"/>
        </w:rPr>
        <w:t> </w:t>
      </w:r>
      <w:r>
        <w:rPr/>
        <w:t>that</w:t>
      </w:r>
      <w:r>
        <w:rPr>
          <w:spacing w:val="-1"/>
        </w:rPr>
        <w:t> </w:t>
      </w:r>
      <w:r>
        <w:rPr/>
        <w:t>case,</w:t>
      </w:r>
      <w:r>
        <w:rPr>
          <w:spacing w:val="-1"/>
        </w:rPr>
        <w:t> </w:t>
      </w:r>
      <w:r>
        <w:rPr/>
        <w:t>the</w:t>
      </w:r>
      <w:r>
        <w:rPr>
          <w:spacing w:val="-1"/>
        </w:rPr>
        <w:t> </w:t>
      </w:r>
      <w:r>
        <w:rPr/>
        <w:t>husband had misrepresented the extent of the charge and the bank had constructive notice of </w:t>
      </w:r>
      <w:r>
        <w:rPr/>
        <w:t>the misrepresentation. Is the charge completely unenforceable against the wife or enforceable to the extent</w:t>
      </w:r>
      <w:r>
        <w:rPr>
          <w:spacing w:val="-3"/>
        </w:rPr>
        <w:t> </w:t>
      </w:r>
      <w:r>
        <w:rPr/>
        <w:t>she was given to believe? (In </w:t>
      </w:r>
      <w:r>
        <w:rPr>
          <w:rFonts w:ascii="Arial" w:hAnsi="Arial"/>
          <w:i/>
        </w:rPr>
        <w:t>O’Brien</w:t>
      </w:r>
      <w:r>
        <w:rPr>
          <w:rFonts w:ascii="Arial" w:hAnsi="Arial"/>
          <w:i/>
          <w:spacing w:val="-14"/>
        </w:rPr>
        <w:t> </w:t>
      </w:r>
      <w:r>
        <w:rPr/>
        <w:t>’s case it seems that £60,000, the sum which the wife</w:t>
      </w:r>
      <w:r>
        <w:rPr>
          <w:spacing w:val="40"/>
        </w:rPr>
        <w:t> </w:t>
      </w:r>
      <w:r>
        <w:rPr/>
        <w:t>had</w:t>
      </w:r>
      <w:r>
        <w:rPr>
          <w:spacing w:val="4"/>
        </w:rPr>
        <w:t> </w:t>
      </w:r>
      <w:r>
        <w:rPr/>
        <w:t>been</w:t>
      </w:r>
      <w:r>
        <w:rPr>
          <w:spacing w:val="4"/>
        </w:rPr>
        <w:t> </w:t>
      </w:r>
      <w:r>
        <w:rPr/>
        <w:t>led</w:t>
      </w:r>
      <w:r>
        <w:rPr>
          <w:spacing w:val="4"/>
        </w:rPr>
        <w:t> </w:t>
      </w:r>
      <w:r>
        <w:rPr/>
        <w:t>to</w:t>
      </w:r>
      <w:r>
        <w:rPr>
          <w:spacing w:val="4"/>
        </w:rPr>
        <w:t> </w:t>
      </w:r>
      <w:r>
        <w:rPr/>
        <w:t>believe</w:t>
      </w:r>
      <w:r>
        <w:rPr>
          <w:spacing w:val="4"/>
        </w:rPr>
        <w:t> </w:t>
      </w:r>
      <w:r>
        <w:rPr/>
        <w:t>was</w:t>
      </w:r>
      <w:r>
        <w:rPr>
          <w:spacing w:val="4"/>
        </w:rPr>
        <w:t> </w:t>
      </w:r>
      <w:r>
        <w:rPr/>
        <w:t>the</w:t>
      </w:r>
      <w:r>
        <w:rPr>
          <w:spacing w:val="4"/>
        </w:rPr>
        <w:t> </w:t>
      </w:r>
      <w:r>
        <w:rPr/>
        <w:t>limit</w:t>
      </w:r>
      <w:r>
        <w:rPr>
          <w:spacing w:val="4"/>
        </w:rPr>
        <w:t> </w:t>
      </w:r>
      <w:r>
        <w:rPr/>
        <w:t>of</w:t>
      </w:r>
      <w:r>
        <w:rPr>
          <w:spacing w:val="4"/>
        </w:rPr>
        <w:t> </w:t>
      </w:r>
      <w:r>
        <w:rPr/>
        <w:t>her</w:t>
      </w:r>
      <w:r>
        <w:rPr>
          <w:spacing w:val="4"/>
        </w:rPr>
        <w:t> </w:t>
      </w:r>
      <w:r>
        <w:rPr/>
        <w:t>liability,</w:t>
      </w:r>
      <w:r>
        <w:rPr>
          <w:spacing w:val="4"/>
        </w:rPr>
        <w:t> </w:t>
      </w:r>
      <w:r>
        <w:rPr/>
        <w:t>had</w:t>
      </w:r>
      <w:r>
        <w:rPr>
          <w:spacing w:val="4"/>
        </w:rPr>
        <w:t> </w:t>
      </w:r>
      <w:r>
        <w:rPr/>
        <w:t>been</w:t>
      </w:r>
      <w:r>
        <w:rPr>
          <w:spacing w:val="4"/>
        </w:rPr>
        <w:t> </w:t>
      </w:r>
      <w:r>
        <w:rPr/>
        <w:t>paid</w:t>
      </w:r>
      <w:r>
        <w:rPr>
          <w:spacing w:val="4"/>
        </w:rPr>
        <w:t> </w:t>
      </w:r>
      <w:r>
        <w:rPr/>
        <w:t>before</w:t>
      </w:r>
      <w:r>
        <w:rPr>
          <w:spacing w:val="4"/>
        </w:rPr>
        <w:t> </w:t>
      </w:r>
      <w:r>
        <w:rPr/>
        <w:t>the</w:t>
      </w:r>
      <w:r>
        <w:rPr>
          <w:spacing w:val="4"/>
        </w:rPr>
        <w:t> </w:t>
      </w:r>
      <w:r>
        <w:rPr/>
        <w:t>final</w:t>
      </w:r>
      <w:r>
        <w:rPr>
          <w:spacing w:val="4"/>
        </w:rPr>
        <w:t> </w:t>
      </w:r>
      <w:r>
        <w:rPr/>
        <w:t>decision,</w:t>
      </w:r>
      <w:r>
        <w:rPr>
          <w:spacing w:val="4"/>
        </w:rPr>
        <w:t> </w:t>
      </w:r>
      <w:r>
        <w:rPr/>
        <w:t>which</w:t>
      </w:r>
      <w:r>
        <w:rPr>
          <w:spacing w:val="4"/>
        </w:rPr>
        <w:t> </w:t>
      </w:r>
      <w:r>
        <w:rPr>
          <w:spacing w:val="-5"/>
        </w:rPr>
        <w:t>did</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bookmarkStart w:name="_bookmark259" w:id="261"/>
      <w:bookmarkEnd w:id="261"/>
      <w:r>
        <w:rPr/>
      </w:r>
      <w:r>
        <w:rPr/>
        <w:t>not discuss its fate.) In </w:t>
      </w:r>
      <w:r>
        <w:rPr>
          <w:rFonts w:ascii="Arial"/>
          <w:i/>
        </w:rPr>
        <w:t>TSB Bank Plc v Camfield </w:t>
      </w:r>
      <w:r>
        <w:rPr>
          <w:color w:val="005DA1"/>
          <w:u w:val="single" w:color="005DA1"/>
          <w:vertAlign w:val="superscript"/>
        </w:rPr>
        <w:t>149</w:t>
      </w:r>
      <w:r>
        <w:rPr>
          <w:color w:val="005DA1"/>
          <w:vertAlign w:val="baseline"/>
        </w:rPr>
        <w:t> </w:t>
      </w:r>
      <w:r>
        <w:rPr>
          <w:vertAlign w:val="baseline"/>
        </w:rPr>
        <w:t>the Court of Appeal held on similar facts that the </w:t>
      </w:r>
      <w:bookmarkStart w:name="_bookmark260" w:id="262"/>
      <w:bookmarkEnd w:id="262"/>
      <w:r>
        <w:rPr>
          <w:vertAlign w:val="baseline"/>
        </w:rPr>
        <w:t>charge</w:t>
      </w:r>
      <w:r>
        <w:rPr>
          <w:vertAlign w:val="baseline"/>
        </w:rPr>
        <w:t> was completely unenforceable. As against the husband the wife would have the right to </w:t>
      </w:r>
      <w:r>
        <w:rPr>
          <w:vertAlign w:val="baseline"/>
        </w:rPr>
        <w:t>set aside the whole charge. </w:t>
      </w:r>
      <w:r>
        <w:rPr>
          <w:color w:val="005DA1"/>
          <w:u w:val="single" w:color="005DA1"/>
          <w:vertAlign w:val="superscript"/>
        </w:rPr>
        <w:t>150</w:t>
      </w:r>
      <w:r>
        <w:rPr>
          <w:color w:val="005DA1"/>
          <w:vertAlign w:val="baseline"/>
        </w:rPr>
        <w:t> </w:t>
      </w:r>
      <w:r>
        <w:rPr>
          <w:vertAlign w:val="baseline"/>
        </w:rPr>
        <w:t>The bank took subject to the equity in favour of the wife and could not be in a better position. However, in that case the wife had not received any benefit under the agreement. </w:t>
      </w:r>
      <w:bookmarkStart w:name="_bookmark261" w:id="263"/>
      <w:bookmarkEnd w:id="263"/>
      <w:r>
        <w:rPr>
          <w:vertAlign w:val="baseline"/>
        </w:rPr>
        <w:t>If</w:t>
      </w:r>
      <w:r>
        <w:rPr>
          <w:vertAlign w:val="baseline"/>
        </w:rPr>
        <w:t> she had done so, her right to rescind would have been conditional on her making counter-restitution </w:t>
      </w:r>
      <w:bookmarkStart w:name="_bookmark262" w:id="264"/>
      <w:bookmarkEnd w:id="264"/>
      <w:r>
        <w:rPr>
          <w:vertAlign w:val="baseline"/>
        </w:rPr>
        <w:t>of</w:t>
      </w:r>
      <w:r>
        <w:rPr>
          <w:vertAlign w:val="baseline"/>
        </w:rPr>
        <w:t> the benefit received. </w:t>
      </w:r>
      <w:r>
        <w:rPr>
          <w:color w:val="005DA1"/>
          <w:u w:val="single" w:color="005DA1"/>
          <w:vertAlign w:val="superscript"/>
        </w:rPr>
        <w:t>151</w:t>
      </w:r>
      <w:r>
        <w:rPr>
          <w:color w:val="005DA1"/>
          <w:vertAlign w:val="baseline"/>
        </w:rPr>
        <w:t> </w:t>
      </w:r>
      <w:r>
        <w:rPr>
          <w:vertAlign w:val="baseline"/>
        </w:rPr>
        <w:t>Where a later security is unenforceable by reason of undue influence, that may still leave an earlier, untainted one in force. </w:t>
      </w:r>
      <w:r>
        <w:rPr>
          <w:color w:val="005DA1"/>
          <w:u w:val="single" w:color="005DA1"/>
          <w:vertAlign w:val="superscript"/>
        </w:rPr>
        <w:t>152</w:t>
      </w:r>
    </w:p>
    <w:p>
      <w:pPr>
        <w:pStyle w:val="BodyText"/>
      </w:pPr>
    </w:p>
    <w:p>
      <w:pPr>
        <w:pStyle w:val="BodyText"/>
        <w:spacing w:before="36"/>
      </w:pPr>
    </w:p>
    <w:p>
      <w:pPr>
        <w:spacing w:before="0"/>
        <w:ind w:left="165" w:right="0" w:firstLine="0"/>
        <w:jc w:val="left"/>
        <w:rPr>
          <w:rFonts w:ascii="Arial"/>
          <w:b/>
          <w:sz w:val="18"/>
        </w:rPr>
      </w:pPr>
      <w:r>
        <w:rPr>
          <w:rFonts w:ascii="Arial"/>
          <w:b/>
          <w:sz w:val="18"/>
        </w:rPr>
        <w:t>Need the party who made the misrepresentation be a party to the trans-</w:t>
      </w:r>
      <w:r>
        <w:rPr>
          <w:rFonts w:ascii="Arial"/>
          <w:b/>
          <w:spacing w:val="-2"/>
          <w:sz w:val="18"/>
        </w:rPr>
        <w:t>action?</w:t>
      </w:r>
    </w:p>
    <w:p>
      <w:pPr>
        <w:pStyle w:val="BodyText"/>
        <w:spacing w:before="41"/>
        <w:rPr>
          <w:rFonts w:ascii="Arial"/>
          <w:b/>
          <w:sz w:val="18"/>
        </w:rPr>
      </w:pPr>
    </w:p>
    <w:p>
      <w:pPr>
        <w:pStyle w:val="Heading2"/>
      </w:pPr>
      <w:r>
        <w:rPr/>
        <w:t>7-</w:t>
      </w:r>
      <w:r>
        <w:rPr>
          <w:spacing w:val="-5"/>
        </w:rPr>
        <w:t>029</w:t>
      </w:r>
    </w:p>
    <w:p>
      <w:pPr>
        <w:pStyle w:val="BodyText"/>
        <w:spacing w:line="235" w:lineRule="auto" w:before="203"/>
        <w:ind w:left="165" w:right="167"/>
        <w:jc w:val="both"/>
      </w:pPr>
      <w:bookmarkStart w:name="_bookmark263" w:id="265"/>
      <w:bookmarkEnd w:id="265"/>
      <w:r>
        <w:rPr/>
      </w:r>
      <w:r>
        <w:rPr/>
        <w:t>In </w:t>
      </w:r>
      <w:r>
        <w:rPr>
          <w:rFonts w:ascii="Arial" w:hAnsi="Arial"/>
          <w:i/>
        </w:rPr>
        <w:t>TSB Bank Plc v Camfield </w:t>
      </w:r>
      <w:r>
        <w:rPr>
          <w:color w:val="005DA1"/>
          <w:u w:val="single" w:color="005DA1"/>
          <w:vertAlign w:val="superscript"/>
        </w:rPr>
        <w:t>153</w:t>
      </w:r>
      <w:r>
        <w:rPr>
          <w:color w:val="005DA1"/>
          <w:vertAlign w:val="baseline"/>
        </w:rPr>
        <w:t> </w:t>
      </w:r>
      <w:r>
        <w:rPr>
          <w:vertAlign w:val="baseline"/>
        </w:rPr>
        <w:t>the bank was treated as having constructive notice of the wife’s right</w:t>
      </w:r>
      <w:r>
        <w:rPr>
          <w:spacing w:val="40"/>
          <w:vertAlign w:val="baseline"/>
        </w:rPr>
        <w:t> </w:t>
      </w:r>
      <w:r>
        <w:rPr>
          <w:vertAlign w:val="baseline"/>
        </w:rPr>
        <w:t>to set aside the charge as against the husband. What would be the position if the husband were not a party to the charge? As a matter of principle, it seems that a party to a contract who has actual notice that the other party has entered the contract as the result of a misrepresentation by a third party </w:t>
      </w:r>
      <w:bookmarkStart w:name="_bookmark264" w:id="266"/>
      <w:bookmarkEnd w:id="266"/>
      <w:r>
        <w:rPr>
          <w:vertAlign w:val="baseline"/>
        </w:rPr>
        <w:t>should</w:t>
      </w:r>
      <w:r>
        <w:rPr>
          <w:vertAlign w:val="baseline"/>
        </w:rPr>
        <w:t> be unable to enforce it, and it is submitted that the same should apply in cases of constructive notice. In </w:t>
      </w:r>
      <w:r>
        <w:rPr>
          <w:rFonts w:ascii="Arial" w:hAnsi="Arial"/>
          <w:i/>
          <w:vertAlign w:val="baseline"/>
        </w:rPr>
        <w:t>Banco Exterior Internacional SA v Thomas </w:t>
      </w:r>
      <w:r>
        <w:rPr>
          <w:color w:val="005DA1"/>
          <w:u w:val="single" w:color="005DA1"/>
          <w:vertAlign w:val="superscript"/>
        </w:rPr>
        <w:t>154</w:t>
      </w:r>
      <w:r>
        <w:rPr>
          <w:color w:val="005DA1"/>
          <w:vertAlign w:val="baseline"/>
        </w:rPr>
        <w:t> </w:t>
      </w:r>
      <w:r>
        <w:rPr>
          <w:vertAlign w:val="baseline"/>
        </w:rPr>
        <w:t>(a case of alleged undue influence) </w:t>
      </w:r>
      <w:r>
        <w:rPr>
          <w:vertAlign w:val="baseline"/>
        </w:rPr>
        <w:t>Sir Richard Scott V.C. expressed the view that it could not have made a difference if in O’Brien’s case</w:t>
      </w:r>
      <w:r>
        <w:rPr>
          <w:spacing w:val="80"/>
          <w:vertAlign w:val="baseline"/>
        </w:rPr>
        <w:t> </w:t>
      </w:r>
      <w:bookmarkStart w:name="_bookmark265" w:id="267"/>
      <w:bookmarkEnd w:id="267"/>
      <w:r>
        <w:rPr>
          <w:vertAlign w:val="baseline"/>
        </w:rPr>
        <w:t>the</w:t>
      </w:r>
      <w:r>
        <w:rPr>
          <w:vertAlign w:val="baseline"/>
        </w:rPr>
        <w:t> wife had been sole owner of the home, but the case was decided on other grounds, Roch L.J. reserving this question. More recent authority treats the two situations in the same way. </w:t>
      </w:r>
      <w:r>
        <w:rPr>
          <w:color w:val="005DA1"/>
          <w:u w:val="single" w:color="005DA1"/>
          <w:vertAlign w:val="superscript"/>
        </w:rPr>
        <w:t>155</w:t>
      </w:r>
    </w:p>
    <w:p>
      <w:pPr>
        <w:pStyle w:val="BodyText"/>
      </w:pPr>
    </w:p>
    <w:p>
      <w:pPr>
        <w:pStyle w:val="BodyText"/>
        <w:spacing w:before="35"/>
      </w:pPr>
    </w:p>
    <w:p>
      <w:pPr>
        <w:spacing w:before="0"/>
        <w:ind w:left="165" w:right="0" w:firstLine="0"/>
        <w:jc w:val="left"/>
        <w:rPr>
          <w:rFonts w:ascii="Arial"/>
          <w:b/>
          <w:sz w:val="18"/>
        </w:rPr>
      </w:pPr>
      <w:r>
        <w:rPr>
          <w:rFonts w:ascii="Arial"/>
          <w:b/>
          <w:spacing w:val="-2"/>
          <w:sz w:val="18"/>
        </w:rPr>
        <w:t>Procedure</w:t>
      </w:r>
    </w:p>
    <w:p>
      <w:pPr>
        <w:pStyle w:val="BodyText"/>
        <w:spacing w:before="41"/>
        <w:rPr>
          <w:rFonts w:ascii="Arial"/>
          <w:b/>
          <w:sz w:val="18"/>
        </w:rPr>
      </w:pPr>
    </w:p>
    <w:p>
      <w:pPr>
        <w:pStyle w:val="Heading2"/>
      </w:pPr>
      <w:r>
        <w:rPr/>
        <w:t>7-</w:t>
      </w:r>
      <w:r>
        <w:rPr>
          <w:spacing w:val="-5"/>
        </w:rPr>
        <w:t>030</w:t>
      </w:r>
    </w:p>
    <w:p>
      <w:pPr>
        <w:pStyle w:val="BodyText"/>
        <w:spacing w:line="235" w:lineRule="auto" w:before="203"/>
        <w:ind w:left="165" w:right="167"/>
        <w:jc w:val="both"/>
      </w:pPr>
      <w:r>
        <w:rPr/>
        <w:t>It will be for the wife or other surety to show that the bank had notice of the non-commercial relationship between her and the debtor, and that the transaction was, on its face, not to her </w:t>
      </w:r>
      <w:bookmarkStart w:name="_bookmark266" w:id="268"/>
      <w:bookmarkEnd w:id="268"/>
      <w:r>
        <w:rPr/>
        <w:t>advantage.</w:t>
      </w:r>
      <w:r>
        <w:rPr/>
        <w:t> The burden will then be on the bank or other lender to show that it has taken sufficient steps to prevent it being fixed with constructive notice. </w:t>
      </w:r>
      <w:r>
        <w:rPr>
          <w:color w:val="005DA1"/>
          <w:u w:val="single" w:color="005DA1"/>
          <w:vertAlign w:val="superscript"/>
        </w:rPr>
        <w:t>156</w:t>
      </w:r>
    </w:p>
    <w:p>
      <w:pPr>
        <w:pStyle w:val="BodyText"/>
      </w:pPr>
    </w:p>
    <w:p>
      <w:pPr>
        <w:pStyle w:val="BodyText"/>
        <w:spacing w:before="38"/>
      </w:pPr>
      <w:r>
        <w:rPr/>
        <mc:AlternateContent>
          <mc:Choice Requires="wps">
            <w:drawing>
              <wp:anchor distT="0" distB="0" distL="0" distR="0" allowOverlap="1" layoutInCell="1" locked="0" behindDoc="1" simplePos="0" relativeHeight="487605760">
                <wp:simplePos x="0" y="0"/>
                <wp:positionH relativeFrom="page">
                  <wp:posOffset>914400</wp:posOffset>
                </wp:positionH>
                <wp:positionV relativeFrom="paragraph">
                  <wp:posOffset>185693</wp:posOffset>
                </wp:positionV>
                <wp:extent cx="5724525"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21547pt;width:450.75pt;height:.1pt;mso-position-horizontal-relative:page;mso-position-vertical-relative:paragraph;z-index:-15710720;mso-wrap-distance-left:0;mso-wrap-distance-right:0" id="docshape6"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3880960">
                <wp:simplePos x="0" y="0"/>
                <wp:positionH relativeFrom="page">
                  <wp:posOffset>914400</wp:posOffset>
                </wp:positionH>
                <wp:positionV relativeFrom="paragraph">
                  <wp:posOffset>94576</wp:posOffset>
                </wp:positionV>
                <wp:extent cx="4953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35520" from="72pt,7.446977pt" to="75.892pt,7.446977pt" stroked="true" strokeweight=".5pt" strokecolor="#005da1">
                <v:stroke dashstyle="solid"/>
                <w10:wrap type="none"/>
              </v:line>
            </w:pict>
          </mc:Fallback>
        </mc:AlternateContent>
      </w:r>
      <w:hyperlink w:history="true" w:anchor="_bookmark1576">
        <w:r>
          <w:rPr>
            <w:color w:val="005DA1"/>
            <w:spacing w:val="-6"/>
            <w:position w:val="5"/>
            <w:sz w:val="14"/>
          </w:rPr>
          <w:t>1</w:t>
        </w:r>
      </w:hyperlink>
      <w:r>
        <w:rPr>
          <w:spacing w:val="-6"/>
          <w:position w:val="5"/>
          <w:sz w:val="14"/>
        </w:rPr>
        <w:t>.</w:t>
      </w:r>
      <w:r>
        <w:rPr>
          <w:position w:val="5"/>
          <w:sz w:val="14"/>
        </w:rPr>
        <w:tab/>
      </w:r>
      <w:r>
        <w:rPr>
          <w:sz w:val="20"/>
        </w:rPr>
        <w:t>See Allen, </w:t>
      </w:r>
      <w:r>
        <w:rPr>
          <w:rFonts w:ascii="Arial"/>
          <w:i/>
          <w:sz w:val="20"/>
        </w:rPr>
        <w:t>Misrepresentation </w:t>
      </w:r>
      <w:r>
        <w:rPr>
          <w:sz w:val="20"/>
        </w:rPr>
        <w:t>(1988); Cartwright, </w:t>
      </w:r>
      <w:r>
        <w:rPr>
          <w:rFonts w:ascii="Arial"/>
          <w:i/>
          <w:sz w:val="20"/>
        </w:rPr>
        <w:t>Unequal Bargaining </w:t>
      </w:r>
      <w:r>
        <w:rPr>
          <w:sz w:val="20"/>
        </w:rPr>
        <w:t>(1991), Ch.3; </w:t>
      </w:r>
      <w:r>
        <w:rPr>
          <w:sz w:val="20"/>
        </w:rPr>
        <w:t>Cartwright, Misrepresentation, Mistake and Non-disclosure, 4th edn (2016); Spencer Bower and Handley, </w:t>
      </w:r>
      <w:r>
        <w:rPr>
          <w:rFonts w:ascii="Arial"/>
          <w:i/>
          <w:sz w:val="20"/>
        </w:rPr>
        <w:t>Actionable Misrepresentation</w:t>
      </w:r>
      <w:r>
        <w:rPr>
          <w:sz w:val="20"/>
        </w:rPr>
        <w:t>, 5th edn (2014).</w:t>
      </w:r>
    </w:p>
    <w:p>
      <w:pPr>
        <w:pStyle w:val="BodyText"/>
        <w:spacing w:before="5"/>
      </w:pPr>
    </w:p>
    <w:p>
      <w:pPr>
        <w:tabs>
          <w:tab w:pos="705" w:val="left" w:leader="none"/>
        </w:tabs>
        <w:spacing w:before="0"/>
        <w:ind w:left="165" w:right="0" w:firstLine="0"/>
        <w:jc w:val="left"/>
        <w:rPr>
          <w:sz w:val="20"/>
        </w:rPr>
      </w:pPr>
      <w:bookmarkStart w:name="_bookmark267" w:id="269"/>
      <w:bookmarkEnd w:id="269"/>
      <w:r>
        <w:rPr/>
      </w:r>
      <w:hyperlink w:history="true" w:anchor="_bookmark241">
        <w:r>
          <w:rPr>
            <w:color w:val="005DA1"/>
            <w:spacing w:val="-4"/>
            <w:position w:val="5"/>
            <w:sz w:val="14"/>
            <w:u w:val="single" w:color="005DA1"/>
          </w:rPr>
          <w:t>129</w:t>
        </w:r>
      </w:hyperlink>
      <w:r>
        <w:rPr>
          <w:spacing w:val="-4"/>
          <w:position w:val="5"/>
          <w:sz w:val="14"/>
        </w:rPr>
        <w:t>.</w:t>
      </w:r>
      <w:r>
        <w:rPr>
          <w:position w:val="5"/>
          <w:sz w:val="14"/>
        </w:rPr>
        <w:tab/>
      </w:r>
      <w:r>
        <w:rPr>
          <w:rFonts w:ascii="Arial" w:hAnsi="Arial"/>
          <w:i/>
          <w:sz w:val="20"/>
        </w:rPr>
        <w:t>Hasan v Willson [1977] 1 Lloyd’s Rep. </w:t>
      </w:r>
      <w:r>
        <w:rPr>
          <w:rFonts w:ascii="Arial" w:hAnsi="Arial"/>
          <w:i/>
          <w:spacing w:val="-4"/>
          <w:sz w:val="20"/>
        </w:rPr>
        <w:t>431</w:t>
      </w:r>
      <w:r>
        <w:rPr>
          <w:spacing w:val="-4"/>
          <w:sz w:val="20"/>
        </w:rPr>
        <w:t>.</w:t>
      </w:r>
    </w:p>
    <w:p>
      <w:pPr>
        <w:pStyle w:val="BodyText"/>
        <w:spacing w:before="9"/>
      </w:pPr>
    </w:p>
    <w:p>
      <w:pPr>
        <w:spacing w:line="235" w:lineRule="auto" w:before="0"/>
        <w:ind w:left="705" w:right="167" w:hanging="541"/>
        <w:jc w:val="both"/>
        <w:rPr>
          <w:sz w:val="20"/>
        </w:rPr>
      </w:pPr>
      <w:bookmarkStart w:name="_bookmark268" w:id="270"/>
      <w:bookmarkEnd w:id="270"/>
      <w:r>
        <w:rPr/>
      </w:r>
      <w:hyperlink w:history="true" w:anchor="_bookmark241">
        <w:r>
          <w:rPr>
            <w:color w:val="005DA1"/>
            <w:position w:val="5"/>
            <w:sz w:val="14"/>
            <w:u w:val="single" w:color="005DA1"/>
          </w:rPr>
          <w:t>130</w:t>
        </w:r>
      </w:hyperlink>
      <w:r>
        <w:rPr>
          <w:position w:val="5"/>
          <w:sz w:val="14"/>
        </w:rPr>
        <w:t>.</w:t>
      </w:r>
      <w:r>
        <w:rPr>
          <w:spacing w:val="80"/>
          <w:position w:val="5"/>
          <w:sz w:val="14"/>
        </w:rPr>
        <w:t>  </w:t>
      </w:r>
      <w:r>
        <w:rPr>
          <w:sz w:val="20"/>
        </w:rPr>
        <w:t>But an agent who seeks to enforce in his own name a contract made by him as such is affected by a misrepresentation made by his principal: </w:t>
      </w:r>
      <w:r>
        <w:rPr>
          <w:rFonts w:ascii="Arial"/>
          <w:i/>
          <w:sz w:val="20"/>
        </w:rPr>
        <w:t>Garnac Grain Co Inc v H.M. Faure &amp; </w:t>
      </w:r>
      <w:r>
        <w:rPr>
          <w:rFonts w:ascii="Arial"/>
          <w:i/>
          <w:sz w:val="20"/>
        </w:rPr>
        <w:t>Fairclough Ltd [1966]</w:t>
      </w:r>
      <w:r>
        <w:rPr>
          <w:rFonts w:ascii="Arial"/>
          <w:i/>
          <w:spacing w:val="1"/>
          <w:sz w:val="20"/>
        </w:rPr>
        <w:t> </w:t>
      </w:r>
      <w:r>
        <w:rPr>
          <w:rFonts w:ascii="Arial"/>
          <w:i/>
          <w:sz w:val="20"/>
        </w:rPr>
        <w:t>1</w:t>
      </w:r>
      <w:r>
        <w:rPr>
          <w:rFonts w:ascii="Arial"/>
          <w:i/>
          <w:spacing w:val="1"/>
          <w:sz w:val="20"/>
        </w:rPr>
        <w:t> </w:t>
      </w:r>
      <w:r>
        <w:rPr>
          <w:rFonts w:ascii="Arial"/>
          <w:i/>
          <w:sz w:val="20"/>
        </w:rPr>
        <w:t>Q.B.</w:t>
      </w:r>
      <w:r>
        <w:rPr>
          <w:rFonts w:ascii="Arial"/>
          <w:i/>
          <w:spacing w:val="1"/>
          <w:sz w:val="20"/>
        </w:rPr>
        <w:t> </w:t>
      </w:r>
      <w:r>
        <w:rPr>
          <w:rFonts w:ascii="Arial"/>
          <w:i/>
          <w:sz w:val="20"/>
        </w:rPr>
        <w:t>650</w:t>
      </w:r>
      <w:r>
        <w:rPr>
          <w:sz w:val="20"/>
        </w:rPr>
        <w:t>,</w:t>
      </w:r>
      <w:r>
        <w:rPr>
          <w:spacing w:val="1"/>
          <w:sz w:val="20"/>
        </w:rPr>
        <w:t> </w:t>
      </w:r>
      <w:r>
        <w:rPr>
          <w:sz w:val="20"/>
        </w:rPr>
        <w:t>reversed</w:t>
      </w:r>
      <w:r>
        <w:rPr>
          <w:spacing w:val="1"/>
          <w:sz w:val="20"/>
        </w:rPr>
        <w:t> </w:t>
      </w:r>
      <w:r>
        <w:rPr>
          <w:sz w:val="20"/>
        </w:rPr>
        <w:t>on</w:t>
      </w:r>
      <w:r>
        <w:rPr>
          <w:spacing w:val="1"/>
          <w:sz w:val="20"/>
        </w:rPr>
        <w:t> </w:t>
      </w:r>
      <w:r>
        <w:rPr>
          <w:sz w:val="20"/>
        </w:rPr>
        <w:t>the</w:t>
      </w:r>
      <w:r>
        <w:rPr>
          <w:spacing w:val="1"/>
          <w:sz w:val="20"/>
        </w:rPr>
        <w:t> </w:t>
      </w:r>
      <w:r>
        <w:rPr>
          <w:sz w:val="20"/>
        </w:rPr>
        <w:t>facts</w:t>
      </w:r>
      <w:r>
        <w:rPr>
          <w:spacing w:val="1"/>
          <w:sz w:val="20"/>
        </w:rPr>
        <w:t> </w:t>
      </w:r>
      <w:r>
        <w:rPr>
          <w:rFonts w:ascii="Arial"/>
          <w:i/>
          <w:sz w:val="20"/>
        </w:rPr>
        <w:t>[1966] 1</w:t>
      </w:r>
      <w:r>
        <w:rPr>
          <w:rFonts w:ascii="Arial"/>
          <w:i/>
          <w:spacing w:val="1"/>
          <w:sz w:val="20"/>
        </w:rPr>
        <w:t> </w:t>
      </w:r>
      <w:r>
        <w:rPr>
          <w:rFonts w:ascii="Arial"/>
          <w:i/>
          <w:sz w:val="20"/>
        </w:rPr>
        <w:t>Q.B.</w:t>
      </w:r>
      <w:r>
        <w:rPr>
          <w:rFonts w:ascii="Arial"/>
          <w:i/>
          <w:spacing w:val="1"/>
          <w:sz w:val="20"/>
        </w:rPr>
        <w:t> </w:t>
      </w:r>
      <w:r>
        <w:rPr>
          <w:rFonts w:ascii="Arial"/>
          <w:i/>
          <w:sz w:val="20"/>
        </w:rPr>
        <w:t>658</w:t>
      </w:r>
      <w:r>
        <w:rPr>
          <w:rFonts w:ascii="Arial"/>
          <w:i/>
          <w:spacing w:val="1"/>
          <w:sz w:val="20"/>
        </w:rPr>
        <w:t> </w:t>
      </w:r>
      <w:r>
        <w:rPr>
          <w:sz w:val="20"/>
        </w:rPr>
        <w:t>and</w:t>
      </w:r>
      <w:r>
        <w:rPr>
          <w:spacing w:val="1"/>
          <w:sz w:val="20"/>
        </w:rPr>
        <w:t> </w:t>
      </w:r>
      <w:r>
        <w:rPr>
          <w:rFonts w:ascii="Arial"/>
          <w:i/>
          <w:sz w:val="20"/>
        </w:rPr>
        <w:t>[1968]</w:t>
      </w:r>
      <w:r>
        <w:rPr>
          <w:rFonts w:ascii="Arial"/>
          <w:i/>
          <w:spacing w:val="1"/>
          <w:sz w:val="20"/>
        </w:rPr>
        <w:t> </w:t>
      </w:r>
      <w:r>
        <w:rPr>
          <w:rFonts w:ascii="Arial"/>
          <w:i/>
          <w:sz w:val="20"/>
        </w:rPr>
        <w:t>A.C.</w:t>
      </w:r>
      <w:r>
        <w:rPr>
          <w:rFonts w:ascii="Arial"/>
          <w:i/>
          <w:spacing w:val="1"/>
          <w:sz w:val="20"/>
        </w:rPr>
        <w:t> </w:t>
      </w:r>
      <w:r>
        <w:rPr>
          <w:rFonts w:ascii="Arial"/>
          <w:i/>
          <w:sz w:val="20"/>
        </w:rPr>
        <w:t>1130n</w:t>
      </w:r>
      <w:r>
        <w:rPr>
          <w:sz w:val="20"/>
        </w:rPr>
        <w:t>.</w:t>
      </w:r>
      <w:r>
        <w:rPr>
          <w:spacing w:val="1"/>
          <w:sz w:val="20"/>
        </w:rPr>
        <w:t> </w:t>
      </w:r>
      <w:r>
        <w:rPr>
          <w:sz w:val="20"/>
        </w:rPr>
        <w:t>See</w:t>
      </w:r>
      <w:r>
        <w:rPr>
          <w:spacing w:val="1"/>
          <w:sz w:val="20"/>
        </w:rPr>
        <w:t> </w:t>
      </w:r>
      <w:r>
        <w:rPr>
          <w:spacing w:val="-4"/>
          <w:sz w:val="20"/>
        </w:rPr>
        <w:t>also</w:t>
      </w:r>
    </w:p>
    <w:p>
      <w:pPr>
        <w:spacing w:line="225" w:lineRule="exact" w:before="0"/>
        <w:ind w:left="705" w:right="0" w:firstLine="0"/>
        <w:jc w:val="left"/>
        <w:rPr>
          <w:sz w:val="20"/>
        </w:rPr>
      </w:pPr>
      <w:r>
        <w:rPr>
          <w:rFonts w:ascii="Arial"/>
          <w:i/>
          <w:sz w:val="20"/>
        </w:rPr>
        <w:t>U.B.A.F. Ltd v European American Banking Corp [1984] Q.B. </w:t>
      </w:r>
      <w:r>
        <w:rPr>
          <w:rFonts w:ascii="Arial"/>
          <w:i/>
          <w:spacing w:val="-4"/>
          <w:sz w:val="20"/>
        </w:rPr>
        <w:t>713</w:t>
      </w:r>
      <w:r>
        <w:rPr>
          <w:spacing w:val="-4"/>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269" w:id="271"/>
      <w:bookmarkEnd w:id="271"/>
      <w:r>
        <w:rPr/>
      </w:r>
      <w:hyperlink w:history="true" w:anchor="_bookmark242">
        <w:r>
          <w:rPr>
            <w:color w:val="005DA1"/>
            <w:spacing w:val="-4"/>
            <w:position w:val="5"/>
            <w:sz w:val="14"/>
            <w:u w:val="single" w:color="005DA1"/>
          </w:rPr>
          <w:t>131</w:t>
        </w:r>
      </w:hyperlink>
      <w:r>
        <w:rPr>
          <w:spacing w:val="-4"/>
          <w:position w:val="5"/>
          <w:sz w:val="14"/>
        </w:rPr>
        <w:t>.</w:t>
      </w:r>
      <w:r>
        <w:rPr>
          <w:position w:val="5"/>
          <w:sz w:val="14"/>
        </w:rPr>
        <w:tab/>
      </w:r>
      <w:r>
        <w:rPr>
          <w:rFonts w:ascii="Arial" w:hAnsi="Arial"/>
          <w:i/>
          <w:sz w:val="20"/>
        </w:rPr>
        <w:t>Barclays Bank Plc v O’Brien [1994] 1 A.C. 180</w:t>
      </w:r>
      <w:r>
        <w:rPr>
          <w:sz w:val="20"/>
        </w:rPr>
        <w:t>; </w:t>
      </w:r>
      <w:r>
        <w:rPr>
          <w:rFonts w:ascii="Arial" w:hAnsi="Arial"/>
          <w:i/>
          <w:sz w:val="20"/>
        </w:rPr>
        <w:t>Bank of Credit and Commerce International </w:t>
      </w:r>
      <w:r>
        <w:rPr>
          <w:rFonts w:ascii="Arial" w:hAnsi="Arial"/>
          <w:i/>
          <w:sz w:val="20"/>
        </w:rPr>
        <w:t>SA v Aboody [1990] 1 Q.B. 923, 973 </w:t>
      </w:r>
      <w:r>
        <w:rPr>
          <w:sz w:val="20"/>
        </w:rPr>
        <w:t>(undue influence: see below, para.8-108).</w:t>
      </w:r>
    </w:p>
    <w:p>
      <w:pPr>
        <w:pStyle w:val="BodyText"/>
        <w:spacing w:before="9"/>
      </w:pPr>
    </w:p>
    <w:p>
      <w:pPr>
        <w:pStyle w:val="BodyText"/>
        <w:spacing w:line="235" w:lineRule="auto"/>
        <w:ind w:left="705" w:right="167" w:hanging="541"/>
        <w:jc w:val="both"/>
      </w:pPr>
      <w:bookmarkStart w:name="_bookmark270" w:id="272"/>
      <w:bookmarkEnd w:id="272"/>
      <w:r>
        <w:rPr/>
      </w:r>
      <w:hyperlink w:history="true" w:anchor="_bookmark243">
        <w:r>
          <w:rPr>
            <w:color w:val="005DA1"/>
            <w:position w:val="5"/>
            <w:sz w:val="14"/>
            <w:u w:val="single" w:color="005DA1"/>
          </w:rPr>
          <w:t>132</w:t>
        </w:r>
      </w:hyperlink>
      <w:r>
        <w:rPr>
          <w:position w:val="5"/>
          <w:sz w:val="14"/>
        </w:rPr>
        <w:t>.</w:t>
      </w:r>
      <w:r>
        <w:rPr>
          <w:spacing w:val="80"/>
          <w:position w:val="5"/>
          <w:sz w:val="14"/>
        </w:rPr>
        <w:t>  </w:t>
      </w:r>
      <w:r>
        <w:rPr/>
        <w:t>For an extreme example, see </w:t>
      </w:r>
      <w:r>
        <w:rPr>
          <w:rFonts w:ascii="Arial" w:hAnsi="Arial"/>
          <w:i/>
        </w:rPr>
        <w:t>Foote v Hayne (1824) 1 C. &amp; P. 545 </w:t>
      </w:r>
      <w:r>
        <w:rPr/>
        <w:t>(defendant liable for breach of promise of marriage despite fraud of plaintiff’s father with respect to plaintiff’s illegitimate </w:t>
      </w:r>
      <w:r>
        <w:rPr>
          <w:spacing w:val="-2"/>
        </w:rPr>
        <w:t>child).</w:t>
      </w:r>
    </w:p>
    <w:p>
      <w:pPr>
        <w:pStyle w:val="BodyText"/>
        <w:spacing w:before="9"/>
      </w:pPr>
    </w:p>
    <w:p>
      <w:pPr>
        <w:spacing w:line="235" w:lineRule="auto" w:before="0"/>
        <w:ind w:left="705" w:right="167" w:hanging="541"/>
        <w:jc w:val="both"/>
        <w:rPr>
          <w:sz w:val="20"/>
        </w:rPr>
      </w:pPr>
      <w:bookmarkStart w:name="_bookmark271" w:id="273"/>
      <w:bookmarkEnd w:id="273"/>
      <w:r>
        <w:rPr/>
      </w:r>
      <w:hyperlink w:history="true" w:anchor="_bookmark244">
        <w:r>
          <w:rPr>
            <w:color w:val="005DA1"/>
            <w:position w:val="5"/>
            <w:sz w:val="14"/>
            <w:u w:val="single" w:color="005DA1"/>
          </w:rPr>
          <w:t>133</w:t>
        </w:r>
      </w:hyperlink>
      <w:r>
        <w:rPr>
          <w:position w:val="5"/>
          <w:sz w:val="14"/>
        </w:rPr>
        <w:t>.</w:t>
      </w:r>
      <w:r>
        <w:rPr>
          <w:spacing w:val="80"/>
          <w:position w:val="5"/>
          <w:sz w:val="14"/>
        </w:rPr>
        <w:t>  </w:t>
      </w:r>
      <w:r>
        <w:rPr>
          <w:rFonts w:ascii="Arial" w:hAnsi="Arial"/>
          <w:i/>
          <w:sz w:val="20"/>
        </w:rPr>
        <w:t>Pilmore</w:t>
      </w:r>
      <w:r>
        <w:rPr>
          <w:rFonts w:ascii="Arial" w:hAnsi="Arial"/>
          <w:i/>
          <w:spacing w:val="11"/>
          <w:sz w:val="20"/>
        </w:rPr>
        <w:t> </w:t>
      </w:r>
      <w:r>
        <w:rPr>
          <w:rFonts w:ascii="Arial" w:hAnsi="Arial"/>
          <w:i/>
          <w:sz w:val="20"/>
        </w:rPr>
        <w:t>v</w:t>
      </w:r>
      <w:r>
        <w:rPr>
          <w:rFonts w:ascii="Arial" w:hAnsi="Arial"/>
          <w:i/>
          <w:spacing w:val="11"/>
          <w:sz w:val="20"/>
        </w:rPr>
        <w:t> </w:t>
      </w:r>
      <w:r>
        <w:rPr>
          <w:rFonts w:ascii="Arial" w:hAnsi="Arial"/>
          <w:i/>
          <w:sz w:val="20"/>
        </w:rPr>
        <w:t>Hood</w:t>
      </w:r>
      <w:r>
        <w:rPr>
          <w:rFonts w:ascii="Arial" w:hAnsi="Arial"/>
          <w:i/>
          <w:spacing w:val="11"/>
          <w:sz w:val="20"/>
        </w:rPr>
        <w:t> </w:t>
      </w:r>
      <w:r>
        <w:rPr>
          <w:rFonts w:ascii="Arial" w:hAnsi="Arial"/>
          <w:i/>
          <w:sz w:val="20"/>
        </w:rPr>
        <w:t>(1838)</w:t>
      </w:r>
      <w:r>
        <w:rPr>
          <w:rFonts w:ascii="Arial" w:hAnsi="Arial"/>
          <w:i/>
          <w:spacing w:val="11"/>
          <w:sz w:val="20"/>
        </w:rPr>
        <w:t> </w:t>
      </w:r>
      <w:r>
        <w:rPr>
          <w:rFonts w:ascii="Arial" w:hAnsi="Arial"/>
          <w:i/>
          <w:sz w:val="20"/>
        </w:rPr>
        <w:t>5</w:t>
      </w:r>
      <w:r>
        <w:rPr>
          <w:rFonts w:ascii="Arial" w:hAnsi="Arial"/>
          <w:i/>
          <w:spacing w:val="11"/>
          <w:sz w:val="20"/>
        </w:rPr>
        <w:t> </w:t>
      </w:r>
      <w:r>
        <w:rPr>
          <w:rFonts w:ascii="Arial" w:hAnsi="Arial"/>
          <w:i/>
          <w:sz w:val="20"/>
        </w:rPr>
        <w:t>Bing.</w:t>
      </w:r>
      <w:r>
        <w:rPr>
          <w:rFonts w:ascii="Arial" w:hAnsi="Arial"/>
          <w:i/>
          <w:spacing w:val="11"/>
          <w:sz w:val="20"/>
        </w:rPr>
        <w:t> </w:t>
      </w:r>
      <w:r>
        <w:rPr>
          <w:rFonts w:ascii="Arial" w:hAnsi="Arial"/>
          <w:i/>
          <w:sz w:val="20"/>
        </w:rPr>
        <w:t>N.C.</w:t>
      </w:r>
      <w:r>
        <w:rPr>
          <w:rFonts w:ascii="Arial" w:hAnsi="Arial"/>
          <w:i/>
          <w:spacing w:val="11"/>
          <w:sz w:val="20"/>
        </w:rPr>
        <w:t> </w:t>
      </w:r>
      <w:r>
        <w:rPr>
          <w:rFonts w:ascii="Arial" w:hAnsi="Arial"/>
          <w:i/>
          <w:sz w:val="20"/>
        </w:rPr>
        <w:t>97</w:t>
      </w:r>
      <w:r>
        <w:rPr>
          <w:sz w:val="20"/>
        </w:rPr>
        <w:t>.</w:t>
      </w:r>
      <w:r>
        <w:rPr>
          <w:spacing w:val="11"/>
          <w:sz w:val="20"/>
        </w:rPr>
        <w:t> </w:t>
      </w:r>
      <w:r>
        <w:rPr>
          <w:sz w:val="20"/>
        </w:rPr>
        <w:t>An</w:t>
      </w:r>
      <w:r>
        <w:rPr>
          <w:spacing w:val="11"/>
          <w:sz w:val="20"/>
        </w:rPr>
        <w:t> </w:t>
      </w:r>
      <w:r>
        <w:rPr>
          <w:sz w:val="20"/>
        </w:rPr>
        <w:t>agent</w:t>
      </w:r>
      <w:r>
        <w:rPr>
          <w:spacing w:val="11"/>
          <w:sz w:val="20"/>
        </w:rPr>
        <w:t> </w:t>
      </w:r>
      <w:r>
        <w:rPr>
          <w:sz w:val="20"/>
        </w:rPr>
        <w:t>may</w:t>
      </w:r>
      <w:r>
        <w:rPr>
          <w:spacing w:val="11"/>
          <w:sz w:val="20"/>
        </w:rPr>
        <w:t> </w:t>
      </w:r>
      <w:r>
        <w:rPr>
          <w:sz w:val="20"/>
        </w:rPr>
        <w:t>have</w:t>
      </w:r>
      <w:r>
        <w:rPr>
          <w:spacing w:val="11"/>
          <w:sz w:val="20"/>
        </w:rPr>
        <w:t> </w:t>
      </w:r>
      <w:r>
        <w:rPr>
          <w:sz w:val="20"/>
        </w:rPr>
        <w:t>authority</w:t>
      </w:r>
      <w:r>
        <w:rPr>
          <w:spacing w:val="11"/>
          <w:sz w:val="20"/>
        </w:rPr>
        <w:t> </w:t>
      </w:r>
      <w:r>
        <w:rPr>
          <w:sz w:val="20"/>
        </w:rPr>
        <w:t>to</w:t>
      </w:r>
      <w:r>
        <w:rPr>
          <w:spacing w:val="11"/>
          <w:sz w:val="20"/>
        </w:rPr>
        <w:t> </w:t>
      </w:r>
      <w:r>
        <w:rPr>
          <w:sz w:val="20"/>
        </w:rPr>
        <w:t>make</w:t>
      </w:r>
      <w:r>
        <w:rPr>
          <w:spacing w:val="11"/>
          <w:sz w:val="20"/>
        </w:rPr>
        <w:t> </w:t>
      </w:r>
      <w:r>
        <w:rPr>
          <w:sz w:val="20"/>
        </w:rPr>
        <w:t>representations in relation to a particular transaction even though he has no authority to conclude the transaction: </w:t>
      </w:r>
      <w:r>
        <w:rPr>
          <w:rFonts w:ascii="Arial" w:hAnsi="Arial"/>
          <w:i/>
          <w:sz w:val="20"/>
        </w:rPr>
        <w:t>First Energy v HIB [1993] 2 Lloyd’s Rep. 194, 204</w:t>
      </w:r>
      <w:r>
        <w:rPr>
          <w:sz w:val="20"/>
        </w:rPr>
        <w:t>; </w:t>
      </w:r>
      <w:r>
        <w:rPr>
          <w:rFonts w:ascii="Arial" w:hAnsi="Arial"/>
          <w:i/>
          <w:sz w:val="20"/>
        </w:rPr>
        <w:t>MCI Worldcom International Inc v Primus Telecommunications Plc [2004] EWCA Civ 957, [2004] 2 All E.R. (Comm) 833 </w:t>
      </w:r>
      <w:r>
        <w:rPr>
          <w:sz w:val="20"/>
        </w:rPr>
        <w:t>at [25]. For examples see Vol.II, para.31-012.</w:t>
      </w:r>
    </w:p>
    <w:p>
      <w:pPr>
        <w:spacing w:after="0" w:line="235" w:lineRule="auto"/>
        <w:jc w:val="both"/>
        <w:rPr>
          <w:sz w:val="20"/>
        </w:rPr>
        <w:sectPr>
          <w:pgSz w:w="11900" w:h="16840"/>
          <w:pgMar w:header="971" w:footer="0" w:top="1160" w:bottom="280" w:left="1275" w:right="1275"/>
        </w:sectPr>
      </w:pPr>
    </w:p>
    <w:p>
      <w:pPr>
        <w:pStyle w:val="BodyText"/>
        <w:spacing w:before="84"/>
      </w:pPr>
    </w:p>
    <w:p>
      <w:pPr>
        <w:tabs>
          <w:tab w:pos="705" w:val="left" w:leader="none"/>
        </w:tabs>
        <w:spacing w:line="235" w:lineRule="auto" w:before="1"/>
        <w:ind w:left="705" w:right="168" w:hanging="541"/>
        <w:jc w:val="left"/>
        <w:rPr>
          <w:sz w:val="20"/>
        </w:rPr>
      </w:pPr>
      <w:hyperlink w:history="true" w:anchor="_bookmark245">
        <w:r>
          <w:rPr>
            <w:color w:val="005DA1"/>
            <w:spacing w:val="-4"/>
            <w:position w:val="5"/>
            <w:sz w:val="14"/>
            <w:u w:val="single" w:color="005DA1"/>
          </w:rPr>
          <w:t>134</w:t>
        </w:r>
      </w:hyperlink>
      <w:r>
        <w:rPr>
          <w:spacing w:val="-4"/>
          <w:position w:val="5"/>
          <w:sz w:val="14"/>
        </w:rPr>
        <w:t>.</w:t>
      </w:r>
      <w:r>
        <w:rPr>
          <w:position w:val="5"/>
          <w:sz w:val="14"/>
        </w:rPr>
        <w:tab/>
      </w:r>
      <w:r>
        <w:rPr>
          <w:sz w:val="20"/>
        </w:rPr>
        <w:t>That</w:t>
      </w:r>
      <w:r>
        <w:rPr>
          <w:spacing w:val="17"/>
          <w:sz w:val="20"/>
        </w:rPr>
        <w:t> </w:t>
      </w:r>
      <w:r>
        <w:rPr>
          <w:sz w:val="20"/>
        </w:rPr>
        <w:t>is,</w:t>
      </w:r>
      <w:r>
        <w:rPr>
          <w:spacing w:val="17"/>
          <w:sz w:val="20"/>
        </w:rPr>
        <w:t> </w:t>
      </w:r>
      <w:r>
        <w:rPr>
          <w:sz w:val="20"/>
        </w:rPr>
        <w:t>if</w:t>
      </w:r>
      <w:r>
        <w:rPr>
          <w:spacing w:val="17"/>
          <w:sz w:val="20"/>
        </w:rPr>
        <w:t> </w:t>
      </w:r>
      <w:r>
        <w:rPr>
          <w:sz w:val="20"/>
        </w:rPr>
        <w:t>the</w:t>
      </w:r>
      <w:r>
        <w:rPr>
          <w:spacing w:val="17"/>
          <w:sz w:val="20"/>
        </w:rPr>
        <w:t> </w:t>
      </w:r>
      <w:r>
        <w:rPr>
          <w:sz w:val="20"/>
        </w:rPr>
        <w:t>case</w:t>
      </w:r>
      <w:r>
        <w:rPr>
          <w:spacing w:val="17"/>
          <w:sz w:val="20"/>
        </w:rPr>
        <w:t> </w:t>
      </w:r>
      <w:r>
        <w:rPr>
          <w:sz w:val="20"/>
        </w:rPr>
        <w:t>falls</w:t>
      </w:r>
      <w:r>
        <w:rPr>
          <w:spacing w:val="17"/>
          <w:sz w:val="20"/>
        </w:rPr>
        <w:t> </w:t>
      </w:r>
      <w:r>
        <w:rPr>
          <w:sz w:val="20"/>
        </w:rPr>
        <w:t>within</w:t>
      </w:r>
      <w:r>
        <w:rPr>
          <w:spacing w:val="17"/>
          <w:sz w:val="20"/>
        </w:rPr>
        <w:t> </w:t>
      </w:r>
      <w:r>
        <w:rPr>
          <w:sz w:val="20"/>
        </w:rPr>
        <w:t>the</w:t>
      </w:r>
      <w:r>
        <w:rPr>
          <w:spacing w:val="17"/>
          <w:sz w:val="20"/>
        </w:rPr>
        <w:t> </w:t>
      </w:r>
      <w:r>
        <w:rPr>
          <w:sz w:val="20"/>
        </w:rPr>
        <w:t>principle</w:t>
      </w:r>
      <w:r>
        <w:rPr>
          <w:spacing w:val="17"/>
          <w:sz w:val="20"/>
        </w:rPr>
        <w:t> </w:t>
      </w:r>
      <w:r>
        <w:rPr>
          <w:sz w:val="20"/>
        </w:rPr>
        <w:t>in</w:t>
      </w:r>
      <w:r>
        <w:rPr>
          <w:spacing w:val="16"/>
          <w:sz w:val="20"/>
        </w:rPr>
        <w:t> </w:t>
      </w:r>
      <w:r>
        <w:rPr>
          <w:rFonts w:ascii="Arial"/>
          <w:i/>
          <w:sz w:val="20"/>
        </w:rPr>
        <w:t>Hedley</w:t>
      </w:r>
      <w:r>
        <w:rPr>
          <w:rFonts w:ascii="Arial"/>
          <w:i/>
          <w:spacing w:val="17"/>
          <w:sz w:val="20"/>
        </w:rPr>
        <w:t> </w:t>
      </w:r>
      <w:r>
        <w:rPr>
          <w:rFonts w:ascii="Arial"/>
          <w:i/>
          <w:sz w:val="20"/>
        </w:rPr>
        <w:t>Byrne</w:t>
      </w:r>
      <w:r>
        <w:rPr>
          <w:rFonts w:ascii="Arial"/>
          <w:i/>
          <w:spacing w:val="17"/>
          <w:sz w:val="20"/>
        </w:rPr>
        <w:t> </w:t>
      </w:r>
      <w:r>
        <w:rPr>
          <w:rFonts w:ascii="Arial"/>
          <w:i/>
          <w:sz w:val="20"/>
        </w:rPr>
        <w:t>&amp;</w:t>
      </w:r>
      <w:r>
        <w:rPr>
          <w:rFonts w:ascii="Arial"/>
          <w:i/>
          <w:spacing w:val="17"/>
          <w:sz w:val="20"/>
        </w:rPr>
        <w:t> </w:t>
      </w:r>
      <w:r>
        <w:rPr>
          <w:rFonts w:ascii="Arial"/>
          <w:i/>
          <w:sz w:val="20"/>
        </w:rPr>
        <w:t>Co</w:t>
      </w:r>
      <w:r>
        <w:rPr>
          <w:rFonts w:ascii="Arial"/>
          <w:i/>
          <w:spacing w:val="17"/>
          <w:sz w:val="20"/>
        </w:rPr>
        <w:t> </w:t>
      </w:r>
      <w:r>
        <w:rPr>
          <w:rFonts w:ascii="Arial"/>
          <w:i/>
          <w:sz w:val="20"/>
        </w:rPr>
        <w:t>Ltd</w:t>
      </w:r>
      <w:r>
        <w:rPr>
          <w:rFonts w:ascii="Arial"/>
          <w:i/>
          <w:spacing w:val="17"/>
          <w:sz w:val="20"/>
        </w:rPr>
        <w:t> </w:t>
      </w:r>
      <w:r>
        <w:rPr>
          <w:rFonts w:ascii="Arial"/>
          <w:i/>
          <w:sz w:val="20"/>
        </w:rPr>
        <w:t>v</w:t>
      </w:r>
      <w:r>
        <w:rPr>
          <w:rFonts w:ascii="Arial"/>
          <w:i/>
          <w:spacing w:val="17"/>
          <w:sz w:val="20"/>
        </w:rPr>
        <w:t> </w:t>
      </w:r>
      <w:r>
        <w:rPr>
          <w:rFonts w:ascii="Arial"/>
          <w:i/>
          <w:sz w:val="20"/>
        </w:rPr>
        <w:t>Heller</w:t>
      </w:r>
      <w:r>
        <w:rPr>
          <w:rFonts w:ascii="Arial"/>
          <w:i/>
          <w:spacing w:val="17"/>
          <w:sz w:val="20"/>
        </w:rPr>
        <w:t> </w:t>
      </w:r>
      <w:r>
        <w:rPr>
          <w:rFonts w:ascii="Arial"/>
          <w:i/>
          <w:sz w:val="20"/>
        </w:rPr>
        <w:t>&amp;</w:t>
      </w:r>
      <w:r>
        <w:rPr>
          <w:rFonts w:ascii="Arial"/>
          <w:i/>
          <w:spacing w:val="17"/>
          <w:sz w:val="20"/>
        </w:rPr>
        <w:t> </w:t>
      </w:r>
      <w:r>
        <w:rPr>
          <w:rFonts w:ascii="Arial"/>
          <w:i/>
          <w:sz w:val="20"/>
        </w:rPr>
        <w:t>Partners</w:t>
      </w:r>
      <w:r>
        <w:rPr>
          <w:rFonts w:ascii="Arial"/>
          <w:i/>
          <w:spacing w:val="17"/>
          <w:sz w:val="20"/>
        </w:rPr>
        <w:t> </w:t>
      </w:r>
      <w:r>
        <w:rPr>
          <w:rFonts w:ascii="Arial"/>
          <w:i/>
          <w:sz w:val="20"/>
        </w:rPr>
        <w:t>Ltd [1964] A.C. 465</w:t>
      </w:r>
      <w:r>
        <w:rPr>
          <w:sz w:val="20"/>
        </w:rPr>
        <w:t>, below, para.7-089.</w:t>
      </w:r>
    </w:p>
    <w:p>
      <w:pPr>
        <w:pStyle w:val="BodyText"/>
        <w:spacing w:before="9"/>
      </w:pPr>
    </w:p>
    <w:p>
      <w:pPr>
        <w:tabs>
          <w:tab w:pos="705" w:val="left" w:leader="none"/>
        </w:tabs>
        <w:spacing w:line="235" w:lineRule="auto" w:before="0"/>
        <w:ind w:left="705" w:right="168" w:hanging="541"/>
        <w:jc w:val="left"/>
        <w:rPr>
          <w:sz w:val="20"/>
        </w:rPr>
      </w:pPr>
      <w:bookmarkStart w:name="_bookmark272" w:id="274"/>
      <w:bookmarkEnd w:id="274"/>
      <w:r>
        <w:rPr/>
      </w:r>
      <w:hyperlink w:history="true" w:anchor="_bookmark246">
        <w:r>
          <w:rPr>
            <w:color w:val="005DA1"/>
            <w:spacing w:val="-4"/>
            <w:position w:val="5"/>
            <w:sz w:val="14"/>
            <w:u w:val="single" w:color="005DA1"/>
          </w:rPr>
          <w:t>135</w:t>
        </w:r>
      </w:hyperlink>
      <w:r>
        <w:rPr>
          <w:spacing w:val="-4"/>
          <w:position w:val="5"/>
          <w:sz w:val="14"/>
        </w:rPr>
        <w:t>.</w:t>
      </w:r>
      <w:r>
        <w:rPr>
          <w:position w:val="5"/>
          <w:sz w:val="14"/>
        </w:rPr>
        <w:tab/>
      </w:r>
      <w:r>
        <w:rPr>
          <w:sz w:val="20"/>
        </w:rPr>
        <w:t>See,</w:t>
      </w:r>
      <w:r>
        <w:rPr>
          <w:spacing w:val="27"/>
          <w:sz w:val="20"/>
        </w:rPr>
        <w:t> </w:t>
      </w:r>
      <w:r>
        <w:rPr>
          <w:sz w:val="20"/>
        </w:rPr>
        <w:t>e.g.</w:t>
      </w:r>
      <w:r>
        <w:rPr>
          <w:spacing w:val="27"/>
          <w:sz w:val="20"/>
        </w:rPr>
        <w:t> </w:t>
      </w:r>
      <w:r>
        <w:rPr>
          <w:rFonts w:ascii="Arial"/>
          <w:i/>
          <w:sz w:val="20"/>
        </w:rPr>
        <w:t>Wells</w:t>
      </w:r>
      <w:r>
        <w:rPr>
          <w:rFonts w:ascii="Arial"/>
          <w:i/>
          <w:spacing w:val="27"/>
          <w:sz w:val="20"/>
        </w:rPr>
        <w:t> </w:t>
      </w:r>
      <w:r>
        <w:rPr>
          <w:rFonts w:ascii="Arial"/>
          <w:i/>
          <w:sz w:val="20"/>
        </w:rPr>
        <w:t>(Merstham)</w:t>
      </w:r>
      <w:r>
        <w:rPr>
          <w:rFonts w:ascii="Arial"/>
          <w:i/>
          <w:spacing w:val="27"/>
          <w:sz w:val="20"/>
        </w:rPr>
        <w:t> </w:t>
      </w:r>
      <w:r>
        <w:rPr>
          <w:rFonts w:ascii="Arial"/>
          <w:i/>
          <w:sz w:val="20"/>
        </w:rPr>
        <w:t>Ltd</w:t>
      </w:r>
      <w:r>
        <w:rPr>
          <w:rFonts w:ascii="Arial"/>
          <w:i/>
          <w:spacing w:val="27"/>
          <w:sz w:val="20"/>
        </w:rPr>
        <w:t> </w:t>
      </w:r>
      <w:r>
        <w:rPr>
          <w:rFonts w:ascii="Arial"/>
          <w:i/>
          <w:sz w:val="20"/>
        </w:rPr>
        <w:t>v</w:t>
      </w:r>
      <w:r>
        <w:rPr>
          <w:rFonts w:ascii="Arial"/>
          <w:i/>
          <w:spacing w:val="27"/>
          <w:sz w:val="20"/>
        </w:rPr>
        <w:t> </w:t>
      </w:r>
      <w:r>
        <w:rPr>
          <w:rFonts w:ascii="Arial"/>
          <w:i/>
          <w:sz w:val="20"/>
        </w:rPr>
        <w:t>Buckland</w:t>
      </w:r>
      <w:r>
        <w:rPr>
          <w:rFonts w:ascii="Arial"/>
          <w:i/>
          <w:spacing w:val="27"/>
          <w:sz w:val="20"/>
        </w:rPr>
        <w:t> </w:t>
      </w:r>
      <w:r>
        <w:rPr>
          <w:rFonts w:ascii="Arial"/>
          <w:i/>
          <w:sz w:val="20"/>
        </w:rPr>
        <w:t>Sand</w:t>
      </w:r>
      <w:r>
        <w:rPr>
          <w:rFonts w:ascii="Arial"/>
          <w:i/>
          <w:spacing w:val="27"/>
          <w:sz w:val="20"/>
        </w:rPr>
        <w:t> </w:t>
      </w:r>
      <w:r>
        <w:rPr>
          <w:rFonts w:ascii="Arial"/>
          <w:i/>
          <w:sz w:val="20"/>
        </w:rPr>
        <w:t>&amp;</w:t>
      </w:r>
      <w:r>
        <w:rPr>
          <w:rFonts w:ascii="Arial"/>
          <w:i/>
          <w:spacing w:val="27"/>
          <w:sz w:val="20"/>
        </w:rPr>
        <w:t> </w:t>
      </w:r>
      <w:r>
        <w:rPr>
          <w:rFonts w:ascii="Arial"/>
          <w:i/>
          <w:sz w:val="20"/>
        </w:rPr>
        <w:t>Silica</w:t>
      </w:r>
      <w:r>
        <w:rPr>
          <w:rFonts w:ascii="Arial"/>
          <w:i/>
          <w:spacing w:val="27"/>
          <w:sz w:val="20"/>
        </w:rPr>
        <w:t> </w:t>
      </w:r>
      <w:r>
        <w:rPr>
          <w:rFonts w:ascii="Arial"/>
          <w:i/>
          <w:sz w:val="20"/>
        </w:rPr>
        <w:t>Co</w:t>
      </w:r>
      <w:r>
        <w:rPr>
          <w:rFonts w:ascii="Arial"/>
          <w:i/>
          <w:spacing w:val="27"/>
          <w:sz w:val="20"/>
        </w:rPr>
        <w:t> </w:t>
      </w:r>
      <w:r>
        <w:rPr>
          <w:rFonts w:ascii="Arial"/>
          <w:i/>
          <w:sz w:val="20"/>
        </w:rPr>
        <w:t>Ltd</w:t>
      </w:r>
      <w:r>
        <w:rPr>
          <w:rFonts w:ascii="Arial"/>
          <w:i/>
          <w:spacing w:val="27"/>
          <w:sz w:val="20"/>
        </w:rPr>
        <w:t> </w:t>
      </w:r>
      <w:r>
        <w:rPr>
          <w:rFonts w:ascii="Arial"/>
          <w:i/>
          <w:sz w:val="20"/>
        </w:rPr>
        <w:t>[1965]</w:t>
      </w:r>
      <w:r>
        <w:rPr>
          <w:rFonts w:ascii="Arial"/>
          <w:i/>
          <w:spacing w:val="27"/>
          <w:sz w:val="20"/>
        </w:rPr>
        <w:t> </w:t>
      </w:r>
      <w:r>
        <w:rPr>
          <w:rFonts w:ascii="Arial"/>
          <w:i/>
          <w:sz w:val="20"/>
        </w:rPr>
        <w:t>2</w:t>
      </w:r>
      <w:r>
        <w:rPr>
          <w:rFonts w:ascii="Arial"/>
          <w:i/>
          <w:spacing w:val="27"/>
          <w:sz w:val="20"/>
        </w:rPr>
        <w:t> </w:t>
      </w:r>
      <w:r>
        <w:rPr>
          <w:rFonts w:ascii="Arial"/>
          <w:i/>
          <w:sz w:val="20"/>
        </w:rPr>
        <w:t>Q.B.</w:t>
      </w:r>
      <w:r>
        <w:rPr>
          <w:rFonts w:ascii="Arial"/>
          <w:i/>
          <w:spacing w:val="27"/>
          <w:sz w:val="20"/>
        </w:rPr>
        <w:t> </w:t>
      </w:r>
      <w:r>
        <w:rPr>
          <w:rFonts w:ascii="Arial"/>
          <w:i/>
          <w:sz w:val="20"/>
        </w:rPr>
        <w:t>170</w:t>
      </w:r>
      <w:r>
        <w:rPr>
          <w:sz w:val="20"/>
        </w:rPr>
        <w:t>,</w:t>
      </w:r>
      <w:r>
        <w:rPr>
          <w:spacing w:val="27"/>
          <w:sz w:val="20"/>
        </w:rPr>
        <w:t> </w:t>
      </w:r>
      <w:r>
        <w:rPr>
          <w:sz w:val="20"/>
        </w:rPr>
        <w:t>below, </w:t>
      </w:r>
      <w:r>
        <w:rPr>
          <w:spacing w:val="-2"/>
          <w:sz w:val="20"/>
        </w:rPr>
        <w:t>para.13-007.</w:t>
      </w:r>
    </w:p>
    <w:p>
      <w:pPr>
        <w:pStyle w:val="BodyText"/>
        <w:spacing w:before="5"/>
      </w:pPr>
    </w:p>
    <w:p>
      <w:pPr>
        <w:tabs>
          <w:tab w:pos="705" w:val="left" w:leader="none"/>
        </w:tabs>
        <w:spacing w:before="0"/>
        <w:ind w:left="165" w:right="0" w:firstLine="0"/>
        <w:jc w:val="left"/>
        <w:rPr>
          <w:sz w:val="20"/>
        </w:rPr>
      </w:pPr>
      <w:bookmarkStart w:name="_bookmark273" w:id="275"/>
      <w:bookmarkEnd w:id="275"/>
      <w:r>
        <w:rPr/>
      </w:r>
      <w:hyperlink w:history="true" w:anchor="_bookmark247">
        <w:r>
          <w:rPr>
            <w:color w:val="005DA1"/>
            <w:spacing w:val="-4"/>
            <w:position w:val="5"/>
            <w:sz w:val="14"/>
            <w:u w:val="single" w:color="005DA1"/>
          </w:rPr>
          <w:t>136</w:t>
        </w:r>
      </w:hyperlink>
      <w:r>
        <w:rPr>
          <w:spacing w:val="-4"/>
          <w:position w:val="5"/>
          <w:sz w:val="14"/>
        </w:rPr>
        <w:t>.</w:t>
      </w:r>
      <w:r>
        <w:rPr>
          <w:position w:val="5"/>
          <w:sz w:val="14"/>
        </w:rPr>
        <w:tab/>
      </w:r>
      <w:r>
        <w:rPr>
          <w:sz w:val="20"/>
        </w:rPr>
        <w:t>e.g. </w:t>
      </w:r>
      <w:r>
        <w:rPr>
          <w:rFonts w:ascii="Arial"/>
          <w:i/>
          <w:sz w:val="20"/>
        </w:rPr>
        <w:t>Kings North Trust Ltd v Bell [1961] 1 W.L.R. </w:t>
      </w:r>
      <w:r>
        <w:rPr>
          <w:rFonts w:ascii="Arial"/>
          <w:i/>
          <w:spacing w:val="-4"/>
          <w:sz w:val="20"/>
        </w:rPr>
        <w:t>119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74" w:id="276"/>
      <w:bookmarkEnd w:id="276"/>
      <w:r>
        <w:rPr/>
      </w:r>
      <w:hyperlink w:history="true" w:anchor="_bookmark247">
        <w:r>
          <w:rPr>
            <w:color w:val="005DA1"/>
            <w:spacing w:val="-4"/>
            <w:position w:val="5"/>
            <w:sz w:val="14"/>
            <w:u w:val="single" w:color="005DA1"/>
          </w:rPr>
          <w:t>137</w:t>
        </w:r>
      </w:hyperlink>
      <w:r>
        <w:rPr>
          <w:spacing w:val="-4"/>
          <w:position w:val="5"/>
          <w:sz w:val="14"/>
        </w:rPr>
        <w:t>.</w:t>
      </w:r>
      <w:r>
        <w:rPr>
          <w:position w:val="5"/>
          <w:sz w:val="14"/>
        </w:rPr>
        <w:tab/>
      </w:r>
      <w:r>
        <w:rPr>
          <w:sz w:val="20"/>
        </w:rPr>
        <w:t>e.g. </w:t>
      </w:r>
      <w:r>
        <w:rPr>
          <w:rFonts w:ascii="Arial"/>
          <w:i/>
          <w:sz w:val="20"/>
        </w:rPr>
        <w:t>CIBC Mortgages Plc v Pitt [1994] 1 A.C. </w:t>
      </w:r>
      <w:r>
        <w:rPr>
          <w:rFonts w:ascii="Arial"/>
          <w:i/>
          <w:spacing w:val="-4"/>
          <w:sz w:val="20"/>
        </w:rPr>
        <w:t>200</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275" w:id="277"/>
      <w:bookmarkEnd w:id="277"/>
      <w:r>
        <w:rPr/>
      </w:r>
      <w:hyperlink w:history="true" w:anchor="_bookmark248">
        <w:r>
          <w:rPr>
            <w:color w:val="005DA1"/>
            <w:spacing w:val="-4"/>
            <w:position w:val="5"/>
            <w:sz w:val="14"/>
            <w:u w:val="single" w:color="005DA1"/>
          </w:rPr>
          <w:t>138</w:t>
        </w:r>
      </w:hyperlink>
      <w:r>
        <w:rPr>
          <w:spacing w:val="-4"/>
          <w:position w:val="5"/>
          <w:sz w:val="14"/>
        </w:rPr>
        <w:t>.</w:t>
      </w:r>
      <w:r>
        <w:rPr>
          <w:position w:val="5"/>
          <w:sz w:val="14"/>
        </w:rPr>
        <w:tab/>
      </w:r>
      <w:r>
        <w:rPr>
          <w:sz w:val="20"/>
        </w:rPr>
        <w:t>See</w:t>
      </w:r>
      <w:r>
        <w:rPr>
          <w:spacing w:val="-1"/>
          <w:sz w:val="20"/>
        </w:rPr>
        <w:t> </w:t>
      </w:r>
      <w:r>
        <w:rPr>
          <w:rFonts w:ascii="Arial"/>
          <w:i/>
          <w:sz w:val="20"/>
        </w:rPr>
        <w:t>Coldunell Ltd v Gallon [1986] Q.B. </w:t>
      </w:r>
      <w:r>
        <w:rPr>
          <w:rFonts w:ascii="Arial"/>
          <w:i/>
          <w:spacing w:val="-2"/>
          <w:sz w:val="20"/>
        </w:rPr>
        <w:t>1184</w:t>
      </w:r>
      <w:r>
        <w:rPr>
          <w:spacing w:val="-2"/>
          <w:sz w:val="20"/>
        </w:rPr>
        <w:t>.</w:t>
      </w:r>
    </w:p>
    <w:p>
      <w:pPr>
        <w:pStyle w:val="BodyText"/>
        <w:spacing w:before="4"/>
      </w:pPr>
    </w:p>
    <w:p>
      <w:pPr>
        <w:tabs>
          <w:tab w:pos="705" w:val="left" w:leader="none"/>
        </w:tabs>
        <w:spacing w:before="1"/>
        <w:ind w:left="165" w:right="0" w:firstLine="0"/>
        <w:jc w:val="left"/>
        <w:rPr>
          <w:sz w:val="20"/>
        </w:rPr>
      </w:pPr>
      <w:bookmarkStart w:name="_bookmark276" w:id="278"/>
      <w:bookmarkEnd w:id="278"/>
      <w:r>
        <w:rPr/>
      </w:r>
      <w:hyperlink w:history="true" w:anchor="_bookmark249">
        <w:r>
          <w:rPr>
            <w:color w:val="005DA1"/>
            <w:spacing w:val="-4"/>
            <w:position w:val="5"/>
            <w:sz w:val="14"/>
            <w:u w:val="single" w:color="005DA1"/>
          </w:rPr>
          <w:t>139</w:t>
        </w:r>
      </w:hyperlink>
      <w:r>
        <w:rPr>
          <w:spacing w:val="-4"/>
          <w:position w:val="5"/>
          <w:sz w:val="14"/>
        </w:rPr>
        <w:t>.</w:t>
      </w:r>
      <w:r>
        <w:rPr>
          <w:position w:val="5"/>
          <w:sz w:val="14"/>
        </w:rPr>
        <w:tab/>
      </w:r>
      <w:r>
        <w:rPr>
          <w:rFonts w:ascii="Arial"/>
          <w:i/>
          <w:sz w:val="20"/>
        </w:rPr>
        <w:t>[1994]</w:t>
      </w:r>
      <w:r>
        <w:rPr>
          <w:rFonts w:ascii="Arial"/>
          <w:i/>
          <w:spacing w:val="-2"/>
          <w:sz w:val="20"/>
        </w:rPr>
        <w:t> </w:t>
      </w:r>
      <w:r>
        <w:rPr>
          <w:rFonts w:ascii="Arial"/>
          <w:i/>
          <w:sz w:val="20"/>
        </w:rPr>
        <w:t>1 A.C. </w:t>
      </w:r>
      <w:r>
        <w:rPr>
          <w:rFonts w:ascii="Arial"/>
          <w:i/>
          <w:spacing w:val="-4"/>
          <w:sz w:val="20"/>
        </w:rPr>
        <w:t>180</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277" w:id="279"/>
      <w:bookmarkEnd w:id="279"/>
      <w:r>
        <w:rPr/>
      </w:r>
      <w:hyperlink w:history="true" w:anchor="_bookmark250">
        <w:r>
          <w:rPr>
            <w:color w:val="005DA1"/>
            <w:spacing w:val="-4"/>
            <w:position w:val="5"/>
            <w:sz w:val="14"/>
            <w:u w:val="single" w:color="005DA1"/>
          </w:rPr>
          <w:t>140</w:t>
        </w:r>
      </w:hyperlink>
      <w:r>
        <w:rPr>
          <w:spacing w:val="-4"/>
          <w:position w:val="5"/>
          <w:sz w:val="14"/>
        </w:rPr>
        <w:t>.</w:t>
      </w:r>
      <w:r>
        <w:rPr>
          <w:position w:val="5"/>
          <w:sz w:val="14"/>
        </w:rPr>
        <w:tab/>
      </w:r>
      <w:r>
        <w:rPr>
          <w:rFonts w:ascii="Arial"/>
          <w:i/>
          <w:sz w:val="20"/>
        </w:rPr>
        <w:t>[1994]</w:t>
      </w:r>
      <w:r>
        <w:rPr>
          <w:rFonts w:ascii="Arial"/>
          <w:i/>
          <w:spacing w:val="-3"/>
          <w:sz w:val="20"/>
        </w:rPr>
        <w:t> </w:t>
      </w:r>
      <w:r>
        <w:rPr>
          <w:rFonts w:ascii="Arial"/>
          <w:i/>
          <w:sz w:val="20"/>
        </w:rPr>
        <w:t>1 A.C. 180</w:t>
      </w:r>
      <w:r>
        <w:rPr>
          <w:sz w:val="20"/>
        </w:rPr>
        <w:t>, at </w:t>
      </w:r>
      <w:r>
        <w:rPr>
          <w:spacing w:val="-4"/>
          <w:sz w:val="20"/>
        </w:rPr>
        <w:t>196.</w:t>
      </w:r>
    </w:p>
    <w:p>
      <w:pPr>
        <w:pStyle w:val="BodyText"/>
        <w:spacing w:before="4"/>
      </w:pPr>
    </w:p>
    <w:p>
      <w:pPr>
        <w:tabs>
          <w:tab w:pos="705" w:val="left" w:leader="none"/>
        </w:tabs>
        <w:spacing w:before="1"/>
        <w:ind w:left="165" w:right="0" w:firstLine="0"/>
        <w:jc w:val="left"/>
        <w:rPr>
          <w:sz w:val="20"/>
        </w:rPr>
      </w:pPr>
      <w:bookmarkStart w:name="_bookmark278" w:id="280"/>
      <w:bookmarkEnd w:id="280"/>
      <w:r>
        <w:rPr/>
      </w:r>
      <w:hyperlink w:history="true" w:anchor="_bookmark251">
        <w:r>
          <w:rPr>
            <w:color w:val="005DA1"/>
            <w:spacing w:val="-4"/>
            <w:position w:val="5"/>
            <w:sz w:val="14"/>
            <w:u w:val="single" w:color="005DA1"/>
          </w:rPr>
          <w:t>141</w:t>
        </w:r>
      </w:hyperlink>
      <w:r>
        <w:rPr>
          <w:spacing w:val="-4"/>
          <w:position w:val="5"/>
          <w:sz w:val="14"/>
        </w:rPr>
        <w:t>.</w:t>
      </w:r>
      <w:r>
        <w:rPr>
          <w:position w:val="5"/>
          <w:sz w:val="14"/>
        </w:rPr>
        <w:tab/>
      </w:r>
      <w:r>
        <w:rPr>
          <w:rFonts w:ascii="Arial"/>
          <w:i/>
          <w:sz w:val="20"/>
        </w:rPr>
        <w:t>[2001]</w:t>
      </w:r>
      <w:r>
        <w:rPr>
          <w:rFonts w:ascii="Arial"/>
          <w:i/>
          <w:spacing w:val="-1"/>
          <w:sz w:val="20"/>
        </w:rPr>
        <w:t> </w:t>
      </w:r>
      <w:r>
        <w:rPr>
          <w:rFonts w:ascii="Arial"/>
          <w:i/>
          <w:sz w:val="20"/>
        </w:rPr>
        <w:t>UKHL 44, [2002] 2 A.C. 773</w:t>
      </w:r>
      <w:r>
        <w:rPr>
          <w:sz w:val="20"/>
        </w:rPr>
        <w:t>. This case and seven other appeals were heard </w:t>
      </w:r>
      <w:r>
        <w:rPr>
          <w:spacing w:val="-2"/>
          <w:sz w:val="20"/>
        </w:rPr>
        <w:t>together.</w:t>
      </w:r>
    </w:p>
    <w:p>
      <w:pPr>
        <w:pStyle w:val="BodyText"/>
        <w:spacing w:before="4"/>
      </w:pPr>
    </w:p>
    <w:p>
      <w:pPr>
        <w:tabs>
          <w:tab w:pos="705" w:val="left" w:leader="none"/>
        </w:tabs>
        <w:spacing w:before="1"/>
        <w:ind w:left="165" w:right="0" w:firstLine="0"/>
        <w:jc w:val="left"/>
        <w:rPr>
          <w:sz w:val="20"/>
        </w:rPr>
      </w:pPr>
      <w:bookmarkStart w:name="_bookmark279" w:id="281"/>
      <w:bookmarkEnd w:id="281"/>
      <w:r>
        <w:rPr/>
      </w:r>
      <w:hyperlink w:history="true" w:anchor="_bookmark252">
        <w:r>
          <w:rPr>
            <w:color w:val="005DA1"/>
            <w:spacing w:val="-4"/>
            <w:position w:val="5"/>
            <w:sz w:val="14"/>
            <w:u w:val="single" w:color="005DA1"/>
          </w:rPr>
          <w:t>142</w:t>
        </w:r>
      </w:hyperlink>
      <w:r>
        <w:rPr>
          <w:spacing w:val="-4"/>
          <w:position w:val="5"/>
          <w:sz w:val="14"/>
        </w:rPr>
        <w:t>.</w:t>
      </w:r>
      <w:r>
        <w:rPr>
          <w:position w:val="5"/>
          <w:sz w:val="14"/>
        </w:rPr>
        <w:tab/>
      </w:r>
      <w:r>
        <w:rPr>
          <w:rFonts w:ascii="Arial"/>
          <w:i/>
          <w:sz w:val="20"/>
        </w:rPr>
        <w:t>[2001]</w:t>
      </w:r>
      <w:r>
        <w:rPr>
          <w:rFonts w:ascii="Arial"/>
          <w:i/>
          <w:spacing w:val="-2"/>
          <w:sz w:val="20"/>
        </w:rPr>
        <w:t> </w:t>
      </w:r>
      <w:r>
        <w:rPr>
          <w:rFonts w:ascii="Arial"/>
          <w:i/>
          <w:sz w:val="20"/>
        </w:rPr>
        <w:t>UKHL 44</w:t>
      </w:r>
      <w:r>
        <w:rPr>
          <w:rFonts w:ascii="Arial"/>
          <w:i/>
          <w:spacing w:val="-1"/>
          <w:sz w:val="20"/>
        </w:rPr>
        <w:t> </w:t>
      </w:r>
      <w:r>
        <w:rPr>
          <w:sz w:val="20"/>
        </w:rPr>
        <w:t>at </w:t>
      </w:r>
      <w:r>
        <w:rPr>
          <w:spacing w:val="-2"/>
          <w:sz w:val="20"/>
        </w:rPr>
        <w:t>[87].</w:t>
      </w:r>
    </w:p>
    <w:p>
      <w:pPr>
        <w:pStyle w:val="BodyText"/>
        <w:spacing w:before="8"/>
      </w:pPr>
    </w:p>
    <w:p>
      <w:pPr>
        <w:spacing w:line="235" w:lineRule="auto" w:before="0"/>
        <w:ind w:left="705" w:right="168" w:hanging="541"/>
        <w:jc w:val="both"/>
        <w:rPr>
          <w:sz w:val="20"/>
        </w:rPr>
      </w:pPr>
      <w:bookmarkStart w:name="_bookmark280" w:id="282"/>
      <w:bookmarkEnd w:id="282"/>
      <w:r>
        <w:rPr/>
      </w:r>
      <w:hyperlink w:history="true" w:anchor="_bookmark253">
        <w:r>
          <w:rPr>
            <w:color w:val="005DA1"/>
            <w:position w:val="5"/>
            <w:sz w:val="14"/>
            <w:u w:val="single" w:color="005DA1"/>
          </w:rPr>
          <w:t>143</w:t>
        </w:r>
      </w:hyperlink>
      <w:r>
        <w:rPr>
          <w:position w:val="5"/>
          <w:sz w:val="14"/>
        </w:rPr>
        <w:t>.</w:t>
      </w:r>
      <w:r>
        <w:rPr>
          <w:spacing w:val="80"/>
          <w:position w:val="5"/>
          <w:sz w:val="14"/>
        </w:rPr>
        <w:t>  </w:t>
      </w:r>
      <w:r>
        <w:rPr>
          <w:sz w:val="20"/>
        </w:rPr>
        <w:t>See below, paras 8-108 et seq. The principles laid down in the </w:t>
      </w:r>
      <w:r>
        <w:rPr>
          <w:rFonts w:ascii="Arial"/>
          <w:i/>
          <w:sz w:val="20"/>
        </w:rPr>
        <w:t>Etridge </w:t>
      </w:r>
      <w:r>
        <w:rPr>
          <w:sz w:val="20"/>
        </w:rPr>
        <w:t>cases apply equally</w:t>
      </w:r>
      <w:r>
        <w:rPr>
          <w:spacing w:val="40"/>
          <w:sz w:val="20"/>
        </w:rPr>
        <w:t> </w:t>
      </w:r>
      <w:r>
        <w:rPr>
          <w:sz w:val="20"/>
        </w:rPr>
        <w:t>when there has been misrepresentation by the debtor: </w:t>
      </w:r>
      <w:r>
        <w:rPr>
          <w:rFonts w:ascii="Arial"/>
          <w:i/>
          <w:sz w:val="20"/>
        </w:rPr>
        <w:t>Royal Bank of Scotland Plc v Chandra [2011] EWCA Civ 192 </w:t>
      </w:r>
      <w:r>
        <w:rPr>
          <w:sz w:val="20"/>
        </w:rPr>
        <w:t>at [30]; </w:t>
      </w:r>
      <w:r>
        <w:rPr>
          <w:rFonts w:ascii="Arial"/>
          <w:i/>
          <w:sz w:val="20"/>
        </w:rPr>
        <w:t>Annulment Funding Co Ltd v Cowey [2010] EWCA Civ 711 </w:t>
      </w:r>
      <w:r>
        <w:rPr>
          <w:sz w:val="20"/>
        </w:rPr>
        <w:t>at </w:t>
      </w:r>
      <w:r>
        <w:rPr>
          <w:spacing w:val="-2"/>
          <w:sz w:val="20"/>
        </w:rPr>
        <w:t>[64].</w:t>
      </w:r>
    </w:p>
    <w:p>
      <w:pPr>
        <w:pStyle w:val="BodyText"/>
        <w:spacing w:before="9"/>
      </w:pPr>
    </w:p>
    <w:p>
      <w:pPr>
        <w:tabs>
          <w:tab w:pos="705" w:val="left" w:leader="none"/>
        </w:tabs>
        <w:spacing w:line="235" w:lineRule="auto" w:before="0"/>
        <w:ind w:left="705" w:right="168" w:hanging="541"/>
        <w:jc w:val="left"/>
        <w:rPr>
          <w:sz w:val="20"/>
        </w:rPr>
      </w:pPr>
      <w:bookmarkStart w:name="_bookmark281" w:id="283"/>
      <w:bookmarkEnd w:id="283"/>
      <w:r>
        <w:rPr/>
      </w:r>
      <w:hyperlink w:history="true" w:anchor="_bookmark254">
        <w:r>
          <w:rPr>
            <w:color w:val="005DA1"/>
            <w:spacing w:val="-4"/>
            <w:position w:val="5"/>
            <w:sz w:val="14"/>
            <w:u w:val="single" w:color="005DA1"/>
          </w:rPr>
          <w:t>144</w:t>
        </w:r>
      </w:hyperlink>
      <w:r>
        <w:rPr>
          <w:spacing w:val="-4"/>
          <w:position w:val="5"/>
          <w:sz w:val="14"/>
        </w:rPr>
        <w:t>.</w:t>
      </w:r>
      <w:r>
        <w:rPr>
          <w:position w:val="5"/>
          <w:sz w:val="14"/>
        </w:rPr>
        <w:tab/>
      </w:r>
      <w:r>
        <w:rPr>
          <w:rFonts w:ascii="Arial"/>
          <w:i/>
          <w:sz w:val="20"/>
        </w:rPr>
        <w:t>Royal Bank of Scotland v Etridge (No.2) [2001] UKHL 44, [2002] 2 A.C. 773</w:t>
      </w:r>
      <w:r>
        <w:rPr>
          <w:sz w:val="20"/>
        </w:rPr>
        <w:t>, at [67], per Lord</w:t>
      </w:r>
      <w:r>
        <w:rPr>
          <w:spacing w:val="40"/>
          <w:sz w:val="20"/>
        </w:rPr>
        <w:t> </w:t>
      </w:r>
      <w:r>
        <w:rPr>
          <w:sz w:val="20"/>
        </w:rPr>
        <w:t>Nicholls, with whose speech the rest of the House concurred: see below, para.8-113.</w:t>
      </w:r>
    </w:p>
    <w:p>
      <w:pPr>
        <w:pStyle w:val="BodyText"/>
        <w:spacing w:before="9"/>
      </w:pPr>
    </w:p>
    <w:p>
      <w:pPr>
        <w:pStyle w:val="BodyText"/>
        <w:spacing w:line="235" w:lineRule="auto"/>
        <w:ind w:left="705" w:right="167" w:hanging="541"/>
        <w:jc w:val="both"/>
      </w:pPr>
      <w:bookmarkStart w:name="_bookmark282" w:id="284"/>
      <w:bookmarkEnd w:id="284"/>
      <w:r>
        <w:rPr/>
      </w:r>
      <w:hyperlink w:history="true" w:anchor="_bookmark255">
        <w:r>
          <w:rPr>
            <w:color w:val="005DA1"/>
            <w:position w:val="5"/>
            <w:sz w:val="14"/>
            <w:u w:val="single" w:color="005DA1"/>
          </w:rPr>
          <w:t>145</w:t>
        </w:r>
      </w:hyperlink>
      <w:r>
        <w:rPr>
          <w:position w:val="5"/>
          <w:sz w:val="14"/>
        </w:rPr>
        <w:t>.</w:t>
      </w:r>
      <w:r>
        <w:rPr>
          <w:spacing w:val="40"/>
          <w:position w:val="5"/>
          <w:sz w:val="14"/>
        </w:rPr>
        <w:t>  </w:t>
      </w:r>
      <w:r>
        <w:rPr>
          <w:rFonts w:ascii="Arial" w:hAnsi="Arial"/>
          <w:i/>
        </w:rPr>
        <w:t>[2001] UKHL 44 </w:t>
      </w:r>
      <w:r>
        <w:rPr/>
        <w:t>at [79]. Lord Nicholls pointed out that the bank may need to get the </w:t>
      </w:r>
      <w:r>
        <w:rPr/>
        <w:t>customer’s consent to the circulation of this confidential information and, if consent is not forthcoming, the transaction will not be able to proceed. The steps described were said to be applicable to future transactions: at [80].</w:t>
      </w:r>
    </w:p>
    <w:p>
      <w:pPr>
        <w:pStyle w:val="BodyText"/>
        <w:spacing w:before="5"/>
      </w:pPr>
    </w:p>
    <w:p>
      <w:pPr>
        <w:tabs>
          <w:tab w:pos="705" w:val="left" w:leader="none"/>
        </w:tabs>
        <w:spacing w:before="0"/>
        <w:ind w:left="165" w:right="0" w:firstLine="0"/>
        <w:jc w:val="left"/>
        <w:rPr>
          <w:sz w:val="20"/>
        </w:rPr>
      </w:pPr>
      <w:bookmarkStart w:name="_bookmark283" w:id="285"/>
      <w:bookmarkEnd w:id="285"/>
      <w:r>
        <w:rPr/>
      </w:r>
      <w:hyperlink w:history="true" w:anchor="_bookmark256">
        <w:r>
          <w:rPr>
            <w:color w:val="005DA1"/>
            <w:spacing w:val="-4"/>
            <w:position w:val="5"/>
            <w:sz w:val="14"/>
            <w:u w:val="single" w:color="005DA1"/>
          </w:rPr>
          <w:t>146</w:t>
        </w:r>
      </w:hyperlink>
      <w:r>
        <w:rPr>
          <w:spacing w:val="-4"/>
          <w:position w:val="5"/>
          <w:sz w:val="14"/>
        </w:rPr>
        <w:t>.</w:t>
      </w:r>
      <w:r>
        <w:rPr>
          <w:position w:val="5"/>
          <w:sz w:val="14"/>
        </w:rPr>
        <w:tab/>
      </w:r>
      <w:r>
        <w:rPr>
          <w:sz w:val="20"/>
        </w:rPr>
        <w:t>cf. </w:t>
      </w:r>
      <w:r>
        <w:rPr>
          <w:rFonts w:ascii="Arial"/>
          <w:i/>
          <w:sz w:val="20"/>
        </w:rPr>
        <w:t>Massey v Midland Bank Plc [1995] 1 All E.R. </w:t>
      </w:r>
      <w:r>
        <w:rPr>
          <w:rFonts w:ascii="Arial"/>
          <w:i/>
          <w:spacing w:val="-4"/>
          <w:sz w:val="20"/>
        </w:rPr>
        <w:t>929</w:t>
      </w:r>
      <w:r>
        <w:rPr>
          <w:spacing w:val="-4"/>
          <w:sz w:val="20"/>
        </w:rPr>
        <w:t>.</w:t>
      </w:r>
    </w:p>
    <w:p>
      <w:pPr>
        <w:pStyle w:val="BodyText"/>
        <w:spacing w:before="9"/>
      </w:pPr>
    </w:p>
    <w:p>
      <w:pPr>
        <w:spacing w:line="235" w:lineRule="auto" w:before="0"/>
        <w:ind w:left="705" w:right="167" w:hanging="541"/>
        <w:jc w:val="both"/>
        <w:rPr>
          <w:sz w:val="20"/>
        </w:rPr>
      </w:pPr>
      <w:bookmarkStart w:name="_bookmark284" w:id="286"/>
      <w:bookmarkEnd w:id="286"/>
      <w:r>
        <w:rPr/>
      </w:r>
      <w:hyperlink w:history="true" w:anchor="_bookmark257">
        <w:r>
          <w:rPr>
            <w:color w:val="005DA1"/>
            <w:position w:val="5"/>
            <w:sz w:val="14"/>
            <w:u w:val="single" w:color="005DA1"/>
          </w:rPr>
          <w:t>147</w:t>
        </w:r>
      </w:hyperlink>
      <w:r>
        <w:rPr>
          <w:position w:val="5"/>
          <w:sz w:val="14"/>
        </w:rPr>
        <w:t>.</w:t>
      </w:r>
      <w:r>
        <w:rPr>
          <w:spacing w:val="40"/>
          <w:position w:val="5"/>
          <w:sz w:val="14"/>
        </w:rPr>
        <w:t>  </w:t>
      </w:r>
      <w:r>
        <w:rPr>
          <w:rFonts w:ascii="Arial" w:hAnsi="Arial"/>
          <w:i/>
          <w:sz w:val="20"/>
        </w:rPr>
        <w:t>Crédit Lyonnais Bank Nederland v Export Credit Guarantee Department [1996] 1 Lloyd’s </w:t>
      </w:r>
      <w:r>
        <w:rPr>
          <w:rFonts w:ascii="Arial" w:hAnsi="Arial"/>
          <w:i/>
          <w:sz w:val="20"/>
        </w:rPr>
        <w:t>Rep. 200</w:t>
      </w:r>
      <w:r>
        <w:rPr>
          <w:sz w:val="20"/>
        </w:rPr>
        <w:t>; </w:t>
      </w:r>
      <w:r>
        <w:rPr>
          <w:rFonts w:ascii="Arial" w:hAnsi="Arial"/>
          <w:i/>
          <w:sz w:val="20"/>
        </w:rPr>
        <w:t>Royal Bank of Scotland v Etridge (No.2) [2001] UKHL 44, [2002] 2 A.C. 773 </w:t>
      </w:r>
      <w:r>
        <w:rPr>
          <w:sz w:val="20"/>
        </w:rPr>
        <w:t>at [81]; below, </w:t>
      </w:r>
      <w:r>
        <w:rPr>
          <w:spacing w:val="-2"/>
          <w:sz w:val="20"/>
        </w:rPr>
        <w:t>para.7-174.</w:t>
      </w:r>
    </w:p>
    <w:p>
      <w:pPr>
        <w:pStyle w:val="BodyText"/>
        <w:spacing w:before="5"/>
      </w:pPr>
    </w:p>
    <w:p>
      <w:pPr>
        <w:pStyle w:val="BodyText"/>
        <w:tabs>
          <w:tab w:pos="705" w:val="left" w:leader="none"/>
        </w:tabs>
        <w:ind w:left="165"/>
      </w:pPr>
      <w:bookmarkStart w:name="_bookmark285" w:id="287"/>
      <w:bookmarkEnd w:id="287"/>
      <w:r>
        <w:rPr/>
      </w:r>
      <w:hyperlink w:history="true" w:anchor="_bookmark258">
        <w:r>
          <w:rPr>
            <w:color w:val="005DA1"/>
            <w:spacing w:val="-4"/>
            <w:position w:val="5"/>
            <w:sz w:val="14"/>
            <w:u w:val="single" w:color="005DA1"/>
          </w:rPr>
          <w:t>148</w:t>
        </w:r>
      </w:hyperlink>
      <w:r>
        <w:rPr>
          <w:spacing w:val="-4"/>
          <w:position w:val="5"/>
          <w:sz w:val="14"/>
        </w:rPr>
        <w:t>.</w:t>
      </w:r>
      <w:r>
        <w:rPr>
          <w:position w:val="5"/>
          <w:sz w:val="14"/>
        </w:rPr>
        <w:tab/>
      </w:r>
      <w:r>
        <w:rPr/>
        <w:t>See below, paras 7-181 and 8-</w:t>
      </w:r>
      <w:r>
        <w:rPr>
          <w:spacing w:val="-4"/>
        </w:rPr>
        <w:t>069.</w:t>
      </w:r>
    </w:p>
    <w:p>
      <w:pPr>
        <w:pStyle w:val="BodyText"/>
        <w:spacing w:before="5"/>
      </w:pPr>
    </w:p>
    <w:p>
      <w:pPr>
        <w:tabs>
          <w:tab w:pos="705" w:val="left" w:leader="none"/>
        </w:tabs>
        <w:spacing w:before="0"/>
        <w:ind w:left="165" w:right="0" w:firstLine="0"/>
        <w:jc w:val="left"/>
        <w:rPr>
          <w:sz w:val="20"/>
        </w:rPr>
      </w:pPr>
      <w:bookmarkStart w:name="_bookmark286" w:id="288"/>
      <w:bookmarkEnd w:id="288"/>
      <w:r>
        <w:rPr/>
      </w:r>
      <w:hyperlink w:history="true" w:anchor="_bookmark259">
        <w:r>
          <w:rPr>
            <w:color w:val="005DA1"/>
            <w:spacing w:val="-4"/>
            <w:position w:val="5"/>
            <w:sz w:val="14"/>
            <w:u w:val="single" w:color="005DA1"/>
          </w:rPr>
          <w:t>149</w:t>
        </w:r>
      </w:hyperlink>
      <w:r>
        <w:rPr>
          <w:spacing w:val="-4"/>
          <w:position w:val="5"/>
          <w:sz w:val="14"/>
        </w:rPr>
        <w:t>.</w:t>
      </w:r>
      <w:r>
        <w:rPr>
          <w:position w:val="5"/>
          <w:sz w:val="14"/>
        </w:rPr>
        <w:tab/>
      </w:r>
      <w:r>
        <w:rPr>
          <w:rFonts w:ascii="Arial"/>
          <w:i/>
          <w:sz w:val="20"/>
        </w:rPr>
        <w:t>[1995]</w:t>
      </w:r>
      <w:r>
        <w:rPr>
          <w:rFonts w:ascii="Arial"/>
          <w:i/>
          <w:spacing w:val="-1"/>
          <w:sz w:val="20"/>
        </w:rPr>
        <w:t> </w:t>
      </w:r>
      <w:r>
        <w:rPr>
          <w:rFonts w:ascii="Arial"/>
          <w:i/>
          <w:sz w:val="20"/>
        </w:rPr>
        <w:t>1 W.L.R. 430</w:t>
      </w:r>
      <w:r>
        <w:rPr>
          <w:sz w:val="20"/>
        </w:rPr>
        <w:t>. See further below, para.7-</w:t>
      </w:r>
      <w:r>
        <w:rPr>
          <w:spacing w:val="-4"/>
          <w:sz w:val="20"/>
        </w:rPr>
        <w:t>126.</w:t>
      </w:r>
    </w:p>
    <w:p>
      <w:pPr>
        <w:pStyle w:val="BodyText"/>
        <w:spacing w:before="9"/>
      </w:pPr>
    </w:p>
    <w:p>
      <w:pPr>
        <w:pStyle w:val="BodyText"/>
        <w:spacing w:line="235" w:lineRule="auto"/>
        <w:ind w:left="705" w:right="167" w:hanging="541"/>
        <w:jc w:val="both"/>
      </w:pPr>
      <w:bookmarkStart w:name="_bookmark287" w:id="289"/>
      <w:bookmarkEnd w:id="289"/>
      <w:r>
        <w:rPr/>
      </w:r>
      <w:hyperlink w:history="true" w:anchor="_bookmark260">
        <w:r>
          <w:rPr>
            <w:color w:val="005DA1"/>
            <w:position w:val="5"/>
            <w:sz w:val="14"/>
            <w:u w:val="single" w:color="005DA1"/>
          </w:rPr>
          <w:t>150</w:t>
        </w:r>
      </w:hyperlink>
      <w:r>
        <w:rPr>
          <w:position w:val="5"/>
          <w:sz w:val="14"/>
        </w:rPr>
        <w:t>.</w:t>
      </w:r>
      <w:r>
        <w:rPr>
          <w:spacing w:val="80"/>
          <w:position w:val="5"/>
          <w:sz w:val="14"/>
        </w:rPr>
        <w:t>  </w:t>
      </w:r>
      <w:r>
        <w:rPr/>
        <w:t>This was said to be implicit in Misrepresentation Act 1967 s.2(2), which also implies that the court</w:t>
      </w:r>
      <w:r>
        <w:rPr>
          <w:spacing w:val="40"/>
        </w:rPr>
        <w:t> </w:t>
      </w:r>
      <w:r>
        <w:rPr/>
        <w:t>had</w:t>
      </w:r>
      <w:r>
        <w:rPr>
          <w:spacing w:val="40"/>
        </w:rPr>
        <w:t> </w:t>
      </w:r>
      <w:r>
        <w:rPr/>
        <w:t>no</w:t>
      </w:r>
      <w:r>
        <w:rPr>
          <w:spacing w:val="40"/>
        </w:rPr>
        <w:t> </w:t>
      </w:r>
      <w:r>
        <w:rPr/>
        <w:t>discretion</w:t>
      </w:r>
      <w:r>
        <w:rPr>
          <w:spacing w:val="40"/>
        </w:rPr>
        <w:t> </w:t>
      </w:r>
      <w:r>
        <w:rPr/>
        <w:t>save</w:t>
      </w:r>
      <w:r>
        <w:rPr>
          <w:spacing w:val="40"/>
        </w:rPr>
        <w:t> </w:t>
      </w:r>
      <w:r>
        <w:rPr/>
        <w:t>under</w:t>
      </w:r>
      <w:r>
        <w:rPr>
          <w:spacing w:val="40"/>
        </w:rPr>
        <w:t> </w:t>
      </w:r>
      <w:r>
        <w:rPr/>
        <w:t>that</w:t>
      </w:r>
      <w:r>
        <w:rPr>
          <w:spacing w:val="40"/>
        </w:rPr>
        <w:t> </w:t>
      </w:r>
      <w:r>
        <w:rPr/>
        <w:t>subsection.</w:t>
      </w:r>
      <w:r>
        <w:rPr>
          <w:spacing w:val="40"/>
        </w:rPr>
        <w:t> </w:t>
      </w:r>
      <w:r>
        <w:rPr/>
        <w:t>(On</w:t>
      </w:r>
      <w:r>
        <w:rPr>
          <w:spacing w:val="40"/>
        </w:rPr>
        <w:t> </w:t>
      </w:r>
      <w:r>
        <w:rPr/>
        <w:t>partial</w:t>
      </w:r>
      <w:r>
        <w:rPr>
          <w:spacing w:val="40"/>
        </w:rPr>
        <w:t> </w:t>
      </w:r>
      <w:r>
        <w:rPr/>
        <w:t>rescission</w:t>
      </w:r>
      <w:r>
        <w:rPr>
          <w:spacing w:val="40"/>
        </w:rPr>
        <w:t> </w:t>
      </w:r>
      <w:r>
        <w:rPr/>
        <w:t>see</w:t>
      </w:r>
      <w:r>
        <w:rPr>
          <w:spacing w:val="40"/>
        </w:rPr>
        <w:t> </w:t>
      </w:r>
      <w:r>
        <w:rPr/>
        <w:t>below, para.7-126.) The subsection does not apply as between a misrepresentee and a third party.</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288" w:id="290"/>
      <w:bookmarkEnd w:id="290"/>
      <w:r>
        <w:rPr/>
      </w:r>
      <w:hyperlink w:history="true" w:anchor="_bookmark261">
        <w:r>
          <w:rPr>
            <w:color w:val="005DA1"/>
            <w:spacing w:val="-4"/>
            <w:position w:val="5"/>
            <w:sz w:val="14"/>
            <w:u w:val="single" w:color="005DA1"/>
          </w:rPr>
          <w:t>151</w:t>
        </w:r>
      </w:hyperlink>
      <w:r>
        <w:rPr>
          <w:spacing w:val="-4"/>
          <w:position w:val="5"/>
          <w:sz w:val="14"/>
        </w:rPr>
        <w:t>.</w:t>
      </w:r>
      <w:r>
        <w:rPr>
          <w:position w:val="5"/>
          <w:sz w:val="14"/>
        </w:rPr>
        <w:tab/>
      </w:r>
      <w:r>
        <w:rPr>
          <w:rFonts w:ascii="Arial"/>
          <w:i/>
          <w:sz w:val="20"/>
        </w:rPr>
        <w:t>Dunbar</w:t>
      </w:r>
      <w:r>
        <w:rPr>
          <w:rFonts w:ascii="Arial"/>
          <w:i/>
          <w:spacing w:val="1"/>
          <w:sz w:val="20"/>
        </w:rPr>
        <w:t> </w:t>
      </w:r>
      <w:r>
        <w:rPr>
          <w:rFonts w:ascii="Arial"/>
          <w:i/>
          <w:sz w:val="20"/>
        </w:rPr>
        <w:t>Bank</w:t>
      </w:r>
      <w:r>
        <w:rPr>
          <w:rFonts w:ascii="Arial"/>
          <w:i/>
          <w:spacing w:val="2"/>
          <w:sz w:val="20"/>
        </w:rPr>
        <w:t> </w:t>
      </w:r>
      <w:r>
        <w:rPr>
          <w:rFonts w:ascii="Arial"/>
          <w:i/>
          <w:sz w:val="20"/>
        </w:rPr>
        <w:t>Plc</w:t>
      </w:r>
      <w:r>
        <w:rPr>
          <w:rFonts w:ascii="Arial"/>
          <w:i/>
          <w:spacing w:val="2"/>
          <w:sz w:val="20"/>
        </w:rPr>
        <w:t> </w:t>
      </w:r>
      <w:r>
        <w:rPr>
          <w:rFonts w:ascii="Arial"/>
          <w:i/>
          <w:sz w:val="20"/>
        </w:rPr>
        <w:t>v</w:t>
      </w:r>
      <w:r>
        <w:rPr>
          <w:rFonts w:ascii="Arial"/>
          <w:i/>
          <w:spacing w:val="2"/>
          <w:sz w:val="20"/>
        </w:rPr>
        <w:t> </w:t>
      </w:r>
      <w:r>
        <w:rPr>
          <w:rFonts w:ascii="Arial"/>
          <w:i/>
          <w:sz w:val="20"/>
        </w:rPr>
        <w:t>Nadeem</w:t>
      </w:r>
      <w:r>
        <w:rPr>
          <w:rFonts w:ascii="Arial"/>
          <w:i/>
          <w:spacing w:val="2"/>
          <w:sz w:val="20"/>
        </w:rPr>
        <w:t> </w:t>
      </w:r>
      <w:r>
        <w:rPr>
          <w:rFonts w:ascii="Arial"/>
          <w:i/>
          <w:sz w:val="20"/>
        </w:rPr>
        <w:t>[1998]</w:t>
      </w:r>
      <w:r>
        <w:rPr>
          <w:rFonts w:ascii="Arial"/>
          <w:i/>
          <w:spacing w:val="2"/>
          <w:sz w:val="20"/>
        </w:rPr>
        <w:t> </w:t>
      </w:r>
      <w:r>
        <w:rPr>
          <w:rFonts w:ascii="Arial"/>
          <w:i/>
          <w:sz w:val="20"/>
        </w:rPr>
        <w:t>3</w:t>
      </w:r>
      <w:r>
        <w:rPr>
          <w:rFonts w:ascii="Arial"/>
          <w:i/>
          <w:spacing w:val="2"/>
          <w:sz w:val="20"/>
        </w:rPr>
        <w:t> </w:t>
      </w:r>
      <w:r>
        <w:rPr>
          <w:rFonts w:ascii="Arial"/>
          <w:i/>
          <w:sz w:val="20"/>
        </w:rPr>
        <w:t>All</w:t>
      </w:r>
      <w:r>
        <w:rPr>
          <w:rFonts w:ascii="Arial"/>
          <w:i/>
          <w:spacing w:val="2"/>
          <w:sz w:val="20"/>
        </w:rPr>
        <w:t> </w:t>
      </w:r>
      <w:r>
        <w:rPr>
          <w:rFonts w:ascii="Arial"/>
          <w:i/>
          <w:sz w:val="20"/>
        </w:rPr>
        <w:t>E.R.</w:t>
      </w:r>
      <w:r>
        <w:rPr>
          <w:rFonts w:ascii="Arial"/>
          <w:i/>
          <w:spacing w:val="2"/>
          <w:sz w:val="20"/>
        </w:rPr>
        <w:t> </w:t>
      </w:r>
      <w:r>
        <w:rPr>
          <w:rFonts w:ascii="Arial"/>
          <w:i/>
          <w:sz w:val="20"/>
        </w:rPr>
        <w:t>876</w:t>
      </w:r>
      <w:r>
        <w:rPr>
          <w:sz w:val="20"/>
        </w:rPr>
        <w:t>;</w:t>
      </w:r>
      <w:r>
        <w:rPr>
          <w:spacing w:val="2"/>
          <w:sz w:val="20"/>
        </w:rPr>
        <w:t> </w:t>
      </w:r>
      <w:r>
        <w:rPr>
          <w:rFonts w:ascii="Arial"/>
          <w:i/>
          <w:sz w:val="20"/>
        </w:rPr>
        <w:t>Midland</w:t>
      </w:r>
      <w:r>
        <w:rPr>
          <w:rFonts w:ascii="Arial"/>
          <w:i/>
          <w:spacing w:val="2"/>
          <w:sz w:val="20"/>
        </w:rPr>
        <w:t> </w:t>
      </w:r>
      <w:r>
        <w:rPr>
          <w:rFonts w:ascii="Arial"/>
          <w:i/>
          <w:sz w:val="20"/>
        </w:rPr>
        <w:t>Bank</w:t>
      </w:r>
      <w:r>
        <w:rPr>
          <w:rFonts w:ascii="Arial"/>
          <w:i/>
          <w:spacing w:val="2"/>
          <w:sz w:val="20"/>
        </w:rPr>
        <w:t> </w:t>
      </w:r>
      <w:r>
        <w:rPr>
          <w:rFonts w:ascii="Arial"/>
          <w:i/>
          <w:sz w:val="20"/>
        </w:rPr>
        <w:t>Plc</w:t>
      </w:r>
      <w:r>
        <w:rPr>
          <w:rFonts w:ascii="Arial"/>
          <w:i/>
          <w:spacing w:val="2"/>
          <w:sz w:val="20"/>
        </w:rPr>
        <w:t> </w:t>
      </w:r>
      <w:r>
        <w:rPr>
          <w:rFonts w:ascii="Arial"/>
          <w:i/>
          <w:sz w:val="20"/>
        </w:rPr>
        <w:t>v</w:t>
      </w:r>
      <w:r>
        <w:rPr>
          <w:rFonts w:ascii="Arial"/>
          <w:i/>
          <w:spacing w:val="2"/>
          <w:sz w:val="20"/>
        </w:rPr>
        <w:t> </w:t>
      </w:r>
      <w:r>
        <w:rPr>
          <w:rFonts w:ascii="Arial"/>
          <w:i/>
          <w:sz w:val="20"/>
        </w:rPr>
        <w:t>Greene</w:t>
      </w:r>
      <w:r>
        <w:rPr>
          <w:rFonts w:ascii="Arial"/>
          <w:i/>
          <w:spacing w:val="2"/>
          <w:sz w:val="20"/>
        </w:rPr>
        <w:t> </w:t>
      </w:r>
      <w:r>
        <w:rPr>
          <w:rFonts w:ascii="Arial"/>
          <w:i/>
          <w:sz w:val="20"/>
        </w:rPr>
        <w:t>(1995)</w:t>
      </w:r>
      <w:r>
        <w:rPr>
          <w:rFonts w:ascii="Arial"/>
          <w:i/>
          <w:spacing w:val="2"/>
          <w:sz w:val="20"/>
        </w:rPr>
        <w:t> </w:t>
      </w:r>
      <w:r>
        <w:rPr>
          <w:rFonts w:ascii="Arial"/>
          <w:i/>
          <w:sz w:val="20"/>
        </w:rPr>
        <w:t>27</w:t>
      </w:r>
      <w:r>
        <w:rPr>
          <w:rFonts w:ascii="Arial"/>
          <w:i/>
          <w:spacing w:val="2"/>
          <w:sz w:val="20"/>
        </w:rPr>
        <w:t> </w:t>
      </w:r>
      <w:r>
        <w:rPr>
          <w:rFonts w:ascii="Arial"/>
          <w:i/>
          <w:spacing w:val="-2"/>
          <w:sz w:val="20"/>
        </w:rPr>
        <w:t>H.L.R.</w:t>
      </w:r>
    </w:p>
    <w:p>
      <w:pPr>
        <w:pStyle w:val="BodyText"/>
        <w:spacing w:line="227" w:lineRule="exact"/>
        <w:ind w:left="705"/>
      </w:pPr>
      <w:r>
        <w:rPr>
          <w:rFonts w:ascii="Arial"/>
          <w:i/>
        </w:rPr>
        <w:t>350</w:t>
      </w:r>
      <w:r>
        <w:rPr/>
        <w:t>.</w:t>
      </w:r>
      <w:r>
        <w:rPr>
          <w:spacing w:val="-1"/>
        </w:rPr>
        <w:t> </w:t>
      </w:r>
      <w:r>
        <w:rPr/>
        <w:t>See further below, paras 7-126 and 8-</w:t>
      </w:r>
      <w:r>
        <w:rPr>
          <w:spacing w:val="-4"/>
        </w:rPr>
        <w:t>102.</w:t>
      </w:r>
    </w:p>
    <w:p>
      <w:pPr>
        <w:pStyle w:val="BodyText"/>
        <w:spacing w:before="5"/>
      </w:pPr>
    </w:p>
    <w:p>
      <w:pPr>
        <w:tabs>
          <w:tab w:pos="705" w:val="left" w:leader="none"/>
        </w:tabs>
        <w:spacing w:before="0"/>
        <w:ind w:left="165" w:right="0" w:firstLine="0"/>
        <w:jc w:val="left"/>
        <w:rPr>
          <w:sz w:val="20"/>
        </w:rPr>
      </w:pPr>
      <w:bookmarkStart w:name="_bookmark289" w:id="291"/>
      <w:bookmarkEnd w:id="291"/>
      <w:r>
        <w:rPr/>
      </w:r>
      <w:hyperlink w:history="true" w:anchor="_bookmark262">
        <w:r>
          <w:rPr>
            <w:color w:val="005DA1"/>
            <w:spacing w:val="-4"/>
            <w:position w:val="5"/>
            <w:sz w:val="14"/>
            <w:u w:val="single" w:color="005DA1"/>
          </w:rPr>
          <w:t>152</w:t>
        </w:r>
      </w:hyperlink>
      <w:r>
        <w:rPr>
          <w:spacing w:val="-4"/>
          <w:position w:val="5"/>
          <w:sz w:val="14"/>
        </w:rPr>
        <w:t>.</w:t>
      </w:r>
      <w:r>
        <w:rPr>
          <w:position w:val="5"/>
          <w:sz w:val="14"/>
        </w:rPr>
        <w:tab/>
      </w:r>
      <w:r>
        <w:rPr>
          <w:rFonts w:ascii="Arial"/>
          <w:i/>
          <w:sz w:val="20"/>
        </w:rPr>
        <w:t>Barclays Bank Plc v Caplan [1998] 1 F.L.R. </w:t>
      </w:r>
      <w:r>
        <w:rPr>
          <w:rFonts w:ascii="Arial"/>
          <w:i/>
          <w:spacing w:val="-4"/>
          <w:sz w:val="20"/>
        </w:rPr>
        <w:t>532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90" w:id="292"/>
      <w:bookmarkEnd w:id="292"/>
      <w:r>
        <w:rPr/>
      </w:r>
      <w:hyperlink w:history="true" w:anchor="_bookmark263">
        <w:r>
          <w:rPr>
            <w:color w:val="005DA1"/>
            <w:spacing w:val="-4"/>
            <w:position w:val="5"/>
            <w:sz w:val="14"/>
            <w:u w:val="single" w:color="005DA1"/>
          </w:rPr>
          <w:t>153</w:t>
        </w:r>
      </w:hyperlink>
      <w:r>
        <w:rPr>
          <w:spacing w:val="-4"/>
          <w:position w:val="5"/>
          <w:sz w:val="14"/>
        </w:rPr>
        <w:t>.</w:t>
      </w:r>
      <w:r>
        <w:rPr>
          <w:position w:val="5"/>
          <w:sz w:val="14"/>
        </w:rPr>
        <w:tab/>
      </w:r>
      <w:r>
        <w:rPr>
          <w:rFonts w:ascii="Arial"/>
          <w:i/>
          <w:sz w:val="20"/>
        </w:rPr>
        <w:t>[1995]</w:t>
      </w:r>
      <w:r>
        <w:rPr>
          <w:rFonts w:ascii="Arial"/>
          <w:i/>
          <w:spacing w:val="-2"/>
          <w:sz w:val="20"/>
        </w:rPr>
        <w:t> </w:t>
      </w:r>
      <w:r>
        <w:rPr>
          <w:rFonts w:ascii="Arial"/>
          <w:i/>
          <w:sz w:val="20"/>
        </w:rPr>
        <w:t>1 W.L.R. </w:t>
      </w:r>
      <w:r>
        <w:rPr>
          <w:rFonts w:ascii="Arial"/>
          <w:i/>
          <w:spacing w:val="-4"/>
          <w:sz w:val="20"/>
        </w:rPr>
        <w:t>430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91" w:id="293"/>
      <w:bookmarkEnd w:id="293"/>
      <w:r>
        <w:rPr/>
      </w:r>
      <w:hyperlink w:history="true" w:anchor="_bookmark264">
        <w:r>
          <w:rPr>
            <w:color w:val="005DA1"/>
            <w:spacing w:val="-4"/>
            <w:position w:val="5"/>
            <w:sz w:val="14"/>
            <w:u w:val="single" w:color="005DA1"/>
          </w:rPr>
          <w:t>154</w:t>
        </w:r>
      </w:hyperlink>
      <w:r>
        <w:rPr>
          <w:spacing w:val="-4"/>
          <w:position w:val="5"/>
          <w:sz w:val="14"/>
        </w:rPr>
        <w:t>.</w:t>
      </w:r>
      <w:r>
        <w:rPr>
          <w:position w:val="5"/>
          <w:sz w:val="14"/>
        </w:rPr>
        <w:tab/>
      </w:r>
      <w:r>
        <w:rPr>
          <w:rFonts w:ascii="Arial"/>
          <w:i/>
          <w:sz w:val="20"/>
        </w:rPr>
        <w:t>[1997]</w:t>
      </w:r>
      <w:r>
        <w:rPr>
          <w:rFonts w:ascii="Arial"/>
          <w:i/>
          <w:spacing w:val="-2"/>
          <w:sz w:val="20"/>
        </w:rPr>
        <w:t> </w:t>
      </w:r>
      <w:r>
        <w:rPr>
          <w:rFonts w:ascii="Arial"/>
          <w:i/>
          <w:sz w:val="20"/>
        </w:rPr>
        <w:t>1 W.L.R. </w:t>
      </w:r>
      <w:r>
        <w:rPr>
          <w:rFonts w:ascii="Arial"/>
          <w:i/>
          <w:spacing w:val="-4"/>
          <w:sz w:val="20"/>
        </w:rPr>
        <w:t>221</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292" w:id="294"/>
      <w:bookmarkEnd w:id="294"/>
      <w:r>
        <w:rPr/>
      </w:r>
      <w:hyperlink w:history="true" w:anchor="_bookmark265">
        <w:r>
          <w:rPr>
            <w:color w:val="005DA1"/>
            <w:spacing w:val="-4"/>
            <w:position w:val="5"/>
            <w:sz w:val="14"/>
            <w:u w:val="single" w:color="005DA1"/>
          </w:rPr>
          <w:t>155</w:t>
        </w:r>
      </w:hyperlink>
      <w:r>
        <w:rPr>
          <w:spacing w:val="-4"/>
          <w:position w:val="5"/>
          <w:sz w:val="14"/>
        </w:rPr>
        <w:t>.</w:t>
      </w:r>
      <w:r>
        <w:rPr>
          <w:position w:val="5"/>
          <w:sz w:val="14"/>
        </w:rPr>
        <w:tab/>
      </w:r>
      <w:r>
        <w:rPr>
          <w:rFonts w:ascii="Arial" w:hAnsi="Arial"/>
          <w:i/>
          <w:sz w:val="20"/>
        </w:rPr>
        <w:t>Royal Bank of Scotland v Etridge (No.2) [1998] 4 All E.R. 705 CA, 717–718; [2001] UKHL 44 </w:t>
      </w:r>
      <w:r>
        <w:rPr>
          <w:sz w:val="20"/>
        </w:rPr>
        <w:t>at [39]. See also Proksch [1997] R.L.R. 71 and below, para.8-124.</w:t>
      </w:r>
    </w:p>
    <w:p>
      <w:pPr>
        <w:pStyle w:val="BodyText"/>
        <w:spacing w:before="5"/>
      </w:pPr>
    </w:p>
    <w:p>
      <w:pPr>
        <w:tabs>
          <w:tab w:pos="705" w:val="left" w:leader="none"/>
        </w:tabs>
        <w:spacing w:before="0"/>
        <w:ind w:left="165" w:right="0" w:firstLine="0"/>
        <w:jc w:val="left"/>
        <w:rPr>
          <w:sz w:val="20"/>
        </w:rPr>
      </w:pPr>
      <w:bookmarkStart w:name="_bookmark293" w:id="295"/>
      <w:bookmarkEnd w:id="295"/>
      <w:r>
        <w:rPr/>
      </w:r>
      <w:hyperlink w:history="true" w:anchor="_bookmark266">
        <w:r>
          <w:rPr>
            <w:color w:val="005DA1"/>
            <w:spacing w:val="-4"/>
            <w:position w:val="5"/>
            <w:sz w:val="14"/>
            <w:u w:val="single" w:color="005DA1"/>
          </w:rPr>
          <w:t>156</w:t>
        </w:r>
      </w:hyperlink>
      <w:r>
        <w:rPr>
          <w:spacing w:val="-4"/>
          <w:position w:val="5"/>
          <w:sz w:val="14"/>
        </w:rPr>
        <w:t>.</w:t>
      </w:r>
      <w:r>
        <w:rPr>
          <w:position w:val="5"/>
          <w:sz w:val="14"/>
        </w:rPr>
        <w:tab/>
      </w:r>
      <w:r>
        <w:rPr>
          <w:rFonts w:ascii="Arial"/>
          <w:i/>
          <w:sz w:val="20"/>
        </w:rPr>
        <w:t>Barclays</w:t>
      </w:r>
      <w:r>
        <w:rPr>
          <w:rFonts w:ascii="Arial"/>
          <w:i/>
          <w:spacing w:val="41"/>
          <w:sz w:val="20"/>
        </w:rPr>
        <w:t> </w:t>
      </w:r>
      <w:r>
        <w:rPr>
          <w:rFonts w:ascii="Arial"/>
          <w:i/>
          <w:sz w:val="20"/>
        </w:rPr>
        <w:t>Bank</w:t>
      </w:r>
      <w:r>
        <w:rPr>
          <w:rFonts w:ascii="Arial"/>
          <w:i/>
          <w:spacing w:val="42"/>
          <w:sz w:val="20"/>
        </w:rPr>
        <w:t> </w:t>
      </w:r>
      <w:r>
        <w:rPr>
          <w:rFonts w:ascii="Arial"/>
          <w:i/>
          <w:sz w:val="20"/>
        </w:rPr>
        <w:t>Plc</w:t>
      </w:r>
      <w:r>
        <w:rPr>
          <w:rFonts w:ascii="Arial"/>
          <w:i/>
          <w:spacing w:val="42"/>
          <w:sz w:val="20"/>
        </w:rPr>
        <w:t> </w:t>
      </w:r>
      <w:r>
        <w:rPr>
          <w:rFonts w:ascii="Arial"/>
          <w:i/>
          <w:sz w:val="20"/>
        </w:rPr>
        <w:t>v</w:t>
      </w:r>
      <w:r>
        <w:rPr>
          <w:rFonts w:ascii="Arial"/>
          <w:i/>
          <w:spacing w:val="42"/>
          <w:sz w:val="20"/>
        </w:rPr>
        <w:t> </w:t>
      </w:r>
      <w:r>
        <w:rPr>
          <w:rFonts w:ascii="Arial"/>
          <w:i/>
          <w:sz w:val="20"/>
        </w:rPr>
        <w:t>Boulter</w:t>
      </w:r>
      <w:r>
        <w:rPr>
          <w:rFonts w:ascii="Arial"/>
          <w:i/>
          <w:spacing w:val="42"/>
          <w:sz w:val="20"/>
        </w:rPr>
        <w:t> </w:t>
      </w:r>
      <w:r>
        <w:rPr>
          <w:rFonts w:ascii="Arial"/>
          <w:i/>
          <w:sz w:val="20"/>
        </w:rPr>
        <w:t>[1999]</w:t>
      </w:r>
      <w:r>
        <w:rPr>
          <w:rFonts w:ascii="Arial"/>
          <w:i/>
          <w:spacing w:val="42"/>
          <w:sz w:val="20"/>
        </w:rPr>
        <w:t> </w:t>
      </w:r>
      <w:r>
        <w:rPr>
          <w:rFonts w:ascii="Arial"/>
          <w:i/>
          <w:sz w:val="20"/>
        </w:rPr>
        <w:t>1</w:t>
      </w:r>
      <w:r>
        <w:rPr>
          <w:rFonts w:ascii="Arial"/>
          <w:i/>
          <w:spacing w:val="42"/>
          <w:sz w:val="20"/>
        </w:rPr>
        <w:t> </w:t>
      </w:r>
      <w:r>
        <w:rPr>
          <w:rFonts w:ascii="Arial"/>
          <w:i/>
          <w:sz w:val="20"/>
        </w:rPr>
        <w:t>W.L.R.</w:t>
      </w:r>
      <w:r>
        <w:rPr>
          <w:rFonts w:ascii="Arial"/>
          <w:i/>
          <w:spacing w:val="42"/>
          <w:sz w:val="20"/>
        </w:rPr>
        <w:t> </w:t>
      </w:r>
      <w:r>
        <w:rPr>
          <w:rFonts w:ascii="Arial"/>
          <w:i/>
          <w:sz w:val="20"/>
        </w:rPr>
        <w:t>1919</w:t>
      </w:r>
      <w:r>
        <w:rPr>
          <w:sz w:val="20"/>
        </w:rPr>
        <w:t>.</w:t>
      </w:r>
      <w:r>
        <w:rPr>
          <w:spacing w:val="42"/>
          <w:sz w:val="20"/>
        </w:rPr>
        <w:t> </w:t>
      </w:r>
      <w:r>
        <w:rPr>
          <w:sz w:val="20"/>
        </w:rPr>
        <w:t>Lord</w:t>
      </w:r>
      <w:r>
        <w:rPr>
          <w:spacing w:val="42"/>
          <w:sz w:val="20"/>
        </w:rPr>
        <w:t> </w:t>
      </w:r>
      <w:r>
        <w:rPr>
          <w:sz w:val="20"/>
        </w:rPr>
        <w:t>Hoffmann,</w:t>
      </w:r>
      <w:r>
        <w:rPr>
          <w:spacing w:val="42"/>
          <w:sz w:val="20"/>
        </w:rPr>
        <w:t> </w:t>
      </w:r>
      <w:r>
        <w:rPr>
          <w:sz w:val="20"/>
        </w:rPr>
        <w:t>delivering</w:t>
      </w:r>
      <w:r>
        <w:rPr>
          <w:spacing w:val="42"/>
          <w:sz w:val="20"/>
        </w:rPr>
        <w:t> </w:t>
      </w:r>
      <w:r>
        <w:rPr>
          <w:sz w:val="20"/>
        </w:rPr>
        <w:t>the</w:t>
      </w:r>
      <w:r>
        <w:rPr>
          <w:spacing w:val="42"/>
          <w:sz w:val="20"/>
        </w:rPr>
        <w:t> </w:t>
      </w:r>
      <w:r>
        <w:rPr>
          <w:sz w:val="20"/>
        </w:rPr>
        <w:t>only</w:t>
      </w:r>
      <w:r>
        <w:rPr>
          <w:spacing w:val="42"/>
          <w:sz w:val="20"/>
        </w:rPr>
        <w:t> </w:t>
      </w:r>
      <w:r>
        <w:rPr>
          <w:spacing w:val="-4"/>
          <w:sz w:val="20"/>
        </w:rPr>
        <w:t>full</w:t>
      </w:r>
    </w:p>
    <w:p>
      <w:pPr>
        <w:spacing w:after="0"/>
        <w:jc w:val="left"/>
        <w:rPr>
          <w:sz w:val="20"/>
        </w:rPr>
        <w:sectPr>
          <w:pgSz w:w="11900" w:h="16840"/>
          <w:pgMar w:header="971" w:footer="0" w:top="1160" w:bottom="280" w:left="1275" w:right="1275"/>
        </w:sectPr>
      </w:pPr>
    </w:p>
    <w:p>
      <w:pPr>
        <w:pStyle w:val="BodyText"/>
        <w:spacing w:before="24"/>
      </w:pPr>
    </w:p>
    <w:p>
      <w:pPr>
        <w:pStyle w:val="BodyText"/>
        <w:spacing w:line="235" w:lineRule="auto" w:before="1"/>
        <w:ind w:left="705" w:right="167"/>
        <w:jc w:val="both"/>
      </w:pPr>
      <w:r>
        <w:rPr/>
        <w:t>judgment, said that enough facts must be pleaded to give rise to the presumption </w:t>
      </w:r>
      <w:r>
        <w:rPr/>
        <w:t>of</w:t>
      </w:r>
      <w:r>
        <w:rPr>
          <w:spacing w:val="40"/>
        </w:rPr>
        <w:t> </w:t>
      </w:r>
      <w:r>
        <w:rPr/>
        <w:t>constructive notice; but it would not be adequate to rely on inferences derived from statements tucked away in documents that were pleaded. However, the Court of Appeal should be slow to intervene in the decision that an arguable defence had been raised:</w:t>
      </w:r>
      <w:r>
        <w:rPr>
          <w:spacing w:val="-1"/>
        </w:rPr>
        <w:t> </w:t>
      </w:r>
      <w:r>
        <w:rPr>
          <w:rFonts w:ascii="Arial"/>
          <w:i/>
        </w:rPr>
        <w:t>National Westminster Bank Plc v Kostopoulos, The Times, March 2, 2000</w:t>
      </w:r>
      <w:r>
        <w:rPr/>
        <w:t>.</w:t>
      </w:r>
    </w:p>
    <w:p>
      <w:pPr>
        <w:pStyle w:val="BodyText"/>
        <w:spacing w:before="191"/>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539" w:right="2543"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3881472">
                <wp:simplePos x="0" y="0"/>
                <wp:positionH relativeFrom="page">
                  <wp:posOffset>4851958</wp:posOffset>
                </wp:positionH>
                <wp:positionV relativeFrom="paragraph">
                  <wp:posOffset>377436</wp:posOffset>
                </wp:positionV>
                <wp:extent cx="4254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35008" from="382.044006pt,29.719406pt" to="385.380006pt,29.719406pt" stroked="true" strokeweight=".428pt" strokecolor="#005da1">
                <v:stroke dashstyle="solid"/>
                <w10:wrap type="none"/>
              </v:line>
            </w:pict>
          </mc:Fallback>
        </mc:AlternateContent>
      </w:r>
      <w:r>
        <w:rPr>
          <w:rFonts w:ascii="Arial"/>
          <w:b/>
          <w:sz w:val="24"/>
        </w:rPr>
        <w:t>Part 2 - Formation of Contract Chapter 7 - Misrepresentation</w:t>
      </w:r>
      <w:r>
        <w:rPr>
          <w:rFonts w:ascii="Arial"/>
          <w:b/>
          <w:spacing w:val="-1"/>
          <w:sz w:val="24"/>
        </w:rPr>
        <w:t> </w:t>
      </w:r>
      <w:r>
        <w:rPr>
          <w:rFonts w:ascii="Arial"/>
          <w:b/>
          <w:color w:val="005DA1"/>
          <w:spacing w:val="-10"/>
          <w:position w:val="11"/>
          <w:sz w:val="12"/>
        </w:rPr>
        <w:t>1</w:t>
      </w:r>
    </w:p>
    <w:p>
      <w:pPr>
        <w:spacing w:before="2"/>
        <w:ind w:left="940" w:right="943" w:firstLine="0"/>
        <w:jc w:val="center"/>
        <w:rPr>
          <w:rFonts w:ascii="Arial"/>
          <w:b/>
          <w:sz w:val="24"/>
        </w:rPr>
      </w:pPr>
      <w:r>
        <w:rPr>
          <w:rFonts w:ascii="Arial"/>
          <w:b/>
          <w:sz w:val="24"/>
        </w:rPr>
        <w:t>Section 2. - What Constitutes Effective </w:t>
      </w:r>
      <w:r>
        <w:rPr>
          <w:rFonts w:ascii="Arial"/>
          <w:b/>
          <w:spacing w:val="-2"/>
          <w:sz w:val="24"/>
        </w:rPr>
        <w:t>Misrepresentation</w:t>
      </w:r>
    </w:p>
    <w:p>
      <w:pPr>
        <w:pStyle w:val="ListParagraph"/>
        <w:numPr>
          <w:ilvl w:val="0"/>
          <w:numId w:val="1"/>
        </w:numPr>
        <w:tabs>
          <w:tab w:pos="3625" w:val="left" w:leader="none"/>
        </w:tabs>
        <w:spacing w:line="240" w:lineRule="auto" w:before="194" w:after="0"/>
        <w:ind w:left="3625" w:right="0" w:hanging="360"/>
        <w:jc w:val="left"/>
        <w:rPr>
          <w:b/>
          <w:sz w:val="24"/>
        </w:rPr>
      </w:pPr>
      <w:r>
        <w:rPr>
          <w:b/>
          <w:sz w:val="24"/>
        </w:rPr>
        <w:t>- Other </w:t>
      </w:r>
      <w:r>
        <w:rPr>
          <w:b/>
          <w:spacing w:val="-2"/>
          <w:sz w:val="24"/>
        </w:rPr>
        <w:t>Requirements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The representee or person intended to act on the </w:t>
      </w:r>
      <w:r>
        <w:rPr>
          <w:rFonts w:ascii="Arial"/>
          <w:b/>
          <w:spacing w:val="-2"/>
          <w:sz w:val="18"/>
        </w:rPr>
        <w:t>representation</w:t>
      </w:r>
    </w:p>
    <w:p>
      <w:pPr>
        <w:pStyle w:val="BodyText"/>
        <w:spacing w:before="41"/>
        <w:rPr>
          <w:rFonts w:ascii="Arial"/>
          <w:b/>
          <w:sz w:val="18"/>
        </w:rPr>
      </w:pPr>
    </w:p>
    <w:p>
      <w:pPr>
        <w:pStyle w:val="Heading2"/>
        <w:ind w:left="164"/>
      </w:pPr>
      <w:r>
        <w:rPr/>
        <w:t>7-</w:t>
      </w:r>
      <w:r>
        <w:rPr>
          <w:spacing w:val="-5"/>
        </w:rPr>
        <w:t>031</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In order to be entitled to relief in respect of misrepresentation, the person seeking relief must </w:t>
      </w:r>
      <w:r>
        <w:rPr/>
        <w:t>be able to demonstrate that he is a representee; for, subject to the transmission by operation of law of claims on death, bankruptcy and assignment, the person or persons who in law come within the category of representees are alone entitled to a remedy. To put the matter another way, the claimant </w:t>
      </w:r>
      <w:bookmarkStart w:name="_bookmark294" w:id="296"/>
      <w:bookmarkEnd w:id="296"/>
      <w:r>
        <w:rPr/>
        <w:t>must</w:t>
      </w:r>
      <w:r>
        <w:rPr/>
        <w:t> show that it was intended that he should act on the representation, rather than it being aimed solely at someone else. </w:t>
      </w:r>
      <w:r>
        <w:rPr>
          <w:color w:val="005DA1"/>
          <w:u w:val="single" w:color="005DA1"/>
          <w:vertAlign w:val="superscript"/>
        </w:rPr>
        <w:t>157</w:t>
      </w:r>
      <w:r>
        <w:rPr>
          <w:color w:val="005DA1"/>
          <w:vertAlign w:val="baseline"/>
        </w:rPr>
        <w:t> </w:t>
      </w:r>
      <w:r>
        <w:rPr>
          <w:vertAlign w:val="baseline"/>
        </w:rPr>
        <w:t>There may be said to be three types of representees </w:t>
      </w:r>
      <w:r>
        <w:rPr>
          <w:color w:val="005DA1"/>
          <w:u w:val="single" w:color="005DA1"/>
          <w:vertAlign w:val="superscript"/>
        </w:rPr>
        <w:t>158</w:t>
      </w:r>
      <w:r>
        <w:rPr>
          <w:vertAlign w:val="baseline"/>
        </w:rPr>
        <w:t>: first, persons to </w:t>
      </w:r>
      <w:bookmarkStart w:name="_bookmark295" w:id="297"/>
      <w:bookmarkEnd w:id="297"/>
      <w:r>
        <w:rPr>
          <w:vertAlign w:val="baseline"/>
        </w:rPr>
        <w:t>whom</w:t>
      </w:r>
      <w:r>
        <w:rPr>
          <w:vertAlign w:val="baseline"/>
        </w:rPr>
        <w:t> the representation is directly made and their principals; secondly, persons to whom the </w:t>
      </w:r>
      <w:bookmarkStart w:name="_bookmark296" w:id="298"/>
      <w:bookmarkEnd w:id="298"/>
      <w:r>
        <w:rPr>
          <w:vertAlign w:val="baseline"/>
        </w:rPr>
        <w:t>representor</w:t>
      </w:r>
      <w:r>
        <w:rPr>
          <w:vertAlign w:val="baseline"/>
        </w:rPr>
        <w:t> intended or expected the representation to be passed on </w:t>
      </w:r>
      <w:r>
        <w:rPr>
          <w:color w:val="005DA1"/>
          <w:u w:val="single" w:color="005DA1"/>
          <w:vertAlign w:val="superscript"/>
        </w:rPr>
        <w:t>159</w:t>
      </w:r>
      <w:r>
        <w:rPr>
          <w:vertAlign w:val="baseline"/>
        </w:rPr>
        <w:t>; and thirdly, members of a </w:t>
      </w:r>
      <w:bookmarkStart w:name="_bookmark297" w:id="299"/>
      <w:bookmarkEnd w:id="299"/>
      <w:r>
        <w:rPr>
          <w:vertAlign w:val="baseline"/>
        </w:rPr>
        <w:t>class</w:t>
      </w:r>
      <w:r>
        <w:rPr>
          <w:spacing w:val="-2"/>
          <w:vertAlign w:val="baseline"/>
        </w:rPr>
        <w:t> </w:t>
      </w:r>
      <w:r>
        <w:rPr>
          <w:vertAlign w:val="baseline"/>
        </w:rPr>
        <w:t>at</w:t>
      </w:r>
      <w:r>
        <w:rPr>
          <w:spacing w:val="-2"/>
          <w:vertAlign w:val="baseline"/>
        </w:rPr>
        <w:t> </w:t>
      </w:r>
      <w:r>
        <w:rPr>
          <w:vertAlign w:val="baseline"/>
        </w:rPr>
        <w:t>which</w:t>
      </w:r>
      <w:r>
        <w:rPr>
          <w:spacing w:val="-2"/>
          <w:vertAlign w:val="baseline"/>
        </w:rPr>
        <w:t> </w:t>
      </w:r>
      <w:r>
        <w:rPr>
          <w:vertAlign w:val="baseline"/>
        </w:rPr>
        <w:t>the</w:t>
      </w:r>
      <w:r>
        <w:rPr>
          <w:spacing w:val="-2"/>
          <w:vertAlign w:val="baseline"/>
        </w:rPr>
        <w:t> </w:t>
      </w:r>
      <w:r>
        <w:rPr>
          <w:vertAlign w:val="baseline"/>
        </w:rPr>
        <w:t>representation</w:t>
      </w:r>
      <w:r>
        <w:rPr>
          <w:spacing w:val="-2"/>
          <w:vertAlign w:val="baseline"/>
        </w:rPr>
        <w:t> </w:t>
      </w:r>
      <w:r>
        <w:rPr>
          <w:vertAlign w:val="baseline"/>
        </w:rPr>
        <w:t>was</w:t>
      </w:r>
      <w:r>
        <w:rPr>
          <w:spacing w:val="-2"/>
          <w:vertAlign w:val="baseline"/>
        </w:rPr>
        <w:t> </w:t>
      </w:r>
      <w:r>
        <w:rPr>
          <w:vertAlign w:val="baseline"/>
        </w:rPr>
        <w:t>directed.</w:t>
      </w:r>
      <w:r>
        <w:rPr>
          <w:spacing w:val="-3"/>
          <w:vertAlign w:val="baseline"/>
        </w:rPr>
        <w:t> </w:t>
      </w:r>
      <w:r>
        <w:rPr>
          <w:color w:val="005DA1"/>
          <w:u w:val="single" w:color="005DA1"/>
          <w:vertAlign w:val="superscript"/>
        </w:rPr>
        <w:t>160</w:t>
      </w:r>
      <w:r>
        <w:rPr>
          <w:color w:val="005DA1"/>
          <w:spacing w:val="-2"/>
          <w:vertAlign w:val="baseline"/>
        </w:rPr>
        <w:t> </w:t>
      </w:r>
      <w:r>
        <w:rPr>
          <w:vertAlign w:val="baseline"/>
        </w:rPr>
        <w:t>If</w:t>
      </w:r>
      <w:r>
        <w:rPr>
          <w:spacing w:val="-2"/>
          <w:vertAlign w:val="baseline"/>
        </w:rPr>
        <w:t> </w:t>
      </w:r>
      <w:r>
        <w:rPr>
          <w:vertAlign w:val="baseline"/>
        </w:rPr>
        <w:t>the</w:t>
      </w:r>
      <w:r>
        <w:rPr>
          <w:spacing w:val="-2"/>
          <w:vertAlign w:val="baseline"/>
        </w:rPr>
        <w:t> </w:t>
      </w:r>
      <w:r>
        <w:rPr>
          <w:vertAlign w:val="baseline"/>
        </w:rPr>
        <w:t>representation</w:t>
      </w:r>
      <w:r>
        <w:rPr>
          <w:spacing w:val="-2"/>
          <w:vertAlign w:val="baseline"/>
        </w:rPr>
        <w:t> </w:t>
      </w:r>
      <w:r>
        <w:rPr>
          <w:vertAlign w:val="baseline"/>
        </w:rPr>
        <w:t>is</w:t>
      </w:r>
      <w:r>
        <w:rPr>
          <w:spacing w:val="-2"/>
          <w:vertAlign w:val="baseline"/>
        </w:rPr>
        <w:t> </w:t>
      </w:r>
      <w:r>
        <w:rPr>
          <w:vertAlign w:val="baseline"/>
        </w:rPr>
        <w:t>directed</w:t>
      </w:r>
      <w:r>
        <w:rPr>
          <w:spacing w:val="-2"/>
          <w:vertAlign w:val="baseline"/>
        </w:rPr>
        <w:t> </w:t>
      </w:r>
      <w:r>
        <w:rPr>
          <w:vertAlign w:val="baseline"/>
        </w:rPr>
        <w:t>at</w:t>
      </w:r>
      <w:r>
        <w:rPr>
          <w:spacing w:val="-2"/>
          <w:vertAlign w:val="baseline"/>
        </w:rPr>
        <w:t> </w:t>
      </w:r>
      <w:r>
        <w:rPr>
          <w:vertAlign w:val="baseline"/>
        </w:rPr>
        <w:t>a</w:t>
      </w:r>
      <w:r>
        <w:rPr>
          <w:spacing w:val="-2"/>
          <w:vertAlign w:val="baseline"/>
        </w:rPr>
        <w:t> </w:t>
      </w:r>
      <w:r>
        <w:rPr>
          <w:vertAlign w:val="baseline"/>
        </w:rPr>
        <w:t>particular</w:t>
      </w:r>
      <w:r>
        <w:rPr>
          <w:spacing w:val="-2"/>
          <w:vertAlign w:val="baseline"/>
        </w:rPr>
        <w:t> </w:t>
      </w:r>
      <w:r>
        <w:rPr>
          <w:vertAlign w:val="baseline"/>
        </w:rPr>
        <w:t>class of persons, the alleged representee must be able to bring himself within that class. </w:t>
      </w:r>
      <w:r>
        <w:rPr>
          <w:rFonts w:ascii="Arial"/>
          <w:i/>
          <w:vertAlign w:val="baseline"/>
        </w:rPr>
        <w:t>Peek v Gurney </w:t>
      </w:r>
      <w:r>
        <w:rPr>
          <w:color w:val="005DA1"/>
          <w:u w:val="single" w:color="005DA1"/>
          <w:vertAlign w:val="superscript"/>
        </w:rPr>
        <w:t>161</w:t>
      </w:r>
      <w:r>
        <w:rPr>
          <w:color w:val="005DA1"/>
          <w:vertAlign w:val="baseline"/>
        </w:rPr>
        <w:t> </w:t>
      </w:r>
      <w:r>
        <w:rPr>
          <w:vertAlign w:val="baseline"/>
        </w:rPr>
        <w:t>illustrates this point. The plaintiffs bought shares in the market in reliance on the terms of a fraudulent prospectus issued by the promoters. The House of Lords held that the plaintiffs could not recover</w:t>
      </w:r>
      <w:r>
        <w:rPr>
          <w:spacing w:val="40"/>
          <w:vertAlign w:val="baseline"/>
        </w:rPr>
        <w:t> </w:t>
      </w:r>
      <w:r>
        <w:rPr>
          <w:vertAlign w:val="baseline"/>
        </w:rPr>
        <w:t>from the promoters: the purpose of issuing a prospectus was said to be to induce people to apply for shares, and not to induce them to buy in the market shares already issued; therefore the function of </w:t>
      </w:r>
      <w:bookmarkStart w:name="_bookmark298" w:id="300"/>
      <w:bookmarkEnd w:id="300"/>
      <w:r>
        <w:rPr>
          <w:vertAlign w:val="baseline"/>
        </w:rPr>
        <w:t>the</w:t>
      </w:r>
      <w:r>
        <w:rPr>
          <w:spacing w:val="25"/>
          <w:vertAlign w:val="baseline"/>
        </w:rPr>
        <w:t> </w:t>
      </w:r>
      <w:r>
        <w:rPr>
          <w:vertAlign w:val="baseline"/>
        </w:rPr>
        <w:t>prospectus</w:t>
      </w:r>
      <w:r>
        <w:rPr>
          <w:spacing w:val="25"/>
          <w:vertAlign w:val="baseline"/>
        </w:rPr>
        <w:t> </w:t>
      </w:r>
      <w:r>
        <w:rPr>
          <w:vertAlign w:val="baseline"/>
        </w:rPr>
        <w:t>was</w:t>
      </w:r>
      <w:r>
        <w:rPr>
          <w:spacing w:val="25"/>
          <w:vertAlign w:val="baseline"/>
        </w:rPr>
        <w:t> </w:t>
      </w:r>
      <w:r>
        <w:rPr>
          <w:vertAlign w:val="baseline"/>
        </w:rPr>
        <w:t>exhausted</w:t>
      </w:r>
      <w:r>
        <w:rPr>
          <w:spacing w:val="25"/>
          <w:vertAlign w:val="baseline"/>
        </w:rPr>
        <w:t> </w:t>
      </w:r>
      <w:r>
        <w:rPr>
          <w:vertAlign w:val="baseline"/>
        </w:rPr>
        <w:t>with</w:t>
      </w:r>
      <w:r>
        <w:rPr>
          <w:spacing w:val="25"/>
          <w:vertAlign w:val="baseline"/>
        </w:rPr>
        <w:t> </w:t>
      </w:r>
      <w:r>
        <w:rPr>
          <w:vertAlign w:val="baseline"/>
        </w:rPr>
        <w:t>the</w:t>
      </w:r>
      <w:r>
        <w:rPr>
          <w:spacing w:val="25"/>
          <w:vertAlign w:val="baseline"/>
        </w:rPr>
        <w:t> </w:t>
      </w:r>
      <w:r>
        <w:rPr>
          <w:vertAlign w:val="baseline"/>
        </w:rPr>
        <w:t>allotment,</w:t>
      </w:r>
      <w:r>
        <w:rPr>
          <w:spacing w:val="25"/>
          <w:vertAlign w:val="baseline"/>
        </w:rPr>
        <w:t> </w:t>
      </w:r>
      <w:r>
        <w:rPr>
          <w:vertAlign w:val="baseline"/>
        </w:rPr>
        <w:t>and</w:t>
      </w:r>
      <w:r>
        <w:rPr>
          <w:spacing w:val="25"/>
          <w:vertAlign w:val="baseline"/>
        </w:rPr>
        <w:t> </w:t>
      </w:r>
      <w:r>
        <w:rPr>
          <w:vertAlign w:val="baseline"/>
        </w:rPr>
        <w:t>the</w:t>
      </w:r>
      <w:r>
        <w:rPr>
          <w:spacing w:val="25"/>
          <w:vertAlign w:val="baseline"/>
        </w:rPr>
        <w:t> </w:t>
      </w:r>
      <w:r>
        <w:rPr>
          <w:vertAlign w:val="baseline"/>
        </w:rPr>
        <w:t>plaintiffs</w:t>
      </w:r>
      <w:r>
        <w:rPr>
          <w:spacing w:val="25"/>
          <w:vertAlign w:val="baseline"/>
        </w:rPr>
        <w:t> </w:t>
      </w:r>
      <w:r>
        <w:rPr>
          <w:vertAlign w:val="baseline"/>
        </w:rPr>
        <w:t>could</w:t>
      </w:r>
      <w:r>
        <w:rPr>
          <w:spacing w:val="25"/>
          <w:vertAlign w:val="baseline"/>
        </w:rPr>
        <w:t> </w:t>
      </w:r>
      <w:r>
        <w:rPr>
          <w:vertAlign w:val="baseline"/>
        </w:rPr>
        <w:t>not</w:t>
      </w:r>
      <w:r>
        <w:rPr>
          <w:spacing w:val="25"/>
          <w:vertAlign w:val="baseline"/>
        </w:rPr>
        <w:t> </w:t>
      </w:r>
      <w:r>
        <w:rPr>
          <w:vertAlign w:val="baseline"/>
        </w:rPr>
        <w:t>show</w:t>
      </w:r>
      <w:r>
        <w:rPr>
          <w:spacing w:val="25"/>
          <w:vertAlign w:val="baseline"/>
        </w:rPr>
        <w:t> </w:t>
      </w:r>
      <w:r>
        <w:rPr>
          <w:vertAlign w:val="baseline"/>
        </w:rPr>
        <w:t>that</w:t>
      </w:r>
      <w:r>
        <w:rPr>
          <w:spacing w:val="25"/>
          <w:vertAlign w:val="baseline"/>
        </w:rPr>
        <w:t> </w:t>
      </w:r>
      <w:r>
        <w:rPr>
          <w:vertAlign w:val="baseline"/>
        </w:rPr>
        <w:t>they</w:t>
      </w:r>
      <w:r>
        <w:rPr>
          <w:spacing w:val="25"/>
          <w:vertAlign w:val="baseline"/>
        </w:rPr>
        <w:t> </w:t>
      </w:r>
      <w:r>
        <w:rPr>
          <w:spacing w:val="-4"/>
          <w:vertAlign w:val="baseline"/>
        </w:rPr>
        <w:t>came</w:t>
      </w:r>
    </w:p>
    <w:p>
      <w:pPr>
        <w:pStyle w:val="BodyText"/>
        <w:spacing w:line="235" w:lineRule="auto" w:before="114"/>
        <w:ind w:left="164" w:right="167"/>
        <w:jc w:val="both"/>
      </w:pPr>
      <w:bookmarkStart w:name="_bookmark299" w:id="301"/>
      <w:bookmarkEnd w:id="301"/>
      <w:r>
        <w:rPr/>
      </w:r>
      <w:r>
        <w:rPr/>
        <w:t>within</w:t>
      </w:r>
      <w:r>
        <w:rPr>
          <w:spacing w:val="-2"/>
        </w:rPr>
        <w:t> </w:t>
      </w:r>
      <w:r>
        <w:rPr/>
        <w:t>the</w:t>
      </w:r>
      <w:r>
        <w:rPr>
          <w:spacing w:val="-2"/>
        </w:rPr>
        <w:t> </w:t>
      </w:r>
      <w:r>
        <w:rPr/>
        <w:t>class</w:t>
      </w:r>
      <w:r>
        <w:rPr>
          <w:spacing w:val="-2"/>
        </w:rPr>
        <w:t> </w:t>
      </w:r>
      <w:r>
        <w:rPr/>
        <w:t>of</w:t>
      </w:r>
      <w:r>
        <w:rPr>
          <w:spacing w:val="-2"/>
        </w:rPr>
        <w:t> </w:t>
      </w:r>
      <w:r>
        <w:rPr/>
        <w:t>persons</w:t>
      </w:r>
      <w:r>
        <w:rPr>
          <w:spacing w:val="-2"/>
        </w:rPr>
        <w:t> </w:t>
      </w:r>
      <w:r>
        <w:rPr/>
        <w:t>at</w:t>
      </w:r>
      <w:r>
        <w:rPr>
          <w:spacing w:val="-2"/>
        </w:rPr>
        <w:t> </w:t>
      </w:r>
      <w:r>
        <w:rPr/>
        <w:t>which</w:t>
      </w:r>
      <w:r>
        <w:rPr>
          <w:spacing w:val="-2"/>
        </w:rPr>
        <w:t> </w:t>
      </w:r>
      <w:r>
        <w:rPr/>
        <w:t>it</w:t>
      </w:r>
      <w:r>
        <w:rPr>
          <w:spacing w:val="-2"/>
        </w:rPr>
        <w:t> </w:t>
      </w:r>
      <w:r>
        <w:rPr/>
        <w:t>was</w:t>
      </w:r>
      <w:r>
        <w:rPr>
          <w:spacing w:val="-2"/>
        </w:rPr>
        <w:t> </w:t>
      </w:r>
      <w:r>
        <w:rPr/>
        <w:t>directed.</w:t>
      </w:r>
      <w:r>
        <w:rPr>
          <w:spacing w:val="-2"/>
        </w:rPr>
        <w:t> </w:t>
      </w:r>
      <w:r>
        <w:rPr>
          <w:color w:val="005DA1"/>
          <w:u w:val="single" w:color="005DA1"/>
          <w:vertAlign w:val="superscript"/>
        </w:rPr>
        <w:t>162</w:t>
      </w:r>
      <w:r>
        <w:rPr>
          <w:color w:val="005DA1"/>
          <w:spacing w:val="80"/>
          <w:vertAlign w:val="baseline"/>
        </w:rPr>
        <w:t> </w:t>
      </w:r>
      <w:r>
        <w:rPr>
          <w:color w:val="005DA1"/>
          <w:spacing w:val="5"/>
          <w:position w:val="-2"/>
          <w:vertAlign w:val="baseline"/>
        </w:rPr>
        <w:drawing>
          <wp:inline distT="0" distB="0" distL="0" distR="0">
            <wp:extent cx="107988" cy="107988"/>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hAnsi="Times New Roman"/>
          <w:color w:val="005DA1"/>
          <w:vertAlign w:val="baseline"/>
        </w:rPr>
        <w:t> </w:t>
      </w:r>
      <w:r>
        <w:rPr>
          <w:vertAlign w:val="baseline"/>
        </w:rPr>
        <w:t>Similarly,</w:t>
      </w:r>
      <w:r>
        <w:rPr>
          <w:spacing w:val="-2"/>
          <w:vertAlign w:val="baseline"/>
        </w:rPr>
        <w:t> </w:t>
      </w:r>
      <w:r>
        <w:rPr>
          <w:vertAlign w:val="baseline"/>
        </w:rPr>
        <w:t>in</w:t>
      </w:r>
      <w:r>
        <w:rPr>
          <w:spacing w:val="-2"/>
          <w:vertAlign w:val="baseline"/>
        </w:rPr>
        <w:t> </w:t>
      </w:r>
      <w:r>
        <w:rPr>
          <w:rFonts w:ascii="Arial" w:hAnsi="Arial"/>
          <w:i/>
          <w:vertAlign w:val="baseline"/>
        </w:rPr>
        <w:t>Gross</w:t>
      </w:r>
      <w:r>
        <w:rPr>
          <w:rFonts w:ascii="Arial" w:hAnsi="Arial"/>
          <w:i/>
          <w:spacing w:val="-2"/>
          <w:vertAlign w:val="baseline"/>
        </w:rPr>
        <w:t> </w:t>
      </w:r>
      <w:r>
        <w:rPr>
          <w:rFonts w:ascii="Arial" w:hAnsi="Arial"/>
          <w:i/>
          <w:vertAlign w:val="baseline"/>
        </w:rPr>
        <w:t>v</w:t>
      </w:r>
      <w:r>
        <w:rPr>
          <w:rFonts w:ascii="Arial" w:hAnsi="Arial"/>
          <w:i/>
          <w:spacing w:val="-2"/>
          <w:vertAlign w:val="baseline"/>
        </w:rPr>
        <w:t> </w:t>
      </w:r>
      <w:r>
        <w:rPr>
          <w:rFonts w:ascii="Arial" w:hAnsi="Arial"/>
          <w:i/>
          <w:vertAlign w:val="baseline"/>
        </w:rPr>
        <w:t>Lewis</w:t>
      </w:r>
      <w:r>
        <w:rPr>
          <w:rFonts w:ascii="Arial" w:hAnsi="Arial"/>
          <w:i/>
          <w:spacing w:val="-2"/>
          <w:vertAlign w:val="baseline"/>
        </w:rPr>
        <w:t> </w:t>
      </w:r>
      <w:r>
        <w:rPr>
          <w:rFonts w:ascii="Arial" w:hAnsi="Arial"/>
          <w:i/>
          <w:vertAlign w:val="baseline"/>
        </w:rPr>
        <w:t>Hillman</w:t>
      </w:r>
      <w:r>
        <w:rPr>
          <w:rFonts w:ascii="Arial" w:hAnsi="Arial"/>
          <w:i/>
          <w:spacing w:val="-2"/>
          <w:vertAlign w:val="baseline"/>
        </w:rPr>
        <w:t> </w:t>
      </w:r>
      <w:r>
        <w:rPr>
          <w:rFonts w:ascii="Arial" w:hAnsi="Arial"/>
          <w:i/>
          <w:vertAlign w:val="baseline"/>
        </w:rPr>
        <w:t>Ltd</w:t>
      </w:r>
      <w:r>
        <w:rPr>
          <w:rFonts w:ascii="Arial" w:hAnsi="Arial"/>
          <w:i/>
          <w:spacing w:val="-2"/>
          <w:vertAlign w:val="baseline"/>
        </w:rPr>
        <w:t> </w:t>
      </w:r>
      <w:r>
        <w:rPr>
          <w:color w:val="005DA1"/>
          <w:u w:val="single" w:color="005DA1"/>
          <w:vertAlign w:val="superscript"/>
        </w:rPr>
        <w:t>163</w:t>
      </w:r>
      <w:r>
        <w:rPr>
          <w:color w:val="005DA1"/>
          <w:spacing w:val="-2"/>
          <w:vertAlign w:val="baseline"/>
        </w:rPr>
        <w:t> </w:t>
      </w:r>
      <w:r>
        <w:rPr>
          <w:vertAlign w:val="baseline"/>
        </w:rPr>
        <w:t>it was held that the right of a purchaser of certain land to rescind the contract for misrepresentation did not “run with the land” so as to be available to a subsequent purchaser; the subsequent </w:t>
      </w:r>
      <w:r>
        <w:rPr>
          <w:vertAlign w:val="baseline"/>
        </w:rPr>
        <w:t>purchaser was not himself a representee of the original vendor. On the other hand, where a person makes a false statement in a document (such as a bill of lading) which he knows is going to be passed on to </w:t>
      </w:r>
      <w:bookmarkStart w:name="_bookmark300" w:id="302"/>
      <w:bookmarkEnd w:id="302"/>
      <w:r>
        <w:rPr>
          <w:vertAlign w:val="baseline"/>
        </w:rPr>
        <w:t>other</w:t>
      </w:r>
      <w:r>
        <w:rPr>
          <w:vertAlign w:val="baseline"/>
        </w:rPr>
        <w:t> people and relied on by them, any person who does in fact rely on the document will be a representee. </w:t>
      </w:r>
      <w:r>
        <w:rPr>
          <w:color w:val="005DA1"/>
          <w:u w:val="single" w:color="005DA1"/>
          <w:vertAlign w:val="superscript"/>
        </w:rPr>
        <w:t>164</w:t>
      </w:r>
      <w:r>
        <w:rPr>
          <w:color w:val="005DA1"/>
          <w:vertAlign w:val="baseline"/>
        </w:rPr>
        <w:t> </w:t>
      </w:r>
      <w:r>
        <w:rPr>
          <w:vertAlign w:val="baseline"/>
        </w:rPr>
        <w:t>Nor is it always necessary that the actual representation should reach the representee. If a person asks an agent to find some property for him, and the agent, relying on the </w:t>
      </w:r>
      <w:bookmarkStart w:name="_bookmark301" w:id="303"/>
      <w:bookmarkEnd w:id="303"/>
      <w:r>
        <w:rPr>
          <w:vertAlign w:val="baseline"/>
        </w:rPr>
        <w:t>fraudulent</w:t>
      </w:r>
      <w:r>
        <w:rPr>
          <w:spacing w:val="-1"/>
          <w:vertAlign w:val="baseline"/>
        </w:rPr>
        <w:t> </w:t>
      </w:r>
      <w:r>
        <w:rPr>
          <w:vertAlign w:val="baseline"/>
        </w:rPr>
        <w:t>inducements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vendor,</w:t>
      </w:r>
      <w:r>
        <w:rPr>
          <w:spacing w:val="-1"/>
          <w:vertAlign w:val="baseline"/>
        </w:rPr>
        <w:t> </w:t>
      </w:r>
      <w:r>
        <w:rPr>
          <w:vertAlign w:val="baseline"/>
        </w:rPr>
        <w:t>recommends</w:t>
      </w:r>
      <w:r>
        <w:rPr>
          <w:spacing w:val="-1"/>
          <w:vertAlign w:val="baseline"/>
        </w:rPr>
        <w:t> </w:t>
      </w:r>
      <w:r>
        <w:rPr>
          <w:vertAlign w:val="baseline"/>
        </w:rPr>
        <w:t>the</w:t>
      </w:r>
      <w:r>
        <w:rPr>
          <w:spacing w:val="-1"/>
          <w:vertAlign w:val="baseline"/>
        </w:rPr>
        <w:t> </w:t>
      </w:r>
      <w:r>
        <w:rPr>
          <w:vertAlign w:val="baseline"/>
        </w:rPr>
        <w:t>vendor’s</w:t>
      </w:r>
      <w:r>
        <w:rPr>
          <w:spacing w:val="-1"/>
          <w:vertAlign w:val="baseline"/>
        </w:rPr>
        <w:t> </w:t>
      </w:r>
      <w:r>
        <w:rPr>
          <w:vertAlign w:val="baseline"/>
        </w:rPr>
        <w:t>property,</w:t>
      </w:r>
      <w:r>
        <w:rPr>
          <w:spacing w:val="-1"/>
          <w:vertAlign w:val="baseline"/>
        </w:rPr>
        <w:t> </w:t>
      </w:r>
      <w:r>
        <w:rPr>
          <w:vertAlign w:val="baseline"/>
        </w:rPr>
        <w:t>the</w:t>
      </w:r>
      <w:r>
        <w:rPr>
          <w:spacing w:val="-1"/>
          <w:vertAlign w:val="baseline"/>
        </w:rPr>
        <w:t> </w:t>
      </w:r>
      <w:r>
        <w:rPr>
          <w:vertAlign w:val="baseline"/>
        </w:rPr>
        <w:t>buyer</w:t>
      </w:r>
      <w:r>
        <w:rPr>
          <w:spacing w:val="-1"/>
          <w:vertAlign w:val="baseline"/>
        </w:rPr>
        <w:t> </w:t>
      </w:r>
      <w:r>
        <w:rPr>
          <w:vertAlign w:val="baseline"/>
        </w:rPr>
        <w:t>will</w:t>
      </w:r>
      <w:r>
        <w:rPr>
          <w:spacing w:val="-1"/>
          <w:vertAlign w:val="baseline"/>
        </w:rPr>
        <w:t> </w:t>
      </w:r>
      <w:r>
        <w:rPr>
          <w:vertAlign w:val="baseline"/>
        </w:rPr>
        <w:t>be</w:t>
      </w:r>
      <w:r>
        <w:rPr>
          <w:spacing w:val="-1"/>
          <w:vertAlign w:val="baseline"/>
        </w:rPr>
        <w:t> </w:t>
      </w:r>
      <w:r>
        <w:rPr>
          <w:vertAlign w:val="baseline"/>
        </w:rPr>
        <w:t>entitled</w:t>
      </w:r>
      <w:r>
        <w:rPr>
          <w:spacing w:val="-1"/>
          <w:vertAlign w:val="baseline"/>
        </w:rPr>
        <w:t> </w:t>
      </w:r>
      <w:r>
        <w:rPr>
          <w:vertAlign w:val="baseline"/>
        </w:rPr>
        <w:t>to relief</w:t>
      </w:r>
      <w:r>
        <w:rPr>
          <w:spacing w:val="6"/>
          <w:vertAlign w:val="baseline"/>
        </w:rPr>
        <w:t> </w:t>
      </w:r>
      <w:r>
        <w:rPr>
          <w:vertAlign w:val="baseline"/>
        </w:rPr>
        <w:t>for</w:t>
      </w:r>
      <w:r>
        <w:rPr>
          <w:spacing w:val="6"/>
          <w:vertAlign w:val="baseline"/>
        </w:rPr>
        <w:t> </w:t>
      </w:r>
      <w:r>
        <w:rPr>
          <w:vertAlign w:val="baseline"/>
        </w:rPr>
        <w:t>misrepresentation</w:t>
      </w:r>
      <w:r>
        <w:rPr>
          <w:spacing w:val="6"/>
          <w:vertAlign w:val="baseline"/>
        </w:rPr>
        <w:t> </w:t>
      </w:r>
      <w:r>
        <w:rPr>
          <w:vertAlign w:val="baseline"/>
        </w:rPr>
        <w:t>even</w:t>
      </w:r>
      <w:r>
        <w:rPr>
          <w:spacing w:val="6"/>
          <w:vertAlign w:val="baseline"/>
        </w:rPr>
        <w:t> </w:t>
      </w:r>
      <w:r>
        <w:rPr>
          <w:vertAlign w:val="baseline"/>
        </w:rPr>
        <w:t>though</w:t>
      </w:r>
      <w:r>
        <w:rPr>
          <w:spacing w:val="6"/>
          <w:vertAlign w:val="baseline"/>
        </w:rPr>
        <w:t> </w:t>
      </w:r>
      <w:r>
        <w:rPr>
          <w:vertAlign w:val="baseline"/>
        </w:rPr>
        <w:t>the</w:t>
      </w:r>
      <w:r>
        <w:rPr>
          <w:spacing w:val="6"/>
          <w:vertAlign w:val="baseline"/>
        </w:rPr>
        <w:t> </w:t>
      </w:r>
      <w:r>
        <w:rPr>
          <w:vertAlign w:val="baseline"/>
        </w:rPr>
        <w:t>agent</w:t>
      </w:r>
      <w:r>
        <w:rPr>
          <w:spacing w:val="6"/>
          <w:vertAlign w:val="baseline"/>
        </w:rPr>
        <w:t> </w:t>
      </w:r>
      <w:r>
        <w:rPr>
          <w:vertAlign w:val="baseline"/>
        </w:rPr>
        <w:t>did</w:t>
      </w:r>
      <w:r>
        <w:rPr>
          <w:spacing w:val="6"/>
          <w:vertAlign w:val="baseline"/>
        </w:rPr>
        <w:t> </w:t>
      </w:r>
      <w:r>
        <w:rPr>
          <w:vertAlign w:val="baseline"/>
        </w:rPr>
        <w:t>not</w:t>
      </w:r>
      <w:r>
        <w:rPr>
          <w:spacing w:val="6"/>
          <w:vertAlign w:val="baseline"/>
        </w:rPr>
        <w:t> </w:t>
      </w:r>
      <w:r>
        <w:rPr>
          <w:vertAlign w:val="baseline"/>
        </w:rPr>
        <w:t>actually</w:t>
      </w:r>
      <w:r>
        <w:rPr>
          <w:spacing w:val="6"/>
          <w:vertAlign w:val="baseline"/>
        </w:rPr>
        <w:t> </w:t>
      </w:r>
      <w:r>
        <w:rPr>
          <w:vertAlign w:val="baseline"/>
        </w:rPr>
        <w:t>pass</w:t>
      </w:r>
      <w:r>
        <w:rPr>
          <w:spacing w:val="6"/>
          <w:vertAlign w:val="baseline"/>
        </w:rPr>
        <w:t> </w:t>
      </w:r>
      <w:r>
        <w:rPr>
          <w:vertAlign w:val="baseline"/>
        </w:rPr>
        <w:t>on</w:t>
      </w:r>
      <w:r>
        <w:rPr>
          <w:spacing w:val="6"/>
          <w:vertAlign w:val="baseline"/>
        </w:rPr>
        <w:t> </w:t>
      </w:r>
      <w:r>
        <w:rPr>
          <w:vertAlign w:val="baseline"/>
        </w:rPr>
        <w:t>the</w:t>
      </w:r>
      <w:r>
        <w:rPr>
          <w:spacing w:val="6"/>
          <w:vertAlign w:val="baseline"/>
        </w:rPr>
        <w:t> </w:t>
      </w:r>
      <w:r>
        <w:rPr>
          <w:vertAlign w:val="baseline"/>
        </w:rPr>
        <w:t>fraudulent</w:t>
      </w:r>
      <w:r>
        <w:rPr>
          <w:spacing w:val="6"/>
          <w:vertAlign w:val="baseline"/>
        </w:rPr>
        <w:t> </w:t>
      </w:r>
      <w:r>
        <w:rPr>
          <w:spacing w:val="-2"/>
          <w:vertAlign w:val="baseline"/>
        </w:rPr>
        <w:t>statements.</w:t>
      </w:r>
    </w:p>
    <w:p>
      <w:pPr>
        <w:spacing w:line="110" w:lineRule="exact" w:before="0"/>
        <w:ind w:left="165" w:right="0" w:firstLine="0"/>
        <w:jc w:val="left"/>
        <w:rPr>
          <w:sz w:val="12"/>
        </w:rPr>
      </w:pPr>
      <w:r>
        <w:rPr>
          <w:color w:val="005DA1"/>
          <w:spacing w:val="-5"/>
          <w:sz w:val="12"/>
          <w:u w:val="single" w:color="005DA1"/>
        </w:rPr>
        <w:t>165</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z w:val="18"/>
        </w:rPr>
        <w:t>Tort actions for </w:t>
      </w:r>
      <w:r>
        <w:rPr>
          <w:rFonts w:ascii="Arial"/>
          <w:b/>
          <w:spacing w:val="-2"/>
          <w:sz w:val="18"/>
        </w:rPr>
        <w:t>misrepresentation</w:t>
      </w:r>
    </w:p>
    <w:p>
      <w:pPr>
        <w:pStyle w:val="BodyText"/>
        <w:spacing w:before="41"/>
        <w:rPr>
          <w:rFonts w:ascii="Arial"/>
          <w:b/>
          <w:sz w:val="18"/>
        </w:rPr>
      </w:pPr>
    </w:p>
    <w:p>
      <w:pPr>
        <w:pStyle w:val="Heading2"/>
        <w:spacing w:before="1"/>
      </w:pPr>
      <w:r>
        <w:rPr/>
        <w:t>7-</w:t>
      </w:r>
      <w:r>
        <w:rPr>
          <w:spacing w:val="-5"/>
        </w:rPr>
        <w:t>032</w:t>
      </w:r>
    </w:p>
    <w:p>
      <w:pPr>
        <w:pStyle w:val="BodyText"/>
        <w:spacing w:line="235" w:lineRule="auto" w:before="202"/>
        <w:ind w:left="165" w:right="167"/>
        <w:jc w:val="both"/>
      </w:pPr>
      <w:r>
        <w:rPr/>
        <w:t>In tort actions based on negligent misrepresentation, there seems to be a tendency to apply </w:t>
      </w:r>
      <w:r>
        <w:rPr/>
        <w:t>rules which may be somewhat more favourable to a party claiming to be a representee. This is because in such</w:t>
      </w:r>
      <w:r>
        <w:rPr>
          <w:spacing w:val="-2"/>
        </w:rPr>
        <w:t> </w:t>
      </w:r>
      <w:r>
        <w:rPr/>
        <w:t>actions</w:t>
      </w:r>
      <w:r>
        <w:rPr>
          <w:spacing w:val="-2"/>
        </w:rPr>
        <w:t> </w:t>
      </w:r>
      <w:r>
        <w:rPr/>
        <w:t>the</w:t>
      </w:r>
      <w:r>
        <w:rPr>
          <w:spacing w:val="-2"/>
        </w:rPr>
        <w:t> </w:t>
      </w:r>
      <w:r>
        <w:rPr/>
        <w:t>defendant’s</w:t>
      </w:r>
      <w:r>
        <w:rPr>
          <w:spacing w:val="-2"/>
        </w:rPr>
        <w:t> </w:t>
      </w:r>
      <w:r>
        <w:rPr/>
        <w:t>liability</w:t>
      </w:r>
      <w:r>
        <w:rPr>
          <w:spacing w:val="-2"/>
        </w:rPr>
        <w:t> </w:t>
      </w:r>
      <w:r>
        <w:rPr/>
        <w:t>turns</w:t>
      </w:r>
      <w:r>
        <w:rPr>
          <w:spacing w:val="-2"/>
        </w:rPr>
        <w:t> </w:t>
      </w:r>
      <w:r>
        <w:rPr/>
        <w:t>on</w:t>
      </w:r>
      <w:r>
        <w:rPr>
          <w:spacing w:val="-2"/>
        </w:rPr>
        <w:t> </w:t>
      </w:r>
      <w:r>
        <w:rPr/>
        <w:t>whether</w:t>
      </w:r>
      <w:r>
        <w:rPr>
          <w:spacing w:val="-2"/>
        </w:rPr>
        <w:t> </w:t>
      </w:r>
      <w:r>
        <w:rPr/>
        <w:t>he</w:t>
      </w:r>
      <w:r>
        <w:rPr>
          <w:spacing w:val="-2"/>
        </w:rPr>
        <w:t> </w:t>
      </w:r>
      <w:r>
        <w:rPr/>
        <w:t>owed</w:t>
      </w:r>
      <w:r>
        <w:rPr>
          <w:spacing w:val="-2"/>
        </w:rPr>
        <w:t> </w:t>
      </w:r>
      <w:r>
        <w:rPr/>
        <w:t>a</w:t>
      </w:r>
      <w:r>
        <w:rPr>
          <w:spacing w:val="-2"/>
        </w:rPr>
        <w:t> </w:t>
      </w:r>
      <w:r>
        <w:rPr/>
        <w:t>duty</w:t>
      </w:r>
      <w:r>
        <w:rPr>
          <w:spacing w:val="-2"/>
        </w:rPr>
        <w:t> </w:t>
      </w:r>
      <w:r>
        <w:rPr/>
        <w:t>of</w:t>
      </w:r>
      <w:r>
        <w:rPr>
          <w:spacing w:val="-2"/>
        </w:rPr>
        <w:t> </w:t>
      </w:r>
      <w:r>
        <w:rPr/>
        <w:t>care</w:t>
      </w:r>
      <w:r>
        <w:rPr>
          <w:spacing w:val="-2"/>
        </w:rPr>
        <w:t> </w:t>
      </w:r>
      <w:r>
        <w:rPr/>
        <w:t>to</w:t>
      </w:r>
      <w:r>
        <w:rPr>
          <w:spacing w:val="-2"/>
        </w:rPr>
        <w:t> </w:t>
      </w:r>
      <w:r>
        <w:rPr/>
        <w:t>the</w:t>
      </w:r>
      <w:r>
        <w:rPr>
          <w:spacing w:val="-2"/>
        </w:rPr>
        <w:t> </w:t>
      </w:r>
      <w:r>
        <w:rPr/>
        <w:t>claimant,</w:t>
      </w:r>
      <w:r>
        <w:rPr>
          <w:spacing w:val="-2"/>
        </w:rPr>
        <w:t> </w:t>
      </w:r>
      <w:r>
        <w:rPr/>
        <w:t>and</w:t>
      </w:r>
      <w:r>
        <w:rPr>
          <w:spacing w:val="-2"/>
        </w:rPr>
        <w:t> </w:t>
      </w:r>
      <w:r>
        <w:rPr/>
        <w:t>that </w:t>
      </w:r>
      <w:bookmarkStart w:name="_bookmark302" w:id="304"/>
      <w:bookmarkEnd w:id="304"/>
      <w:r>
        <w:rPr/>
        <w:t>in</w:t>
      </w:r>
      <w:r>
        <w:rPr/>
        <w:t> turn may depend largely upon whether he ought to have foreseen that the statement would be acted upon by the claimant. In </w:t>
      </w:r>
      <w:r>
        <w:rPr>
          <w:rFonts w:ascii="Arial" w:hAnsi="Arial"/>
          <w:i/>
        </w:rPr>
        <w:t>Hedley Byrne &amp; Co Ltd v Heller &amp; Partners Ltd </w:t>
      </w:r>
      <w:r>
        <w:rPr>
          <w:color w:val="005DA1"/>
          <w:u w:val="single" w:color="005DA1"/>
          <w:vertAlign w:val="superscript"/>
        </w:rPr>
        <w:t>166</w:t>
      </w:r>
      <w:r>
        <w:rPr>
          <w:color w:val="005DA1"/>
          <w:vertAlign w:val="baseline"/>
        </w:rPr>
        <w:t> </w:t>
      </w:r>
      <w:r>
        <w:rPr>
          <w:vertAlign w:val="baseline"/>
        </w:rPr>
        <w:t>a case of negligent misrepresentation</w:t>
      </w:r>
      <w:r>
        <w:rPr>
          <w:spacing w:val="7"/>
          <w:vertAlign w:val="baseline"/>
        </w:rPr>
        <w:t> </w:t>
      </w:r>
      <w:r>
        <w:rPr>
          <w:vertAlign w:val="baseline"/>
        </w:rPr>
        <w:t>in</w:t>
      </w:r>
      <w:r>
        <w:rPr>
          <w:spacing w:val="7"/>
          <w:vertAlign w:val="baseline"/>
        </w:rPr>
        <w:t> </w:t>
      </w:r>
      <w:r>
        <w:rPr>
          <w:vertAlign w:val="baseline"/>
        </w:rPr>
        <w:t>tort,</w:t>
      </w:r>
      <w:r>
        <w:rPr>
          <w:spacing w:val="7"/>
          <w:vertAlign w:val="baseline"/>
        </w:rPr>
        <w:t> </w:t>
      </w:r>
      <w:r>
        <w:rPr>
          <w:vertAlign w:val="baseline"/>
        </w:rPr>
        <w:t>the</w:t>
      </w:r>
      <w:r>
        <w:rPr>
          <w:spacing w:val="7"/>
          <w:vertAlign w:val="baseline"/>
        </w:rPr>
        <w:t> </w:t>
      </w:r>
      <w:r>
        <w:rPr>
          <w:vertAlign w:val="baseline"/>
        </w:rPr>
        <w:t>plaintiffs</w:t>
      </w:r>
      <w:r>
        <w:rPr>
          <w:spacing w:val="7"/>
          <w:vertAlign w:val="baseline"/>
        </w:rPr>
        <w:t> </w:t>
      </w:r>
      <w:r>
        <w:rPr>
          <w:vertAlign w:val="baseline"/>
        </w:rPr>
        <w:t>asked</w:t>
      </w:r>
      <w:r>
        <w:rPr>
          <w:spacing w:val="7"/>
          <w:vertAlign w:val="baseline"/>
        </w:rPr>
        <w:t> </w:t>
      </w:r>
      <w:r>
        <w:rPr>
          <w:vertAlign w:val="baseline"/>
        </w:rPr>
        <w:t>their</w:t>
      </w:r>
      <w:r>
        <w:rPr>
          <w:spacing w:val="7"/>
          <w:vertAlign w:val="baseline"/>
        </w:rPr>
        <w:t> </w:t>
      </w:r>
      <w:r>
        <w:rPr>
          <w:vertAlign w:val="baseline"/>
        </w:rPr>
        <w:t>bankers</w:t>
      </w:r>
      <w:r>
        <w:rPr>
          <w:spacing w:val="7"/>
          <w:vertAlign w:val="baseline"/>
        </w:rPr>
        <w:t> </w:t>
      </w:r>
      <w:r>
        <w:rPr>
          <w:vertAlign w:val="baseline"/>
        </w:rPr>
        <w:t>to</w:t>
      </w:r>
      <w:r>
        <w:rPr>
          <w:spacing w:val="7"/>
          <w:vertAlign w:val="baseline"/>
        </w:rPr>
        <w:t> </w:t>
      </w:r>
      <w:r>
        <w:rPr>
          <w:vertAlign w:val="baseline"/>
        </w:rPr>
        <w:t>obtain</w:t>
      </w:r>
      <w:r>
        <w:rPr>
          <w:spacing w:val="7"/>
          <w:vertAlign w:val="baseline"/>
        </w:rPr>
        <w:t> </w:t>
      </w:r>
      <w:r>
        <w:rPr>
          <w:vertAlign w:val="baseline"/>
        </w:rPr>
        <w:t>a</w:t>
      </w:r>
      <w:r>
        <w:rPr>
          <w:spacing w:val="7"/>
          <w:vertAlign w:val="baseline"/>
        </w:rPr>
        <w:t> </w:t>
      </w:r>
      <w:r>
        <w:rPr>
          <w:vertAlign w:val="baseline"/>
        </w:rPr>
        <w:t>reference</w:t>
      </w:r>
      <w:r>
        <w:rPr>
          <w:spacing w:val="7"/>
          <w:vertAlign w:val="baseline"/>
        </w:rPr>
        <w:t> </w:t>
      </w:r>
      <w:r>
        <w:rPr>
          <w:vertAlign w:val="baseline"/>
        </w:rPr>
        <w:t>from</w:t>
      </w:r>
      <w:r>
        <w:rPr>
          <w:spacing w:val="7"/>
          <w:vertAlign w:val="baseline"/>
        </w:rPr>
        <w:t> </w:t>
      </w:r>
      <w:r>
        <w:rPr>
          <w:vertAlign w:val="baseline"/>
        </w:rPr>
        <w:t>the</w:t>
      </w:r>
      <w:r>
        <w:rPr>
          <w:spacing w:val="7"/>
          <w:vertAlign w:val="baseline"/>
        </w:rPr>
        <w:t> </w:t>
      </w:r>
      <w:r>
        <w:rPr>
          <w:spacing w:val="-2"/>
          <w:vertAlign w:val="baseline"/>
        </w:rPr>
        <w:t>defendants,</w:t>
      </w:r>
    </w:p>
    <w:p>
      <w:pPr>
        <w:pStyle w:val="BodyText"/>
        <w:spacing w:after="0" w:line="235" w:lineRule="auto"/>
        <w:jc w:val="both"/>
        <w:sectPr>
          <w:headerReference w:type="default" r:id="rId9"/>
          <w:pgSz w:w="11900" w:h="16840"/>
          <w:pgMar w:header="971" w:footer="0" w:top="1160" w:bottom="280" w:left="1275" w:right="1275"/>
          <w:pgNumType w:start="1"/>
        </w:sectPr>
      </w:pPr>
    </w:p>
    <w:p>
      <w:pPr>
        <w:pStyle w:val="BodyText"/>
        <w:spacing w:before="24"/>
      </w:pPr>
    </w:p>
    <w:p>
      <w:pPr>
        <w:pStyle w:val="BodyText"/>
        <w:spacing w:line="235" w:lineRule="auto" w:before="1"/>
        <w:ind w:left="164" w:right="167"/>
        <w:jc w:val="both"/>
      </w:pPr>
      <w:r>
        <w:rPr/>
        <w:t>who were also bankers, about a client with whom the plaintiffs were proposing to do business. Although the action failed on other grounds, it was held that it was no defence that the defendants </w:t>
      </w:r>
      <w:r>
        <w:rPr/>
        <w:t>did not know anything about the plaintiffs personally, for it was enough that they must have realised that the reference was wanted by some customer of the bank who would most probably act upon it. The Australian High Court has held that a bank giving a reference to another bank must have known that </w:t>
      </w:r>
      <w:bookmarkStart w:name="_bookmark303" w:id="305"/>
      <w:bookmarkEnd w:id="305"/>
      <w:r>
        <w:rPr/>
        <w:t>the</w:t>
      </w:r>
      <w:r>
        <w:rPr/>
        <w:t> reference would be passed on to the second bank’s client even though it was prefaced with the words “[t]his opinion is confidential and for your private use”. </w:t>
      </w:r>
      <w:r>
        <w:rPr>
          <w:color w:val="005DA1"/>
          <w:u w:val="single" w:color="005DA1"/>
          <w:vertAlign w:val="superscript"/>
        </w:rPr>
        <w:t>167</w:t>
      </w:r>
      <w:r>
        <w:rPr>
          <w:color w:val="005DA1"/>
          <w:vertAlign w:val="baseline"/>
        </w:rPr>
        <w:t> </w:t>
      </w:r>
      <w:r>
        <w:rPr>
          <w:vertAlign w:val="baseline"/>
        </w:rPr>
        <w:t>In </w:t>
      </w:r>
      <w:r>
        <w:rPr>
          <w:rFonts w:ascii="Arial" w:hAnsi="Arial"/>
          <w:i/>
          <w:vertAlign w:val="baseline"/>
        </w:rPr>
        <w:t>Smith v Eric S. Bush </w:t>
      </w:r>
      <w:r>
        <w:rPr>
          <w:color w:val="005DA1"/>
          <w:u w:val="single" w:color="005DA1"/>
          <w:vertAlign w:val="superscript"/>
        </w:rPr>
        <w:t>168</w:t>
      </w:r>
      <w:r>
        <w:rPr>
          <w:color w:val="005DA1"/>
          <w:vertAlign w:val="baseline"/>
        </w:rPr>
        <w:t> </w:t>
      </w:r>
      <w:r>
        <w:rPr>
          <w:vertAlign w:val="baseline"/>
        </w:rPr>
        <w:t>a surveyor instructed by a building society to value a house for mortgage purposes knew that the prospective purchaser, who had in effect paid for the valuation, would probably rely on it in deciding whether or</w:t>
      </w:r>
      <w:r>
        <w:rPr>
          <w:spacing w:val="40"/>
          <w:vertAlign w:val="baseline"/>
        </w:rPr>
        <w:t> </w:t>
      </w:r>
      <w:r>
        <w:rPr>
          <w:vertAlign w:val="baseline"/>
        </w:rPr>
        <w:t>not to purchase. The surveyor was liable in tort to the purchaser even though the purchaser’s application form for the mortgage contained a disclaimer of responsibility on the part of the surveyor </w:t>
      </w:r>
      <w:bookmarkStart w:name="_bookmark304" w:id="306"/>
      <w:bookmarkEnd w:id="306"/>
      <w:r>
        <w:rPr>
          <w:vertAlign w:val="baseline"/>
        </w:rPr>
        <w:t>towards</w:t>
      </w:r>
      <w:r>
        <w:rPr>
          <w:vertAlign w:val="baseline"/>
        </w:rPr>
        <w:t> the purchaser; the clause was held not to be fair and reasonable under the Unfair Contract </w:t>
      </w:r>
      <w:bookmarkStart w:name="_bookmark305" w:id="307"/>
      <w:bookmarkEnd w:id="307"/>
      <w:r>
        <w:rPr>
          <w:vertAlign w:val="baseline"/>
        </w:rPr>
        <w:t>Terms</w:t>
      </w:r>
      <w:r>
        <w:rPr>
          <w:vertAlign w:val="baseline"/>
        </w:rPr>
        <w:t> Act 1977. </w:t>
      </w:r>
      <w:r>
        <w:rPr>
          <w:color w:val="005DA1"/>
          <w:u w:val="single" w:color="005DA1"/>
          <w:vertAlign w:val="superscript"/>
        </w:rPr>
        <w:t>169</w:t>
      </w:r>
      <w:r>
        <w:rPr>
          <w:color w:val="005DA1"/>
          <w:vertAlign w:val="baseline"/>
        </w:rPr>
        <w:t> </w:t>
      </w:r>
      <w:r>
        <w:rPr>
          <w:vertAlign w:val="baseline"/>
        </w:rPr>
        <w:t>It would seem, therefore, that it is sufficient if the representor either intended the </w:t>
      </w:r>
      <w:bookmarkStart w:name="_bookmark306" w:id="308"/>
      <w:bookmarkEnd w:id="308"/>
      <w:r>
        <w:rPr>
          <w:vertAlign w:val="baseline"/>
        </w:rPr>
        <w:t>representee</w:t>
      </w:r>
      <w:r>
        <w:rPr>
          <w:vertAlign w:val="baseline"/>
        </w:rPr>
        <w:t> to act on the statement or at least should have realised that he would probably do so. </w:t>
      </w:r>
      <w:r>
        <w:rPr>
          <w:color w:val="005DA1"/>
          <w:u w:val="single" w:color="005DA1"/>
          <w:vertAlign w:val="superscript"/>
        </w:rPr>
        <w:t>170</w:t>
      </w:r>
      <w:r>
        <w:rPr>
          <w:color w:val="005DA1"/>
          <w:vertAlign w:val="baseline"/>
        </w:rPr>
        <w:t> </w:t>
      </w:r>
      <w:r>
        <w:rPr>
          <w:vertAlign w:val="baseline"/>
        </w:rPr>
        <w:t>On the other hand, in </w:t>
      </w:r>
      <w:r>
        <w:rPr>
          <w:rFonts w:ascii="Arial" w:hAnsi="Arial"/>
          <w:i/>
          <w:vertAlign w:val="baseline"/>
        </w:rPr>
        <w:t>Caparo Industries Plc v Dickman </w:t>
      </w:r>
      <w:r>
        <w:rPr>
          <w:color w:val="005DA1"/>
          <w:u w:val="single" w:color="005DA1"/>
          <w:vertAlign w:val="superscript"/>
        </w:rPr>
        <w:t>171</w:t>
      </w:r>
      <w:r>
        <w:rPr>
          <w:color w:val="005DA1"/>
          <w:vertAlign w:val="baseline"/>
        </w:rPr>
        <w:t> </w:t>
      </w:r>
      <w:r>
        <w:rPr>
          <w:vertAlign w:val="baseline"/>
        </w:rPr>
        <w:t>it was held that there will be no liability in tort for negligent misrepresentation unless the maker of the statement knew that the statement would </w:t>
      </w:r>
      <w:bookmarkStart w:name="_bookmark307" w:id="309"/>
      <w:bookmarkEnd w:id="309"/>
      <w:r>
        <w:rPr>
          <w:vertAlign w:val="baseline"/>
        </w:rPr>
        <w:t>be</w:t>
      </w:r>
      <w:r>
        <w:rPr>
          <w:vertAlign w:val="baseline"/>
        </w:rPr>
        <w:t> communicated to the person relying on it, either as an individual or as a member of a specified class, specifically in connection with a particular transaction or a transaction of a particular kind. </w:t>
      </w:r>
      <w:r>
        <w:rPr>
          <w:color w:val="005DA1"/>
          <w:u w:val="single" w:color="005DA1"/>
          <w:vertAlign w:val="superscript"/>
        </w:rPr>
        <w:t>172</w:t>
      </w:r>
      <w:r>
        <w:rPr>
          <w:color w:val="005DA1"/>
          <w:vertAlign w:val="baseline"/>
        </w:rPr>
        <w:t> </w:t>
      </w:r>
      <w:r>
        <w:rPr>
          <w:vertAlign w:val="baseline"/>
        </w:rPr>
        <w:t>In relation to misrepresentation as between contracting parties, the second requirement appears to mean that the misrepresentation must have been made in connection with the contract in respect of which relief is sought, or at least that reliance on the representation in connection with the contract was likely.</w:t>
      </w:r>
    </w:p>
    <w:p>
      <w:pPr>
        <w:pStyle w:val="BodyText"/>
      </w:pPr>
    </w:p>
    <w:p>
      <w:pPr>
        <w:pStyle w:val="BodyText"/>
        <w:spacing w:before="30"/>
      </w:pPr>
    </w:p>
    <w:p>
      <w:pPr>
        <w:spacing w:before="0"/>
        <w:ind w:left="165" w:right="0" w:firstLine="0"/>
        <w:jc w:val="left"/>
        <w:rPr>
          <w:rFonts w:ascii="Arial"/>
          <w:b/>
          <w:sz w:val="18"/>
        </w:rPr>
      </w:pPr>
      <w:r>
        <w:rPr>
          <w:rFonts w:ascii="Arial"/>
          <w:b/>
          <w:spacing w:val="-2"/>
          <w:sz w:val="18"/>
        </w:rPr>
        <w:t>Intention</w:t>
      </w:r>
    </w:p>
    <w:p>
      <w:pPr>
        <w:pStyle w:val="BodyText"/>
        <w:spacing w:before="41"/>
        <w:rPr>
          <w:rFonts w:ascii="Arial"/>
          <w:b/>
          <w:sz w:val="18"/>
        </w:rPr>
      </w:pPr>
    </w:p>
    <w:p>
      <w:pPr>
        <w:pStyle w:val="Heading2"/>
      </w:pPr>
      <w:r>
        <w:rPr/>
        <w:t>7-</w:t>
      </w:r>
      <w:r>
        <w:rPr>
          <w:spacing w:val="-5"/>
        </w:rPr>
        <w:t>033</w:t>
      </w:r>
    </w:p>
    <w:p>
      <w:pPr>
        <w:pStyle w:val="BodyText"/>
        <w:spacing w:before="89"/>
        <w:rPr>
          <w:rFonts w:ascii="Arial"/>
          <w:b/>
        </w:rPr>
      </w:pPr>
    </w:p>
    <w:p>
      <w:pPr>
        <w:pStyle w:val="BodyText"/>
        <w:ind w:left="165"/>
        <w:jc w:val="both"/>
      </w:pPr>
      <w:r>
        <w:rPr>
          <w:position w:val="-2"/>
        </w:rPr>
        <w:drawing>
          <wp:inline distT="0" distB="0" distL="0" distR="0">
            <wp:extent cx="107988" cy="107988"/>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3"/>
        </w:rPr>
        <w:t> </w:t>
      </w:r>
      <w:bookmarkStart w:name="_bookmark308" w:id="310"/>
      <w:bookmarkEnd w:id="310"/>
      <w:r>
        <w:rPr>
          <w:rFonts w:ascii="Times New Roman"/>
          <w:spacing w:val="23"/>
        </w:rPr>
      </w:r>
      <w:r>
        <w:rPr/>
        <w:t>It</w:t>
      </w:r>
      <w:r>
        <w:rPr>
          <w:spacing w:val="18"/>
        </w:rPr>
        <w:t> </w:t>
      </w:r>
      <w:r>
        <w:rPr/>
        <w:t>is</w:t>
      </w:r>
      <w:r>
        <w:rPr>
          <w:spacing w:val="18"/>
        </w:rPr>
        <w:t> </w:t>
      </w:r>
      <w:r>
        <w:rPr/>
        <w:t>also</w:t>
      </w:r>
      <w:r>
        <w:rPr>
          <w:spacing w:val="18"/>
        </w:rPr>
        <w:t> </w:t>
      </w:r>
      <w:r>
        <w:rPr/>
        <w:t>sometimes</w:t>
      </w:r>
      <w:r>
        <w:rPr>
          <w:spacing w:val="18"/>
        </w:rPr>
        <w:t> </w:t>
      </w:r>
      <w:r>
        <w:rPr/>
        <w:t>said</w:t>
      </w:r>
      <w:r>
        <w:rPr>
          <w:spacing w:val="18"/>
        </w:rPr>
        <w:t> </w:t>
      </w:r>
      <w:r>
        <w:rPr/>
        <w:t>that</w:t>
      </w:r>
      <w:r>
        <w:rPr>
          <w:spacing w:val="18"/>
        </w:rPr>
        <w:t> </w:t>
      </w:r>
      <w:r>
        <w:rPr/>
        <w:t>a</w:t>
      </w:r>
      <w:r>
        <w:rPr>
          <w:spacing w:val="18"/>
        </w:rPr>
        <w:t> </w:t>
      </w:r>
      <w:r>
        <w:rPr/>
        <w:t>misrepresentation</w:t>
      </w:r>
      <w:r>
        <w:rPr>
          <w:spacing w:val="18"/>
        </w:rPr>
        <w:t> </w:t>
      </w:r>
      <w:r>
        <w:rPr/>
        <w:t>will</w:t>
      </w:r>
      <w:r>
        <w:rPr>
          <w:spacing w:val="18"/>
        </w:rPr>
        <w:t> </w:t>
      </w:r>
      <w:r>
        <w:rPr/>
        <w:t>not</w:t>
      </w:r>
      <w:r>
        <w:rPr>
          <w:spacing w:val="18"/>
        </w:rPr>
        <w:t> </w:t>
      </w:r>
      <w:r>
        <w:rPr/>
        <w:t>be</w:t>
      </w:r>
      <w:r>
        <w:rPr>
          <w:spacing w:val="18"/>
        </w:rPr>
        <w:t> </w:t>
      </w:r>
      <w:r>
        <w:rPr/>
        <w:t>effective</w:t>
      </w:r>
      <w:r>
        <w:rPr>
          <w:spacing w:val="18"/>
        </w:rPr>
        <w:t> </w:t>
      </w:r>
      <w:r>
        <w:rPr/>
        <w:t>to</w:t>
      </w:r>
      <w:r>
        <w:rPr>
          <w:spacing w:val="18"/>
        </w:rPr>
        <w:t> </w:t>
      </w:r>
      <w:r>
        <w:rPr/>
        <w:t>create</w:t>
      </w:r>
      <w:r>
        <w:rPr>
          <w:spacing w:val="18"/>
        </w:rPr>
        <w:t> </w:t>
      </w:r>
      <w:r>
        <w:rPr/>
        <w:t>liability</w:t>
      </w:r>
      <w:r>
        <w:rPr>
          <w:spacing w:val="18"/>
        </w:rPr>
        <w:t> </w:t>
      </w:r>
      <w:r>
        <w:rPr/>
        <w:t>for</w:t>
      </w:r>
      <w:r>
        <w:rPr>
          <w:spacing w:val="18"/>
        </w:rPr>
        <w:t> </w:t>
      </w:r>
      <w:r>
        <w:rPr/>
        <w:t>deceit</w:t>
      </w:r>
    </w:p>
    <w:p>
      <w:pPr>
        <w:pStyle w:val="BodyText"/>
        <w:spacing w:line="235" w:lineRule="auto" w:before="119"/>
        <w:ind w:left="165" w:right="167"/>
        <w:jc w:val="both"/>
      </w:pPr>
      <w:r>
        <w:rPr/>
        <w:t>unless it was intended to be acted on by the representee. </w:t>
      </w:r>
      <w:r>
        <w:rPr>
          <w:color w:val="005DA1"/>
          <w:u w:val="single" w:color="005DA1"/>
          <w:vertAlign w:val="superscript"/>
        </w:rPr>
        <w:t>173</w:t>
      </w:r>
      <w:r>
        <w:rPr>
          <w:color w:val="005DA1"/>
          <w:spacing w:val="80"/>
          <w:vertAlign w:val="baseline"/>
        </w:rPr>
        <w:t> </w:t>
      </w:r>
      <w:r>
        <w:rPr>
          <w:color w:val="005DA1"/>
          <w:spacing w:val="-28"/>
          <w:position w:val="-2"/>
          <w:vertAlign w:val="baseline"/>
        </w:rPr>
        <w:drawing>
          <wp:inline distT="0" distB="0" distL="0" distR="0">
            <wp:extent cx="107988" cy="107988"/>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8"/>
          <w:position w:val="-2"/>
          <w:vertAlign w:val="baseline"/>
        </w:rPr>
      </w:r>
      <w:r>
        <w:rPr>
          <w:rFonts w:ascii="Times New Roman"/>
          <w:color w:val="005DA1"/>
          <w:spacing w:val="37"/>
          <w:vertAlign w:val="baseline"/>
        </w:rPr>
        <w:t> </w:t>
      </w:r>
      <w:r>
        <w:rPr>
          <w:vertAlign w:val="baseline"/>
        </w:rPr>
        <w:t>If this means no more than that </w:t>
      </w:r>
      <w:r>
        <w:rPr>
          <w:vertAlign w:val="baseline"/>
        </w:rPr>
        <w:t>the representee cannot complain unless the misrepresentation was addressed to him, or to a class of </w:t>
      </w:r>
      <w:bookmarkStart w:name="_bookmark309" w:id="311"/>
      <w:bookmarkEnd w:id="311"/>
      <w:r>
        <w:rPr>
          <w:vertAlign w:val="baseline"/>
        </w:rPr>
        <w:t>persons</w:t>
      </w:r>
      <w:r>
        <w:rPr>
          <w:vertAlign w:val="baseline"/>
        </w:rPr>
        <w:t> to whom he was one, the statement is doubtless correct. This point has been dealt with earlier. </w:t>
      </w:r>
      <w:r>
        <w:rPr>
          <w:color w:val="005DA1"/>
          <w:u w:val="single" w:color="005DA1"/>
          <w:vertAlign w:val="superscript"/>
        </w:rPr>
        <w:t>174</w:t>
      </w:r>
      <w:r>
        <w:rPr>
          <w:color w:val="005DA1"/>
          <w:vertAlign w:val="baseline"/>
        </w:rPr>
        <w:t> </w:t>
      </w:r>
      <w:r>
        <w:rPr>
          <w:vertAlign w:val="baseline"/>
        </w:rPr>
        <w:t>But if the statement that the representor must have intended the representee to act on the representation means that the representor will not be liable if he did not intend that the person to whom he was deliberately giving the false information should act on it at all, or not in the way he did, </w:t>
      </w:r>
      <w:bookmarkStart w:name="_bookmark310" w:id="312"/>
      <w:bookmarkEnd w:id="312"/>
      <w:r>
        <w:rPr>
          <w:vertAlign w:val="baseline"/>
        </w:rPr>
        <w:t>the</w:t>
      </w:r>
      <w:r>
        <w:rPr>
          <w:spacing w:val="19"/>
          <w:vertAlign w:val="baseline"/>
        </w:rPr>
        <w:t> </w:t>
      </w:r>
      <w:r>
        <w:rPr>
          <w:vertAlign w:val="baseline"/>
        </w:rPr>
        <w:t>proposition</w:t>
      </w:r>
      <w:r>
        <w:rPr>
          <w:spacing w:val="21"/>
          <w:vertAlign w:val="baseline"/>
        </w:rPr>
        <w:t> </w:t>
      </w:r>
      <w:r>
        <w:rPr>
          <w:vertAlign w:val="baseline"/>
        </w:rPr>
        <w:t>must</w:t>
      </w:r>
      <w:r>
        <w:rPr>
          <w:spacing w:val="21"/>
          <w:vertAlign w:val="baseline"/>
        </w:rPr>
        <w:t> </w:t>
      </w:r>
      <w:r>
        <w:rPr>
          <w:vertAlign w:val="baseline"/>
        </w:rPr>
        <w:t>be</w:t>
      </w:r>
      <w:r>
        <w:rPr>
          <w:spacing w:val="21"/>
          <w:vertAlign w:val="baseline"/>
        </w:rPr>
        <w:t> </w:t>
      </w:r>
      <w:r>
        <w:rPr>
          <w:vertAlign w:val="baseline"/>
        </w:rPr>
        <w:t>treated</w:t>
      </w:r>
      <w:r>
        <w:rPr>
          <w:spacing w:val="21"/>
          <w:vertAlign w:val="baseline"/>
        </w:rPr>
        <w:t> </w:t>
      </w:r>
      <w:r>
        <w:rPr>
          <w:vertAlign w:val="baseline"/>
        </w:rPr>
        <w:t>with</w:t>
      </w:r>
      <w:r>
        <w:rPr>
          <w:spacing w:val="21"/>
          <w:vertAlign w:val="baseline"/>
        </w:rPr>
        <w:t> </w:t>
      </w:r>
      <w:r>
        <w:rPr>
          <w:vertAlign w:val="baseline"/>
        </w:rPr>
        <w:t>some</w:t>
      </w:r>
      <w:r>
        <w:rPr>
          <w:spacing w:val="21"/>
          <w:vertAlign w:val="baseline"/>
        </w:rPr>
        <w:t> </w:t>
      </w:r>
      <w:r>
        <w:rPr>
          <w:vertAlign w:val="baseline"/>
        </w:rPr>
        <w:t>caution.</w:t>
      </w:r>
      <w:r>
        <w:rPr>
          <w:spacing w:val="21"/>
          <w:vertAlign w:val="baseline"/>
        </w:rPr>
        <w:t> </w:t>
      </w:r>
      <w:r>
        <w:rPr>
          <w:vertAlign w:val="baseline"/>
        </w:rPr>
        <w:t>First,</w:t>
      </w:r>
      <w:r>
        <w:rPr>
          <w:spacing w:val="21"/>
          <w:vertAlign w:val="baseline"/>
        </w:rPr>
        <w:t> </w:t>
      </w:r>
      <w:r>
        <w:rPr>
          <w:vertAlign w:val="baseline"/>
        </w:rPr>
        <w:t>it</w:t>
      </w:r>
      <w:r>
        <w:rPr>
          <w:spacing w:val="21"/>
          <w:vertAlign w:val="baseline"/>
        </w:rPr>
        <w:t> </w:t>
      </w:r>
      <w:r>
        <w:rPr>
          <w:vertAlign w:val="baseline"/>
        </w:rPr>
        <w:t>seems</w:t>
      </w:r>
      <w:r>
        <w:rPr>
          <w:spacing w:val="21"/>
          <w:vertAlign w:val="baseline"/>
        </w:rPr>
        <w:t> </w:t>
      </w:r>
      <w:r>
        <w:rPr>
          <w:vertAlign w:val="baseline"/>
        </w:rPr>
        <w:t>that</w:t>
      </w:r>
      <w:r>
        <w:rPr>
          <w:spacing w:val="21"/>
          <w:vertAlign w:val="baseline"/>
        </w:rPr>
        <w:t> </w:t>
      </w:r>
      <w:r>
        <w:rPr>
          <w:vertAlign w:val="baseline"/>
        </w:rPr>
        <w:t>any</w:t>
      </w:r>
      <w:r>
        <w:rPr>
          <w:spacing w:val="21"/>
          <w:vertAlign w:val="baseline"/>
        </w:rPr>
        <w:t> </w:t>
      </w:r>
      <w:r>
        <w:rPr>
          <w:vertAlign w:val="baseline"/>
        </w:rPr>
        <w:t>requirement</w:t>
      </w:r>
      <w:r>
        <w:rPr>
          <w:spacing w:val="21"/>
          <w:vertAlign w:val="baseline"/>
        </w:rPr>
        <w:t> </w:t>
      </w:r>
      <w:r>
        <w:rPr>
          <w:vertAlign w:val="baseline"/>
        </w:rPr>
        <w:t>of</w:t>
      </w:r>
      <w:r>
        <w:rPr>
          <w:spacing w:val="21"/>
          <w:vertAlign w:val="baseline"/>
        </w:rPr>
        <w:t> </w:t>
      </w:r>
      <w:r>
        <w:rPr>
          <w:spacing w:val="-2"/>
          <w:vertAlign w:val="baseline"/>
        </w:rPr>
        <w:t>intention</w:t>
      </w:r>
    </w:p>
    <w:p>
      <w:pPr>
        <w:pStyle w:val="BodyText"/>
        <w:spacing w:line="235" w:lineRule="auto" w:before="117"/>
        <w:ind w:left="164" w:right="167"/>
        <w:jc w:val="both"/>
      </w:pPr>
      <w:bookmarkStart w:name="_bookmark311" w:id="313"/>
      <w:bookmarkEnd w:id="313"/>
      <w:r>
        <w:rPr/>
      </w:r>
      <w:r>
        <w:rPr/>
        <w:t>applies only to cases of fraud </w:t>
      </w:r>
      <w:r>
        <w:rPr>
          <w:color w:val="005DA1"/>
          <w:u w:val="single" w:color="005DA1"/>
          <w:vertAlign w:val="superscript"/>
        </w:rPr>
        <w:t>175</w:t>
      </w:r>
      <w:r>
        <w:rPr>
          <w:color w:val="005DA1"/>
          <w:spacing w:val="80"/>
          <w:w w:val="150"/>
          <w:vertAlign w:val="baseline"/>
        </w:rPr>
        <w:t> </w:t>
      </w:r>
      <w:r>
        <w:rPr>
          <w:color w:val="005DA1"/>
          <w:spacing w:val="20"/>
          <w:position w:val="-2"/>
          <w:vertAlign w:val="baseline"/>
        </w:rPr>
        <w:drawing>
          <wp:inline distT="0" distB="0" distL="0" distR="0">
            <wp:extent cx="107988" cy="107988"/>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hAnsi="Times New Roman"/>
          <w:color w:val="005DA1"/>
          <w:spacing w:val="-9"/>
          <w:vertAlign w:val="baseline"/>
        </w:rPr>
        <w:t> </w:t>
      </w:r>
      <w:r>
        <w:rPr>
          <w:vertAlign w:val="baseline"/>
        </w:rPr>
        <w:t>and perhaps (because of the “fiction of fraud”) to cases in which</w:t>
      </w:r>
      <w:r>
        <w:rPr>
          <w:spacing w:val="40"/>
          <w:vertAlign w:val="baseline"/>
        </w:rPr>
        <w:t> </w:t>
      </w:r>
      <w:bookmarkStart w:name="_bookmark312" w:id="314"/>
      <w:bookmarkEnd w:id="314"/>
      <w:r>
        <w:rPr>
          <w:vertAlign w:val="baseline"/>
        </w:rPr>
        <w:t>it</w:t>
      </w:r>
      <w:r>
        <w:rPr>
          <w:vertAlign w:val="baseline"/>
        </w:rPr>
        <w:t> is claimed that the misrepresentor is liable in damages under Misrepresentation Act 1967 s.2(1). </w:t>
      </w:r>
      <w:r>
        <w:rPr>
          <w:color w:val="005DA1"/>
          <w:u w:val="single" w:color="005DA1"/>
          <w:vertAlign w:val="superscript"/>
        </w:rPr>
        <w:t>176</w:t>
      </w:r>
      <w:r>
        <w:rPr>
          <w:color w:val="005DA1"/>
          <w:vertAlign w:val="baseline"/>
        </w:rPr>
        <w:t> </w:t>
      </w:r>
      <w:r>
        <w:rPr>
          <w:vertAlign w:val="baseline"/>
        </w:rPr>
        <w:t>In cases of liability in tort for negligence, the test is one of reasonable foreseeability.</w:t>
      </w:r>
      <w:r>
        <w:rPr>
          <w:spacing w:val="-1"/>
          <w:vertAlign w:val="baseline"/>
        </w:rPr>
        <w:t> </w:t>
      </w:r>
      <w:r>
        <w:rPr>
          <w:color w:val="005DA1"/>
          <w:u w:val="single" w:color="005DA1"/>
          <w:vertAlign w:val="superscript"/>
        </w:rPr>
        <w:t>177</w:t>
      </w:r>
      <w:r>
        <w:rPr>
          <w:color w:val="005DA1"/>
          <w:vertAlign w:val="baseline"/>
        </w:rPr>
        <w:t> </w:t>
      </w:r>
      <w:r>
        <w:rPr>
          <w:vertAlign w:val="baseline"/>
        </w:rPr>
        <w:t>It is submitted in cases in which the claimant seeks to rescind on the grounds of a non-fraudulent misrepresentation it will suffice that the misrepresentor should have realised that the misrepresentee might, </w:t>
      </w:r>
      <w:r>
        <w:rPr>
          <w:vertAlign w:val="baseline"/>
        </w:rPr>
        <w:t>not </w:t>
      </w:r>
      <w:bookmarkStart w:name="_bookmark313" w:id="315"/>
      <w:bookmarkEnd w:id="315"/>
      <w:r>
        <w:rPr>
          <w:vertAlign w:val="baseline"/>
        </w:rPr>
        <w:t>unreasonably,</w:t>
      </w:r>
      <w:r>
        <w:rPr>
          <w:vertAlign w:val="baseline"/>
        </w:rPr>
        <w:t> act on the representation, as then the statement will be one on which the misrepresentee was entitled to rely. </w:t>
      </w:r>
      <w:r>
        <w:rPr>
          <w:color w:val="005DA1"/>
          <w:u w:val="single" w:color="005DA1"/>
          <w:vertAlign w:val="superscript"/>
        </w:rPr>
        <w:t>178</w:t>
      </w:r>
      <w:r>
        <w:rPr>
          <w:color w:val="005DA1"/>
          <w:vertAlign w:val="baseline"/>
        </w:rPr>
        <w:t> </w:t>
      </w:r>
      <w:r>
        <w:rPr>
          <w:vertAlign w:val="baseline"/>
        </w:rPr>
        <w:t>Secondly, even in fraud cases the authorities are not clear on </w:t>
      </w:r>
      <w:bookmarkStart w:name="_bookmark314" w:id="316"/>
      <w:bookmarkEnd w:id="316"/>
      <w:r>
        <w:rPr>
          <w:vertAlign w:val="baseline"/>
        </w:rPr>
        <w:t>whether</w:t>
      </w:r>
      <w:r>
        <w:rPr>
          <w:vertAlign w:val="baseline"/>
        </w:rPr>
        <w:t> it suffices that it must have been obvious that the claimant or someone in his position might rely on the statement. In </w:t>
      </w:r>
      <w:r>
        <w:rPr>
          <w:rFonts w:ascii="Arial" w:hAnsi="Arial"/>
          <w:i/>
          <w:vertAlign w:val="baseline"/>
        </w:rPr>
        <w:t>Cullen v Thomson </w:t>
      </w:r>
      <w:r>
        <w:rPr>
          <w:color w:val="005DA1"/>
          <w:u w:val="single" w:color="005DA1"/>
          <w:vertAlign w:val="superscript"/>
        </w:rPr>
        <w:t>179</w:t>
      </w:r>
      <w:r>
        <w:rPr>
          <w:color w:val="005DA1"/>
          <w:vertAlign w:val="baseline"/>
        </w:rPr>
        <w:t> </w:t>
      </w:r>
      <w:r>
        <w:rPr>
          <w:vertAlign w:val="baseline"/>
        </w:rPr>
        <w:t>three company directors were responsible for reading</w:t>
      </w:r>
      <w:r>
        <w:rPr>
          <w:spacing w:val="40"/>
          <w:vertAlign w:val="baseline"/>
        </w:rPr>
        <w:t> </w:t>
      </w:r>
      <w:r>
        <w:rPr>
          <w:vertAlign w:val="baseline"/>
        </w:rPr>
        <w:t>a report to a shareholders’ meeting which contained a completely fraudulent account of the</w:t>
      </w:r>
      <w:r>
        <w:rPr>
          <w:spacing w:val="40"/>
          <w:vertAlign w:val="baseline"/>
        </w:rPr>
        <w:t> </w:t>
      </w:r>
      <w:r>
        <w:rPr>
          <w:vertAlign w:val="baseline"/>
        </w:rPr>
        <w:t>company’s financial condition. It seems probable that the report was merely intended to conceal the company’s financial condition from the shareholders, but the plaintiff, himself a shareholder, purchased additional shares in reliance on this report. It was held that the directors were liable for</w:t>
      </w:r>
      <w:r>
        <w:rPr>
          <w:spacing w:val="40"/>
          <w:vertAlign w:val="baseline"/>
        </w:rPr>
        <w:t> </w:t>
      </w:r>
      <w:r>
        <w:rPr>
          <w:vertAlign w:val="baseline"/>
        </w:rPr>
        <w:t>their fraudulent misrepresentations if they were made:</w:t>
      </w:r>
    </w:p>
    <w:p>
      <w:pPr>
        <w:pStyle w:val="BodyText"/>
      </w:pPr>
    </w:p>
    <w:p>
      <w:pPr>
        <w:pStyle w:val="BodyText"/>
        <w:spacing w:before="122"/>
      </w:pPr>
    </w:p>
    <w:p>
      <w:pPr>
        <w:pStyle w:val="BodyText"/>
        <w:spacing w:line="235" w:lineRule="auto"/>
        <w:ind w:left="1244" w:right="167"/>
        <w:jc w:val="both"/>
      </w:pPr>
      <w:r>
        <w:rPr/>
        <w:t>“… with the real intent to cause the [representee] to act on that representation, or under </w:t>
      </w:r>
      <w:bookmarkStart w:name="_bookmark315" w:id="317"/>
      <w:bookmarkEnd w:id="317"/>
      <w:r>
        <w:rPr/>
        <w:t>such</w:t>
      </w:r>
      <w:r>
        <w:rPr/>
        <w:t> circumstances as they must have supposed would probably induce a person in the situation of the [representee] to act upon it.” </w:t>
      </w:r>
      <w:r>
        <w:rPr>
          <w:color w:val="005DA1"/>
          <w:u w:val="single" w:color="005DA1"/>
          <w:vertAlign w:val="superscript"/>
        </w:rPr>
        <w:t>180</w:t>
      </w:r>
    </w:p>
    <w:p>
      <w:pPr>
        <w:pStyle w:val="BodyText"/>
        <w:spacing w:before="115"/>
      </w:pPr>
    </w:p>
    <w:p>
      <w:pPr>
        <w:pStyle w:val="BodyText"/>
        <w:spacing w:line="235" w:lineRule="auto"/>
        <w:ind w:left="164" w:right="167"/>
        <w:jc w:val="both"/>
      </w:pPr>
      <w:bookmarkStart w:name="_bookmark316" w:id="318"/>
      <w:bookmarkEnd w:id="318"/>
      <w:r>
        <w:rPr/>
      </w:r>
      <w:r>
        <w:rPr/>
        <w:t>In </w:t>
      </w:r>
      <w:r>
        <w:rPr>
          <w:rFonts w:ascii="Arial"/>
          <w:i/>
        </w:rPr>
        <w:t>Tackey v McBain </w:t>
      </w:r>
      <w:r>
        <w:rPr>
          <w:color w:val="005DA1"/>
          <w:u w:val="single" w:color="005DA1"/>
          <w:vertAlign w:val="superscript"/>
        </w:rPr>
        <w:t>181</w:t>
      </w:r>
      <w:r>
        <w:rPr>
          <w:color w:val="005DA1"/>
          <w:vertAlign w:val="baseline"/>
        </w:rPr>
        <w:t> </w:t>
      </w:r>
      <w:r>
        <w:rPr>
          <w:vertAlign w:val="baseline"/>
        </w:rPr>
        <w:t>it was held that a manager of a company who said that he had no information to</w:t>
      </w:r>
      <w:r>
        <w:rPr>
          <w:spacing w:val="8"/>
          <w:vertAlign w:val="baseline"/>
        </w:rPr>
        <w:t> </w:t>
      </w:r>
      <w:r>
        <w:rPr>
          <w:vertAlign w:val="baseline"/>
        </w:rPr>
        <w:t>a</w:t>
      </w:r>
      <w:r>
        <w:rPr>
          <w:spacing w:val="8"/>
          <w:vertAlign w:val="baseline"/>
        </w:rPr>
        <w:t> </w:t>
      </w:r>
      <w:r>
        <w:rPr>
          <w:vertAlign w:val="baseline"/>
        </w:rPr>
        <w:t>broker</w:t>
      </w:r>
      <w:r>
        <w:rPr>
          <w:spacing w:val="8"/>
          <w:vertAlign w:val="baseline"/>
        </w:rPr>
        <w:t> </w:t>
      </w:r>
      <w:r>
        <w:rPr>
          <w:vertAlign w:val="baseline"/>
        </w:rPr>
        <w:t>about</w:t>
      </w:r>
      <w:r>
        <w:rPr>
          <w:spacing w:val="8"/>
          <w:vertAlign w:val="baseline"/>
        </w:rPr>
        <w:t> </w:t>
      </w:r>
      <w:r>
        <w:rPr>
          <w:vertAlign w:val="baseline"/>
        </w:rPr>
        <w:t>an</w:t>
      </w:r>
      <w:r>
        <w:rPr>
          <w:spacing w:val="8"/>
          <w:vertAlign w:val="baseline"/>
        </w:rPr>
        <w:t> </w:t>
      </w:r>
      <w:r>
        <w:rPr>
          <w:vertAlign w:val="baseline"/>
        </w:rPr>
        <w:t>important</w:t>
      </w:r>
      <w:r>
        <w:rPr>
          <w:spacing w:val="8"/>
          <w:vertAlign w:val="baseline"/>
        </w:rPr>
        <w:t> </w:t>
      </w:r>
      <w:r>
        <w:rPr>
          <w:vertAlign w:val="baseline"/>
        </w:rPr>
        <w:t>find</w:t>
      </w:r>
      <w:r>
        <w:rPr>
          <w:spacing w:val="8"/>
          <w:vertAlign w:val="baseline"/>
        </w:rPr>
        <w:t> </w:t>
      </w:r>
      <w:r>
        <w:rPr>
          <w:vertAlign w:val="baseline"/>
        </w:rPr>
        <w:t>of</w:t>
      </w:r>
      <w:r>
        <w:rPr>
          <w:spacing w:val="8"/>
          <w:vertAlign w:val="baseline"/>
        </w:rPr>
        <w:t> </w:t>
      </w:r>
      <w:r>
        <w:rPr>
          <w:vertAlign w:val="baseline"/>
        </w:rPr>
        <w:t>oil</w:t>
      </w:r>
      <w:r>
        <w:rPr>
          <w:spacing w:val="8"/>
          <w:vertAlign w:val="baseline"/>
        </w:rPr>
        <w:t> </w:t>
      </w:r>
      <w:r>
        <w:rPr>
          <w:vertAlign w:val="baseline"/>
        </w:rPr>
        <w:t>when</w:t>
      </w:r>
      <w:r>
        <w:rPr>
          <w:spacing w:val="8"/>
          <w:vertAlign w:val="baseline"/>
        </w:rPr>
        <w:t> </w:t>
      </w:r>
      <w:r>
        <w:rPr>
          <w:vertAlign w:val="baseline"/>
        </w:rPr>
        <w:t>in</w:t>
      </w:r>
      <w:r>
        <w:rPr>
          <w:spacing w:val="8"/>
          <w:vertAlign w:val="baseline"/>
        </w:rPr>
        <w:t> </w:t>
      </w:r>
      <w:r>
        <w:rPr>
          <w:vertAlign w:val="baseline"/>
        </w:rPr>
        <w:t>fact</w:t>
      </w:r>
      <w:r>
        <w:rPr>
          <w:spacing w:val="8"/>
          <w:vertAlign w:val="baseline"/>
        </w:rPr>
        <w:t> </w:t>
      </w:r>
      <w:r>
        <w:rPr>
          <w:vertAlign w:val="baseline"/>
        </w:rPr>
        <w:t>he</w:t>
      </w:r>
      <w:r>
        <w:rPr>
          <w:spacing w:val="8"/>
          <w:vertAlign w:val="baseline"/>
        </w:rPr>
        <w:t> </w:t>
      </w:r>
      <w:r>
        <w:rPr>
          <w:vertAlign w:val="baseline"/>
        </w:rPr>
        <w:t>did</w:t>
      </w:r>
      <w:r>
        <w:rPr>
          <w:spacing w:val="8"/>
          <w:vertAlign w:val="baseline"/>
        </w:rPr>
        <w:t> </w:t>
      </w:r>
      <w:r>
        <w:rPr>
          <w:vertAlign w:val="baseline"/>
        </w:rPr>
        <w:t>was</w:t>
      </w:r>
      <w:r>
        <w:rPr>
          <w:spacing w:val="8"/>
          <w:vertAlign w:val="baseline"/>
        </w:rPr>
        <w:t> </w:t>
      </w:r>
      <w:r>
        <w:rPr>
          <w:vertAlign w:val="baseline"/>
        </w:rPr>
        <w:t>not</w:t>
      </w:r>
      <w:r>
        <w:rPr>
          <w:spacing w:val="8"/>
          <w:vertAlign w:val="baseline"/>
        </w:rPr>
        <w:t> </w:t>
      </w:r>
      <w:r>
        <w:rPr>
          <w:vertAlign w:val="baseline"/>
        </w:rPr>
        <w:t>liable</w:t>
      </w:r>
      <w:r>
        <w:rPr>
          <w:spacing w:val="8"/>
          <w:vertAlign w:val="baseline"/>
        </w:rPr>
        <w:t> </w:t>
      </w:r>
      <w:r>
        <w:rPr>
          <w:vertAlign w:val="baseline"/>
        </w:rPr>
        <w:t>to</w:t>
      </w:r>
      <w:r>
        <w:rPr>
          <w:spacing w:val="8"/>
          <w:vertAlign w:val="baseline"/>
        </w:rPr>
        <w:t> </w:t>
      </w:r>
      <w:r>
        <w:rPr>
          <w:vertAlign w:val="baseline"/>
        </w:rPr>
        <w:t>a</w:t>
      </w:r>
      <w:r>
        <w:rPr>
          <w:spacing w:val="8"/>
          <w:vertAlign w:val="baseline"/>
        </w:rPr>
        <w:t> </w:t>
      </w:r>
      <w:r>
        <w:rPr>
          <w:vertAlign w:val="baseline"/>
        </w:rPr>
        <w:t>party</w:t>
      </w:r>
      <w:r>
        <w:rPr>
          <w:spacing w:val="8"/>
          <w:vertAlign w:val="baseline"/>
        </w:rPr>
        <w:t> </w:t>
      </w:r>
      <w:r>
        <w:rPr>
          <w:vertAlign w:val="baseline"/>
        </w:rPr>
        <w:t>who</w:t>
      </w:r>
      <w:r>
        <w:rPr>
          <w:spacing w:val="8"/>
          <w:vertAlign w:val="baseline"/>
        </w:rPr>
        <w:t> </w:t>
      </w:r>
      <w:r>
        <w:rPr>
          <w:vertAlign w:val="baseline"/>
        </w:rPr>
        <w:t>as</w:t>
      </w:r>
      <w:r>
        <w:rPr>
          <w:spacing w:val="8"/>
          <w:vertAlign w:val="baseline"/>
        </w:rPr>
        <w:t> </w:t>
      </w:r>
      <w:r>
        <w:rPr>
          <w:vertAlign w:val="baseline"/>
        </w:rPr>
        <w:t>a</w:t>
      </w:r>
      <w:r>
        <w:rPr>
          <w:spacing w:val="8"/>
          <w:vertAlign w:val="baseline"/>
        </w:rPr>
        <w:t> </w:t>
      </w:r>
      <w:r>
        <w:rPr>
          <w:spacing w:val="-2"/>
          <w:vertAlign w:val="baseline"/>
        </w:rPr>
        <w:t>result</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r>
        <w:rPr/>
        <w:t>sold his shares at a low price, whether or not the plaintiff was within the class to whom the </w:t>
      </w:r>
      <w:r>
        <w:rPr/>
        <w:t>statement </w:t>
      </w:r>
      <w:bookmarkStart w:name="_bookmark317" w:id="319"/>
      <w:bookmarkEnd w:id="319"/>
      <w:r>
        <w:rPr/>
        <w:t>was</w:t>
      </w:r>
      <w:r>
        <w:rPr/>
        <w:t> addressed, because the manager did not intend anyone to act as the plaintiff did and therefore had no fraudulent intent. </w:t>
      </w:r>
      <w:r>
        <w:rPr>
          <w:color w:val="005DA1"/>
          <w:u w:val="single" w:color="005DA1"/>
          <w:vertAlign w:val="superscript"/>
        </w:rPr>
        <w:t>182</w:t>
      </w:r>
      <w:r>
        <w:rPr>
          <w:color w:val="005DA1"/>
          <w:vertAlign w:val="baseline"/>
        </w:rPr>
        <w:t> </w:t>
      </w:r>
      <w:r>
        <w:rPr>
          <w:vertAlign w:val="baseline"/>
        </w:rPr>
        <w:t>The likelihood of reliance was not discussed.</w:t>
      </w:r>
    </w:p>
    <w:p>
      <w:pPr>
        <w:pStyle w:val="BodyText"/>
        <w:spacing w:before="80"/>
      </w:pPr>
    </w:p>
    <w:p>
      <w:pPr>
        <w:pStyle w:val="Heading2"/>
      </w:pPr>
      <w:r>
        <w:rPr/>
        <w:t>7-</w:t>
      </w:r>
      <w:r>
        <w:rPr>
          <w:spacing w:val="-5"/>
        </w:rPr>
        <w:t>034</w:t>
      </w:r>
    </w:p>
    <w:p>
      <w:pPr>
        <w:pStyle w:val="BodyText"/>
        <w:spacing w:line="235" w:lineRule="auto" w:before="203"/>
        <w:ind w:left="165" w:right="167"/>
        <w:jc w:val="both"/>
      </w:pPr>
      <w:r>
        <w:rPr/>
        <w:t>Thus it is possible that a representor may escape liability for damages by proving that he </w:t>
      </w:r>
      <w:r>
        <w:rPr/>
        <w:t>genuinely had no intention that the representee should act on the statement, for example if a vendor says something</w:t>
      </w:r>
      <w:r>
        <w:rPr>
          <w:spacing w:val="-1"/>
        </w:rPr>
        <w:t> </w:t>
      </w:r>
      <w:r>
        <w:rPr/>
        <w:t>untrue</w:t>
      </w:r>
      <w:r>
        <w:rPr>
          <w:spacing w:val="-1"/>
        </w:rPr>
        <w:t> </w:t>
      </w:r>
      <w:r>
        <w:rPr/>
        <w:t>about</w:t>
      </w:r>
      <w:r>
        <w:rPr>
          <w:spacing w:val="-1"/>
        </w:rPr>
        <w:t> </w:t>
      </w:r>
      <w:r>
        <w:rPr/>
        <w:t>a</w:t>
      </w:r>
      <w:r>
        <w:rPr>
          <w:spacing w:val="-1"/>
        </w:rPr>
        <w:t> </w:t>
      </w:r>
      <w:r>
        <w:rPr/>
        <w:t>property</w:t>
      </w:r>
      <w:r>
        <w:rPr>
          <w:spacing w:val="-1"/>
        </w:rPr>
        <w:t> </w:t>
      </w:r>
      <w:r>
        <w:rPr/>
        <w:t>honestly</w:t>
      </w:r>
      <w:r>
        <w:rPr>
          <w:spacing w:val="-1"/>
        </w:rPr>
        <w:t> </w:t>
      </w:r>
      <w:r>
        <w:rPr/>
        <w:t>believing</w:t>
      </w:r>
      <w:r>
        <w:rPr>
          <w:spacing w:val="-1"/>
        </w:rPr>
        <w:t> </w:t>
      </w:r>
      <w:r>
        <w:rPr/>
        <w:t>that</w:t>
      </w:r>
      <w:r>
        <w:rPr>
          <w:spacing w:val="-1"/>
        </w:rPr>
        <w:t> </w:t>
      </w:r>
      <w:r>
        <w:rPr/>
        <w:t>the</w:t>
      </w:r>
      <w:r>
        <w:rPr>
          <w:spacing w:val="-1"/>
        </w:rPr>
        <w:t> </w:t>
      </w:r>
      <w:r>
        <w:rPr/>
        <w:t>purchaser</w:t>
      </w:r>
      <w:r>
        <w:rPr>
          <w:spacing w:val="-1"/>
        </w:rPr>
        <w:t> </w:t>
      </w:r>
      <w:r>
        <w:rPr/>
        <w:t>will</w:t>
      </w:r>
      <w:r>
        <w:rPr>
          <w:spacing w:val="-1"/>
        </w:rPr>
        <w:t> </w:t>
      </w:r>
      <w:r>
        <w:rPr/>
        <w:t>not</w:t>
      </w:r>
      <w:r>
        <w:rPr>
          <w:spacing w:val="-1"/>
        </w:rPr>
        <w:t> </w:t>
      </w:r>
      <w:r>
        <w:rPr/>
        <w:t>rely</w:t>
      </w:r>
      <w:r>
        <w:rPr>
          <w:spacing w:val="-1"/>
        </w:rPr>
        <w:t> </w:t>
      </w:r>
      <w:r>
        <w:rPr/>
        <w:t>on</w:t>
      </w:r>
      <w:r>
        <w:rPr>
          <w:spacing w:val="-1"/>
        </w:rPr>
        <w:t> </w:t>
      </w:r>
      <w:r>
        <w:rPr/>
        <w:t>it</w:t>
      </w:r>
      <w:r>
        <w:rPr>
          <w:spacing w:val="-1"/>
        </w:rPr>
        <w:t> </w:t>
      </w:r>
      <w:r>
        <w:rPr/>
        <w:t>at</w:t>
      </w:r>
      <w:r>
        <w:rPr>
          <w:spacing w:val="-1"/>
        </w:rPr>
        <w:t> </w:t>
      </w:r>
      <w:r>
        <w:rPr/>
        <w:t>all</w:t>
      </w:r>
      <w:r>
        <w:rPr>
          <w:spacing w:val="-1"/>
        </w:rPr>
        <w:t> </w:t>
      </w:r>
      <w:r>
        <w:rPr/>
        <w:t>but</w:t>
      </w:r>
      <w:r>
        <w:rPr>
          <w:spacing w:val="-1"/>
        </w:rPr>
        <w:t> </w:t>
      </w:r>
      <w:r>
        <w:rPr/>
        <w:t>will get his own survey and inevitably discover the truth. But we will see that the law seems to take a </w:t>
      </w:r>
      <w:bookmarkStart w:name="_bookmark318" w:id="320"/>
      <w:bookmarkEnd w:id="320"/>
      <w:r>
        <w:rPr/>
        <w:t>harsh</w:t>
      </w:r>
      <w:r>
        <w:rPr/>
        <w:t> approach to fraud, not even requiring that the fraud be a “but for” cause of the representee entering the contract. </w:t>
      </w:r>
      <w:r>
        <w:rPr>
          <w:color w:val="005DA1"/>
          <w:u w:val="single" w:color="005DA1"/>
          <w:vertAlign w:val="superscript"/>
        </w:rPr>
        <w:t>183</w:t>
      </w:r>
      <w:r>
        <w:rPr>
          <w:color w:val="005DA1"/>
          <w:vertAlign w:val="baseline"/>
        </w:rPr>
        <w:t> </w:t>
      </w:r>
      <w:r>
        <w:rPr>
          <w:vertAlign w:val="baseline"/>
        </w:rPr>
        <w:t>In the light of that, it is doubtful whether a court would allow a party who had knowingly</w:t>
      </w:r>
      <w:r>
        <w:rPr>
          <w:spacing w:val="-1"/>
          <w:vertAlign w:val="baseline"/>
        </w:rPr>
        <w:t> </w:t>
      </w:r>
      <w:r>
        <w:rPr>
          <w:vertAlign w:val="baseline"/>
        </w:rPr>
        <w:t>made</w:t>
      </w:r>
      <w:r>
        <w:rPr>
          <w:spacing w:val="-1"/>
          <w:vertAlign w:val="baseline"/>
        </w:rPr>
        <w:t> </w:t>
      </w:r>
      <w:r>
        <w:rPr>
          <w:vertAlign w:val="baseline"/>
        </w:rPr>
        <w:t>a</w:t>
      </w:r>
      <w:r>
        <w:rPr>
          <w:spacing w:val="-1"/>
          <w:vertAlign w:val="baseline"/>
        </w:rPr>
        <w:t> </w:t>
      </w:r>
      <w:r>
        <w:rPr>
          <w:vertAlign w:val="baseline"/>
        </w:rPr>
        <w:t>false</w:t>
      </w:r>
      <w:r>
        <w:rPr>
          <w:spacing w:val="-1"/>
          <w:vertAlign w:val="baseline"/>
        </w:rPr>
        <w:t> </w:t>
      </w:r>
      <w:r>
        <w:rPr>
          <w:vertAlign w:val="baseline"/>
        </w:rPr>
        <w:t>statement</w:t>
      </w:r>
      <w:r>
        <w:rPr>
          <w:spacing w:val="-1"/>
          <w:vertAlign w:val="baseline"/>
        </w:rPr>
        <w:t> </w:t>
      </w:r>
      <w:r>
        <w:rPr>
          <w:vertAlign w:val="baseline"/>
        </w:rPr>
        <w:t>to</w:t>
      </w:r>
      <w:r>
        <w:rPr>
          <w:spacing w:val="-1"/>
          <w:vertAlign w:val="baseline"/>
        </w:rPr>
        <w:t> </w:t>
      </w:r>
      <w:r>
        <w:rPr>
          <w:vertAlign w:val="baseline"/>
        </w:rPr>
        <w:t>another</w:t>
      </w:r>
      <w:r>
        <w:rPr>
          <w:spacing w:val="-1"/>
          <w:vertAlign w:val="baseline"/>
        </w:rPr>
        <w:t> </w:t>
      </w:r>
      <w:r>
        <w:rPr>
          <w:vertAlign w:val="baseline"/>
        </w:rPr>
        <w:t>to</w:t>
      </w:r>
      <w:r>
        <w:rPr>
          <w:spacing w:val="-1"/>
          <w:vertAlign w:val="baseline"/>
        </w:rPr>
        <w:t> </w:t>
      </w:r>
      <w:r>
        <w:rPr>
          <w:vertAlign w:val="baseline"/>
        </w:rPr>
        <w:t>rely</w:t>
      </w:r>
      <w:r>
        <w:rPr>
          <w:spacing w:val="-1"/>
          <w:vertAlign w:val="baseline"/>
        </w:rPr>
        <w:t> </w:t>
      </w:r>
      <w:r>
        <w:rPr>
          <w:vertAlign w:val="baseline"/>
        </w:rPr>
        <w:t>on</w:t>
      </w:r>
      <w:r>
        <w:rPr>
          <w:spacing w:val="-1"/>
          <w:vertAlign w:val="baseline"/>
        </w:rPr>
        <w:t> </w:t>
      </w:r>
      <w:r>
        <w:rPr>
          <w:vertAlign w:val="baseline"/>
        </w:rPr>
        <w:t>a</w:t>
      </w:r>
      <w:r>
        <w:rPr>
          <w:spacing w:val="-1"/>
          <w:vertAlign w:val="baseline"/>
        </w:rPr>
        <w:t> </w:t>
      </w:r>
      <w:r>
        <w:rPr>
          <w:vertAlign w:val="baseline"/>
        </w:rPr>
        <w:t>defence</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representee</w:t>
      </w:r>
      <w:r>
        <w:rPr>
          <w:spacing w:val="-1"/>
          <w:vertAlign w:val="baseline"/>
        </w:rPr>
        <w:t> </w:t>
      </w:r>
      <w:r>
        <w:rPr>
          <w:vertAlign w:val="baseline"/>
        </w:rPr>
        <w:t>was</w:t>
      </w:r>
      <w:r>
        <w:rPr>
          <w:spacing w:val="-1"/>
          <w:vertAlign w:val="baseline"/>
        </w:rPr>
        <w:t> </w:t>
      </w:r>
      <w:r>
        <w:rPr>
          <w:vertAlign w:val="baseline"/>
        </w:rPr>
        <w:t>not</w:t>
      </w:r>
      <w:r>
        <w:rPr>
          <w:spacing w:val="-1"/>
          <w:vertAlign w:val="baseline"/>
        </w:rPr>
        <w:t> </w:t>
      </w:r>
      <w:r>
        <w:rPr>
          <w:vertAlign w:val="baseline"/>
        </w:rPr>
        <w:t>meant to act on the statement unless the representee’s action was quite unforeseeable. Further, it is unclear </w:t>
      </w:r>
      <w:bookmarkStart w:name="_bookmark319" w:id="321"/>
      <w:bookmarkEnd w:id="321"/>
      <w:r>
        <w:rPr>
          <w:vertAlign w:val="baseline"/>
        </w:rPr>
        <w:t>whether</w:t>
      </w:r>
      <w:r>
        <w:rPr>
          <w:spacing w:val="-2"/>
          <w:vertAlign w:val="baseline"/>
        </w:rPr>
        <w:t> </w:t>
      </w:r>
      <w:r>
        <w:rPr>
          <w:vertAlign w:val="baseline"/>
        </w:rPr>
        <w:t>“intention”</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sense</w:t>
      </w:r>
      <w:r>
        <w:rPr>
          <w:spacing w:val="-2"/>
          <w:vertAlign w:val="baseline"/>
        </w:rPr>
        <w:t> </w:t>
      </w:r>
      <w:r>
        <w:rPr>
          <w:vertAlign w:val="baseline"/>
        </w:rPr>
        <w:t>discussed</w:t>
      </w:r>
      <w:r>
        <w:rPr>
          <w:spacing w:val="-2"/>
          <w:vertAlign w:val="baseline"/>
        </w:rPr>
        <w:t> </w:t>
      </w:r>
      <w:r>
        <w:rPr>
          <w:vertAlign w:val="baseline"/>
        </w:rPr>
        <w:t>needs</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shown</w:t>
      </w:r>
      <w:r>
        <w:rPr>
          <w:spacing w:val="-2"/>
          <w:vertAlign w:val="baseline"/>
        </w:rPr>
        <w:t> </w:t>
      </w:r>
      <w:r>
        <w:rPr>
          <w:vertAlign w:val="baseline"/>
        </w:rPr>
        <w:t>when</w:t>
      </w:r>
      <w:r>
        <w:rPr>
          <w:spacing w:val="-2"/>
          <w:vertAlign w:val="baseline"/>
        </w:rPr>
        <w:t> </w:t>
      </w:r>
      <w:r>
        <w:rPr>
          <w:vertAlign w:val="baseline"/>
        </w:rPr>
        <w:t>the</w:t>
      </w:r>
      <w:r>
        <w:rPr>
          <w:spacing w:val="-2"/>
          <w:vertAlign w:val="baseline"/>
        </w:rPr>
        <w:t> </w:t>
      </w:r>
      <w:r>
        <w:rPr>
          <w:vertAlign w:val="baseline"/>
        </w:rPr>
        <w:t>claimant</w:t>
      </w:r>
      <w:r>
        <w:rPr>
          <w:spacing w:val="-2"/>
          <w:vertAlign w:val="baseline"/>
        </w:rPr>
        <w:t> </w:t>
      </w:r>
      <w:r>
        <w:rPr>
          <w:vertAlign w:val="baseline"/>
        </w:rPr>
        <w:t>is</w:t>
      </w:r>
      <w:r>
        <w:rPr>
          <w:spacing w:val="-2"/>
          <w:vertAlign w:val="baseline"/>
        </w:rPr>
        <w:t> </w:t>
      </w:r>
      <w:r>
        <w:rPr>
          <w:vertAlign w:val="baseline"/>
        </w:rPr>
        <w:t>seeking</w:t>
      </w:r>
      <w:r>
        <w:rPr>
          <w:spacing w:val="-2"/>
          <w:vertAlign w:val="baseline"/>
        </w:rPr>
        <w:t> </w:t>
      </w:r>
      <w:r>
        <w:rPr>
          <w:vertAlign w:val="baseline"/>
        </w:rPr>
        <w:t>to</w:t>
      </w:r>
      <w:r>
        <w:rPr>
          <w:spacing w:val="-2"/>
          <w:vertAlign w:val="baseline"/>
        </w:rPr>
        <w:t> </w:t>
      </w:r>
      <w:r>
        <w:rPr>
          <w:vertAlign w:val="baseline"/>
        </w:rPr>
        <w:t>rescind on the basis of fraudulent misrepresentation. </w:t>
      </w:r>
      <w:r>
        <w:rPr>
          <w:color w:val="005DA1"/>
          <w:u w:val="single" w:color="005DA1"/>
          <w:vertAlign w:val="superscript"/>
        </w:rPr>
        <w:t>184</w:t>
      </w:r>
    </w:p>
    <w:p>
      <w:pPr>
        <w:pStyle w:val="BodyText"/>
      </w:pPr>
    </w:p>
    <w:p>
      <w:pPr>
        <w:pStyle w:val="BodyText"/>
        <w:spacing w:before="34"/>
      </w:pPr>
    </w:p>
    <w:p>
      <w:pPr>
        <w:spacing w:before="0"/>
        <w:ind w:left="165" w:right="0" w:firstLine="0"/>
        <w:jc w:val="left"/>
        <w:rPr>
          <w:rFonts w:ascii="Arial"/>
          <w:b/>
          <w:sz w:val="18"/>
        </w:rPr>
      </w:pPr>
      <w:r>
        <w:rPr>
          <w:rFonts w:ascii="Arial"/>
          <w:b/>
          <w:spacing w:val="-2"/>
          <w:sz w:val="18"/>
        </w:rPr>
        <w:t>Inducement</w:t>
      </w:r>
    </w:p>
    <w:p>
      <w:pPr>
        <w:pStyle w:val="BodyText"/>
        <w:spacing w:before="42"/>
        <w:rPr>
          <w:rFonts w:ascii="Arial"/>
          <w:b/>
          <w:sz w:val="18"/>
        </w:rPr>
      </w:pPr>
    </w:p>
    <w:p>
      <w:pPr>
        <w:pStyle w:val="Heading2"/>
      </w:pPr>
      <w:r>
        <w:rPr/>
        <w:t>7-</w:t>
      </w:r>
      <w:r>
        <w:rPr>
          <w:spacing w:val="-5"/>
        </w:rPr>
        <w:t>035</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27"/>
        </w:rPr>
        <w:t> </w:t>
      </w:r>
      <w:bookmarkStart w:name="_bookmark320" w:id="322"/>
      <w:bookmarkEnd w:id="322"/>
      <w:r>
        <w:rPr>
          <w:rFonts w:ascii="Times New Roman" w:hAnsi="Times New Roman"/>
          <w:spacing w:val="-21"/>
        </w:rPr>
      </w:r>
      <w:r>
        <w:rPr/>
        <w:t>It is essential if the misrepresentation is to have legal effect that it should have operated on the </w:t>
      </w:r>
      <w:bookmarkStart w:name="_bookmark321" w:id="323"/>
      <w:bookmarkEnd w:id="323"/>
      <w:r>
        <w:rPr/>
        <w:t>mind</w:t>
      </w:r>
      <w:r>
        <w:rPr/>
        <w:t> of the representee. </w:t>
      </w:r>
      <w:r>
        <w:rPr>
          <w:color w:val="005DA1"/>
          <w:u w:val="single" w:color="005DA1"/>
          <w:vertAlign w:val="superscript"/>
        </w:rPr>
        <w:t>185</w:t>
      </w:r>
      <w:r>
        <w:rPr>
          <w:color w:val="005DA1"/>
          <w:vertAlign w:val="baseline"/>
        </w:rPr>
        <w:t> </w:t>
      </w:r>
      <w:r>
        <w:rPr>
          <w:vertAlign w:val="baseline"/>
        </w:rPr>
        <w:t>It follows that if the misrepresentation did not affect the </w:t>
      </w:r>
      <w:r>
        <w:rPr>
          <w:vertAlign w:val="baseline"/>
        </w:rPr>
        <w:t>representee’s </w:t>
      </w:r>
      <w:bookmarkStart w:name="_bookmark322" w:id="324"/>
      <w:bookmarkEnd w:id="324"/>
      <w:r>
        <w:rPr>
          <w:vertAlign w:val="baseline"/>
        </w:rPr>
        <w:t>mind,</w:t>
      </w:r>
      <w:r>
        <w:rPr>
          <w:spacing w:val="5"/>
          <w:vertAlign w:val="baseline"/>
        </w:rPr>
        <w:t> </w:t>
      </w:r>
      <w:r>
        <w:rPr>
          <w:vertAlign w:val="baseline"/>
        </w:rPr>
        <w:t>because</w:t>
      </w:r>
      <w:r>
        <w:rPr>
          <w:spacing w:val="5"/>
          <w:vertAlign w:val="baseline"/>
        </w:rPr>
        <w:t> </w:t>
      </w:r>
      <w:r>
        <w:rPr>
          <w:vertAlign w:val="baseline"/>
        </w:rPr>
        <w:t>he</w:t>
      </w:r>
      <w:r>
        <w:rPr>
          <w:spacing w:val="5"/>
          <w:vertAlign w:val="baseline"/>
        </w:rPr>
        <w:t> </w:t>
      </w:r>
      <w:r>
        <w:rPr>
          <w:vertAlign w:val="baseline"/>
        </w:rPr>
        <w:t>was</w:t>
      </w:r>
      <w:r>
        <w:rPr>
          <w:spacing w:val="5"/>
          <w:vertAlign w:val="baseline"/>
        </w:rPr>
        <w:t> </w:t>
      </w:r>
      <w:r>
        <w:rPr>
          <w:vertAlign w:val="baseline"/>
        </w:rPr>
        <w:t>unaware</w:t>
      </w:r>
      <w:r>
        <w:rPr>
          <w:spacing w:val="5"/>
          <w:vertAlign w:val="baseline"/>
        </w:rPr>
        <w:t> </w:t>
      </w:r>
      <w:r>
        <w:rPr>
          <w:vertAlign w:val="baseline"/>
        </w:rPr>
        <w:t>that</w:t>
      </w:r>
      <w:r>
        <w:rPr>
          <w:spacing w:val="5"/>
          <w:vertAlign w:val="baseline"/>
        </w:rPr>
        <w:t> </w:t>
      </w:r>
      <w:r>
        <w:rPr>
          <w:vertAlign w:val="baseline"/>
        </w:rPr>
        <w:t>it</w:t>
      </w:r>
      <w:r>
        <w:rPr>
          <w:spacing w:val="5"/>
          <w:vertAlign w:val="baseline"/>
        </w:rPr>
        <w:t> </w:t>
      </w:r>
      <w:r>
        <w:rPr>
          <w:vertAlign w:val="baseline"/>
        </w:rPr>
        <w:t>had</w:t>
      </w:r>
      <w:r>
        <w:rPr>
          <w:spacing w:val="5"/>
          <w:vertAlign w:val="baseline"/>
        </w:rPr>
        <w:t> </w:t>
      </w:r>
      <w:r>
        <w:rPr>
          <w:vertAlign w:val="baseline"/>
        </w:rPr>
        <w:t>been</w:t>
      </w:r>
      <w:r>
        <w:rPr>
          <w:spacing w:val="5"/>
          <w:vertAlign w:val="baseline"/>
        </w:rPr>
        <w:t> </w:t>
      </w:r>
      <w:r>
        <w:rPr>
          <w:vertAlign w:val="baseline"/>
        </w:rPr>
        <w:t>made,</w:t>
      </w:r>
      <w:r>
        <w:rPr>
          <w:spacing w:val="5"/>
          <w:vertAlign w:val="baseline"/>
        </w:rPr>
        <w:t> </w:t>
      </w:r>
      <w:r>
        <w:rPr>
          <w:color w:val="005DA1"/>
          <w:u w:val="single" w:color="005DA1"/>
          <w:vertAlign w:val="superscript"/>
        </w:rPr>
        <w:t>186</w:t>
      </w:r>
      <w:r>
        <w:rPr>
          <w:color w:val="005DA1"/>
          <w:spacing w:val="5"/>
          <w:vertAlign w:val="baseline"/>
        </w:rPr>
        <w:t> </w:t>
      </w:r>
      <w:r>
        <w:rPr>
          <w:vertAlign w:val="baseline"/>
        </w:rPr>
        <w:t>or</w:t>
      </w:r>
      <w:r>
        <w:rPr>
          <w:spacing w:val="6"/>
          <w:vertAlign w:val="baseline"/>
        </w:rPr>
        <w:t> </w:t>
      </w:r>
      <w:r>
        <w:rPr>
          <w:vertAlign w:val="baseline"/>
        </w:rPr>
        <w:t>because</w:t>
      </w:r>
      <w:r>
        <w:rPr>
          <w:spacing w:val="5"/>
          <w:vertAlign w:val="baseline"/>
        </w:rPr>
        <w:t> </w:t>
      </w:r>
      <w:r>
        <w:rPr>
          <w:vertAlign w:val="baseline"/>
        </w:rPr>
        <w:t>he</w:t>
      </w:r>
      <w:r>
        <w:rPr>
          <w:spacing w:val="5"/>
          <w:vertAlign w:val="baseline"/>
        </w:rPr>
        <w:t> </w:t>
      </w:r>
      <w:r>
        <w:rPr>
          <w:vertAlign w:val="baseline"/>
        </w:rPr>
        <w:t>was</w:t>
      </w:r>
      <w:r>
        <w:rPr>
          <w:spacing w:val="5"/>
          <w:vertAlign w:val="baseline"/>
        </w:rPr>
        <w:t> </w:t>
      </w:r>
      <w:r>
        <w:rPr>
          <w:vertAlign w:val="baseline"/>
        </w:rPr>
        <w:t>not</w:t>
      </w:r>
      <w:r>
        <w:rPr>
          <w:spacing w:val="5"/>
          <w:vertAlign w:val="baseline"/>
        </w:rPr>
        <w:t> </w:t>
      </w:r>
      <w:r>
        <w:rPr>
          <w:vertAlign w:val="baseline"/>
        </w:rPr>
        <w:t>influenced</w:t>
      </w:r>
      <w:r>
        <w:rPr>
          <w:spacing w:val="5"/>
          <w:vertAlign w:val="baseline"/>
        </w:rPr>
        <w:t> </w:t>
      </w:r>
      <w:r>
        <w:rPr>
          <w:vertAlign w:val="baseline"/>
        </w:rPr>
        <w:t>by</w:t>
      </w:r>
      <w:r>
        <w:rPr>
          <w:spacing w:val="5"/>
          <w:vertAlign w:val="baseline"/>
        </w:rPr>
        <w:t> </w:t>
      </w:r>
      <w:r>
        <w:rPr>
          <w:vertAlign w:val="baseline"/>
        </w:rPr>
        <w:t>it,</w:t>
      </w:r>
      <w:r>
        <w:rPr>
          <w:spacing w:val="5"/>
          <w:vertAlign w:val="baseline"/>
        </w:rPr>
        <w:t> </w:t>
      </w:r>
      <w:r>
        <w:rPr>
          <w:color w:val="005DA1"/>
          <w:spacing w:val="-5"/>
          <w:u w:val="single" w:color="005DA1"/>
          <w:vertAlign w:val="superscript"/>
        </w:rPr>
        <w:t>187</w:t>
      </w:r>
    </w:p>
    <w:p>
      <w:pPr>
        <w:pStyle w:val="BodyText"/>
        <w:spacing w:before="9"/>
      </w:pPr>
    </w:p>
    <w:p>
      <w:pPr>
        <w:pStyle w:val="BodyText"/>
        <w:spacing w:line="235" w:lineRule="auto"/>
        <w:ind w:left="165" w:right="167"/>
        <w:jc w:val="both"/>
      </w:pPr>
      <w:bookmarkStart w:name="_bookmark323" w:id="325"/>
      <w:bookmarkEnd w:id="325"/>
      <w:r>
        <w:rPr/>
      </w:r>
      <w:bookmarkStart w:name="_bookmark324" w:id="326"/>
      <w:bookmarkEnd w:id="326"/>
      <w:r>
        <w:rPr/>
      </w:r>
      <w:r>
        <w:rPr/>
        <w:t>or</w:t>
      </w:r>
      <w:r>
        <w:rPr>
          <w:spacing w:val="-2"/>
        </w:rPr>
        <w:t> </w:t>
      </w:r>
      <w:r>
        <w:rPr/>
        <w:t>because</w:t>
      </w:r>
      <w:r>
        <w:rPr>
          <w:spacing w:val="-2"/>
        </w:rPr>
        <w:t> </w:t>
      </w:r>
      <w:r>
        <w:rPr/>
        <w:t>he</w:t>
      </w:r>
      <w:r>
        <w:rPr>
          <w:spacing w:val="-2"/>
        </w:rPr>
        <w:t> </w:t>
      </w:r>
      <w:r>
        <w:rPr/>
        <w:t>knew</w:t>
      </w:r>
      <w:r>
        <w:rPr>
          <w:spacing w:val="-2"/>
        </w:rPr>
        <w:t> </w:t>
      </w:r>
      <w:r>
        <w:rPr/>
        <w:t>that</w:t>
      </w:r>
      <w:r>
        <w:rPr>
          <w:spacing w:val="-2"/>
        </w:rPr>
        <w:t> </w:t>
      </w:r>
      <w:r>
        <w:rPr/>
        <w:t>it</w:t>
      </w:r>
      <w:r>
        <w:rPr>
          <w:spacing w:val="-2"/>
        </w:rPr>
        <w:t> </w:t>
      </w:r>
      <w:r>
        <w:rPr/>
        <w:t>was</w:t>
      </w:r>
      <w:r>
        <w:rPr>
          <w:spacing w:val="-2"/>
        </w:rPr>
        <w:t> </w:t>
      </w:r>
      <w:r>
        <w:rPr/>
        <w:t>false,</w:t>
      </w:r>
      <w:r>
        <w:rPr>
          <w:spacing w:val="-2"/>
        </w:rPr>
        <w:t> </w:t>
      </w:r>
      <w:r>
        <w:rPr>
          <w:color w:val="005DA1"/>
          <w:u w:val="single" w:color="005DA1"/>
          <w:vertAlign w:val="superscript"/>
        </w:rPr>
        <w:t>188</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vertAlign w:val="baseline"/>
        </w:rPr>
        <w:t> </w:t>
      </w:r>
      <w:r>
        <w:rPr>
          <w:vertAlign w:val="baseline"/>
        </w:rPr>
        <w:t>he</w:t>
      </w:r>
      <w:r>
        <w:rPr>
          <w:spacing w:val="-2"/>
          <w:vertAlign w:val="baseline"/>
        </w:rPr>
        <w:t> </w:t>
      </w:r>
      <w:r>
        <w:rPr>
          <w:vertAlign w:val="baseline"/>
        </w:rPr>
        <w:t>has</w:t>
      </w:r>
      <w:r>
        <w:rPr>
          <w:spacing w:val="-2"/>
          <w:vertAlign w:val="baseline"/>
        </w:rPr>
        <w:t> </w:t>
      </w:r>
      <w:r>
        <w:rPr>
          <w:vertAlign w:val="baseline"/>
        </w:rPr>
        <w:t>no</w:t>
      </w:r>
      <w:r>
        <w:rPr>
          <w:spacing w:val="-2"/>
          <w:vertAlign w:val="baseline"/>
        </w:rPr>
        <w:t> </w:t>
      </w:r>
      <w:r>
        <w:rPr>
          <w:vertAlign w:val="baseline"/>
        </w:rPr>
        <w:t>remedy.</w:t>
      </w:r>
      <w:r>
        <w:rPr>
          <w:spacing w:val="-2"/>
          <w:vertAlign w:val="baseline"/>
        </w:rPr>
        <w:t> </w:t>
      </w:r>
      <w:r>
        <w:rPr>
          <w:color w:val="005DA1"/>
          <w:u w:val="single" w:color="005DA1"/>
          <w:vertAlign w:val="superscript"/>
        </w:rPr>
        <w:t>189</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vertAlign w:val="baseline"/>
        </w:rPr>
        <w:t> </w:t>
      </w:r>
      <w:r>
        <w:rPr>
          <w:vertAlign w:val="baseline"/>
        </w:rPr>
        <w:t>Thus</w:t>
      </w:r>
      <w:r>
        <w:rPr>
          <w:spacing w:val="-2"/>
          <w:vertAlign w:val="baseline"/>
        </w:rPr>
        <w:t> </w:t>
      </w:r>
      <w:r>
        <w:rPr>
          <w:vertAlign w:val="baseline"/>
        </w:rPr>
        <w:t>in</w:t>
      </w:r>
      <w:r>
        <w:rPr>
          <w:spacing w:val="-2"/>
          <w:vertAlign w:val="baseline"/>
        </w:rPr>
        <w:t> </w:t>
      </w:r>
      <w:r>
        <w:rPr>
          <w:rFonts w:ascii="Arial" w:hAnsi="Arial"/>
          <w:i/>
          <w:vertAlign w:val="baseline"/>
        </w:rPr>
        <w:t>Horsfall</w:t>
      </w:r>
      <w:r>
        <w:rPr>
          <w:rFonts w:ascii="Arial" w:hAnsi="Arial"/>
          <w:i/>
          <w:spacing w:val="-2"/>
          <w:vertAlign w:val="baseline"/>
        </w:rPr>
        <w:t> </w:t>
      </w:r>
      <w:r>
        <w:rPr>
          <w:rFonts w:ascii="Arial" w:hAnsi="Arial"/>
          <w:i/>
          <w:vertAlign w:val="baseline"/>
        </w:rPr>
        <w:t>v</w:t>
      </w:r>
      <w:r>
        <w:rPr>
          <w:rFonts w:ascii="Arial" w:hAnsi="Arial"/>
          <w:i/>
          <w:spacing w:val="-2"/>
          <w:vertAlign w:val="baseline"/>
        </w:rPr>
        <w:t> </w:t>
      </w:r>
      <w:r>
        <w:rPr>
          <w:rFonts w:ascii="Arial" w:hAnsi="Arial"/>
          <w:i/>
          <w:vertAlign w:val="baseline"/>
        </w:rPr>
        <w:t>Thomas</w:t>
      </w:r>
      <w:r>
        <w:rPr>
          <w:rFonts w:ascii="Arial" w:hAnsi="Arial"/>
          <w:i/>
          <w:spacing w:val="-2"/>
          <w:vertAlign w:val="baseline"/>
        </w:rPr>
        <w:t> </w:t>
      </w:r>
      <w:r>
        <w:rPr>
          <w:color w:val="005DA1"/>
          <w:u w:val="single" w:color="005DA1"/>
          <w:vertAlign w:val="superscript"/>
        </w:rPr>
        <w:t>190</w:t>
      </w:r>
      <w:r>
        <w:rPr>
          <w:color w:val="005DA1"/>
          <w:spacing w:val="-2"/>
          <w:vertAlign w:val="baseline"/>
        </w:rPr>
        <w:t> </w:t>
      </w:r>
      <w:r>
        <w:rPr>
          <w:vertAlign w:val="baseline"/>
        </w:rPr>
        <w:t>a seller delivered to a buyer a gun which was defective, for after being fired it exploded, and the buyer was injured; the buyer had not examined the gun, but he alleged that the sale had been procured by fraudulent misrepresentation and that the defect had been concealed. The court rejected his </w:t>
      </w:r>
      <w:r>
        <w:rPr>
          <w:vertAlign w:val="baseline"/>
        </w:rPr>
        <w:t>claim </w:t>
      </w:r>
      <w:bookmarkStart w:name="_bookmark325" w:id="327"/>
      <w:bookmarkEnd w:id="327"/>
      <w:r>
        <w:rPr>
          <w:vertAlign w:val="baseline"/>
        </w:rPr>
        <w:t>because,</w:t>
      </w:r>
      <w:r>
        <w:rPr>
          <w:vertAlign w:val="baseline"/>
        </w:rPr>
        <w:t> if any attempt to conceal the defect had been made, it had had no effect on the buyer’s</w:t>
      </w:r>
      <w:r>
        <w:rPr>
          <w:spacing w:val="40"/>
          <w:vertAlign w:val="baseline"/>
        </w:rPr>
        <w:t> </w:t>
      </w:r>
      <w:r>
        <w:rPr>
          <w:vertAlign w:val="baseline"/>
        </w:rPr>
        <w:t>mind because he had never examined the gun. </w:t>
      </w:r>
      <w:r>
        <w:rPr>
          <w:color w:val="005DA1"/>
          <w:u w:val="single" w:color="005DA1"/>
          <w:vertAlign w:val="superscript"/>
        </w:rPr>
        <w:t>191</w:t>
      </w:r>
      <w:r>
        <w:rPr>
          <w:color w:val="005DA1"/>
          <w:vertAlign w:val="baseline"/>
        </w:rPr>
        <w:t> </w:t>
      </w:r>
      <w:r>
        <w:rPr>
          <w:vertAlign w:val="baseline"/>
        </w:rPr>
        <w:t>Where an estate agent’s particulars </w:t>
      </w:r>
      <w:bookmarkStart w:name="_bookmark326" w:id="328"/>
      <w:bookmarkEnd w:id="328"/>
      <w:r>
        <w:rPr>
          <w:vertAlign w:val="baseline"/>
        </w:rPr>
        <w:t>misrepresented</w:t>
      </w:r>
      <w:r>
        <w:rPr>
          <w:vertAlign w:val="baseline"/>
        </w:rPr>
        <w:t> the size of a garage, and the buyer had examined the whole property thoroughly on two separate occasions, it was held that the misrepresentation had had no effect. </w:t>
      </w:r>
      <w:r>
        <w:rPr>
          <w:color w:val="005DA1"/>
          <w:u w:val="single" w:color="005DA1"/>
          <w:vertAlign w:val="superscript"/>
        </w:rPr>
        <w:t>192</w:t>
      </w:r>
    </w:p>
    <w:p>
      <w:pPr>
        <w:pStyle w:val="BodyText"/>
      </w:pPr>
    </w:p>
    <w:p>
      <w:pPr>
        <w:pStyle w:val="BodyText"/>
        <w:spacing w:before="36"/>
      </w:pPr>
    </w:p>
    <w:p>
      <w:pPr>
        <w:spacing w:before="0"/>
        <w:ind w:left="165" w:right="0" w:firstLine="0"/>
        <w:jc w:val="both"/>
        <w:rPr>
          <w:rFonts w:ascii="Arial"/>
          <w:b/>
          <w:sz w:val="18"/>
        </w:rPr>
      </w:pPr>
      <w:r>
        <w:rPr>
          <w:rFonts w:ascii="Arial"/>
          <w:b/>
          <w:sz w:val="18"/>
        </w:rPr>
        <w:t>Burden of </w:t>
      </w:r>
      <w:r>
        <w:rPr>
          <w:rFonts w:ascii="Arial"/>
          <w:b/>
          <w:spacing w:val="-2"/>
          <w:sz w:val="18"/>
        </w:rPr>
        <w:t>proof</w:t>
      </w:r>
    </w:p>
    <w:p>
      <w:pPr>
        <w:pStyle w:val="BodyText"/>
        <w:spacing w:before="41"/>
        <w:rPr>
          <w:rFonts w:ascii="Arial"/>
          <w:b/>
          <w:sz w:val="18"/>
        </w:rPr>
      </w:pPr>
    </w:p>
    <w:p>
      <w:pPr>
        <w:pStyle w:val="Heading2"/>
      </w:pPr>
      <w:r>
        <w:rPr/>
        <w:t>7-</w:t>
      </w:r>
      <w:r>
        <w:rPr>
          <w:spacing w:val="-5"/>
        </w:rPr>
        <w:t>036</w:t>
      </w:r>
    </w:p>
    <w:p>
      <w:pPr>
        <w:pStyle w:val="BodyText"/>
        <w:spacing w:line="235" w:lineRule="auto" w:before="203"/>
        <w:ind w:left="165" w:right="167"/>
        <w:jc w:val="both"/>
      </w:pPr>
      <w:r>
        <w:rPr/>
        <w:t>The burden of proving that the claimant had actual knowledge of the truth, and therefore was not deceived by the misrepresentation, lies on the defendant; if established, knowledge on the part of the </w:t>
      </w:r>
      <w:bookmarkStart w:name="_bookmark327" w:id="329"/>
      <w:bookmarkEnd w:id="329"/>
      <w:r>
        <w:rPr/>
        <w:t>representee</w:t>
      </w:r>
      <w:r>
        <w:rPr/>
        <w:t> is of course a complete defence, because he is then unable to show that he was misled by the misrepresentation. </w:t>
      </w:r>
      <w:r>
        <w:rPr>
          <w:color w:val="005DA1"/>
          <w:u w:val="single" w:color="005DA1"/>
          <w:vertAlign w:val="superscript"/>
        </w:rPr>
        <w:t>193</w:t>
      </w:r>
      <w:r>
        <w:rPr>
          <w:color w:val="005DA1"/>
          <w:vertAlign w:val="baseline"/>
        </w:rPr>
        <w:t> </w:t>
      </w:r>
      <w:r>
        <w:rPr>
          <w:vertAlign w:val="baseline"/>
        </w:rPr>
        <w:t>It has also been held that a defence is made out if the truth was </w:t>
      </w:r>
      <w:r>
        <w:rPr>
          <w:vertAlign w:val="baseline"/>
        </w:rPr>
        <w:t>known</w:t>
      </w:r>
      <w:r>
        <w:rPr>
          <w:spacing w:val="40"/>
          <w:vertAlign w:val="baseline"/>
        </w:rPr>
        <w:t> </w:t>
      </w:r>
      <w:bookmarkStart w:name="_bookmark328" w:id="330"/>
      <w:bookmarkEnd w:id="330"/>
      <w:r>
        <w:rPr>
          <w:vertAlign w:val="baseline"/>
        </w:rPr>
        <w:t>to</w:t>
      </w:r>
      <w:r>
        <w:rPr>
          <w:vertAlign w:val="baseline"/>
        </w:rPr>
        <w:t> the agent of the claimant, at least where the facts had deliberately been communicated to the agent. </w:t>
      </w:r>
      <w:r>
        <w:rPr>
          <w:color w:val="005DA1"/>
          <w:u w:val="single" w:color="005DA1"/>
          <w:vertAlign w:val="superscript"/>
        </w:rPr>
        <w:t>194</w:t>
      </w:r>
    </w:p>
    <w:p>
      <w:pPr>
        <w:pStyle w:val="BodyText"/>
      </w:pPr>
    </w:p>
    <w:p>
      <w:pPr>
        <w:pStyle w:val="BodyText"/>
        <w:spacing w:before="36"/>
      </w:pPr>
    </w:p>
    <w:p>
      <w:pPr>
        <w:spacing w:before="0"/>
        <w:ind w:left="165" w:right="0" w:firstLine="0"/>
        <w:jc w:val="left"/>
        <w:rPr>
          <w:rFonts w:ascii="Arial"/>
          <w:b/>
          <w:sz w:val="18"/>
        </w:rPr>
      </w:pPr>
      <w:r>
        <w:rPr>
          <w:rFonts w:ascii="Arial"/>
          <w:b/>
          <w:sz w:val="18"/>
        </w:rPr>
        <w:t>Need not be sole </w:t>
      </w:r>
      <w:r>
        <w:rPr>
          <w:rFonts w:ascii="Arial"/>
          <w:b/>
          <w:spacing w:val="-2"/>
          <w:sz w:val="18"/>
        </w:rPr>
        <w:t>inducement</w:t>
      </w:r>
    </w:p>
    <w:p>
      <w:pPr>
        <w:pStyle w:val="BodyText"/>
        <w:spacing w:before="41"/>
        <w:rPr>
          <w:rFonts w:ascii="Arial"/>
          <w:b/>
          <w:sz w:val="18"/>
        </w:rPr>
      </w:pPr>
    </w:p>
    <w:p>
      <w:pPr>
        <w:pStyle w:val="Heading2"/>
        <w:spacing w:before="1"/>
      </w:pPr>
      <w:r>
        <w:rPr/>
        <w:t>7-</w:t>
      </w:r>
      <w:r>
        <w:rPr>
          <w:spacing w:val="-5"/>
        </w:rPr>
        <w:t>037</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It is not necessary that the misrepresentation should be the sole cause which induced </w:t>
      </w:r>
      <w:r>
        <w:rPr/>
        <w:t>the </w:t>
      </w:r>
      <w:bookmarkStart w:name="_bookmark329" w:id="331"/>
      <w:bookmarkEnd w:id="331"/>
      <w:r>
        <w:rPr/>
        <w:t>representee</w:t>
      </w:r>
      <w:r>
        <w:rPr>
          <w:spacing w:val="13"/>
        </w:rPr>
        <w:t> </w:t>
      </w:r>
      <w:r>
        <w:rPr/>
        <w:t>to</w:t>
      </w:r>
      <w:r>
        <w:rPr>
          <w:spacing w:val="13"/>
        </w:rPr>
        <w:t> </w:t>
      </w:r>
      <w:r>
        <w:rPr/>
        <w:t>make</w:t>
      </w:r>
      <w:r>
        <w:rPr>
          <w:spacing w:val="13"/>
        </w:rPr>
        <w:t> </w:t>
      </w:r>
      <w:r>
        <w:rPr/>
        <w:t>the</w:t>
      </w:r>
      <w:r>
        <w:rPr>
          <w:spacing w:val="13"/>
        </w:rPr>
        <w:t> </w:t>
      </w:r>
      <w:r>
        <w:rPr/>
        <w:t>contract.</w:t>
      </w:r>
      <w:r>
        <w:rPr>
          <w:spacing w:val="13"/>
        </w:rPr>
        <w:t> </w:t>
      </w:r>
      <w:r>
        <w:rPr/>
        <w:t>It</w:t>
      </w:r>
      <w:r>
        <w:rPr>
          <w:spacing w:val="13"/>
        </w:rPr>
        <w:t> </w:t>
      </w:r>
      <w:r>
        <w:rPr/>
        <w:t>is</w:t>
      </w:r>
      <w:r>
        <w:rPr>
          <w:spacing w:val="13"/>
        </w:rPr>
        <w:t> </w:t>
      </w:r>
      <w:r>
        <w:rPr/>
        <w:t>sufficient</w:t>
      </w:r>
      <w:r>
        <w:rPr>
          <w:spacing w:val="13"/>
        </w:rPr>
        <w:t> </w:t>
      </w:r>
      <w:r>
        <w:rPr/>
        <w:t>if</w:t>
      </w:r>
      <w:r>
        <w:rPr>
          <w:spacing w:val="13"/>
        </w:rPr>
        <w:t> </w:t>
      </w:r>
      <w:r>
        <w:rPr/>
        <w:t>it</w:t>
      </w:r>
      <w:r>
        <w:rPr>
          <w:spacing w:val="13"/>
        </w:rPr>
        <w:t> </w:t>
      </w:r>
      <w:r>
        <w:rPr/>
        <w:t>can</w:t>
      </w:r>
      <w:r>
        <w:rPr>
          <w:spacing w:val="13"/>
        </w:rPr>
        <w:t> </w:t>
      </w:r>
      <w:r>
        <w:rPr/>
        <w:t>be</w:t>
      </w:r>
      <w:r>
        <w:rPr>
          <w:spacing w:val="13"/>
        </w:rPr>
        <w:t> </w:t>
      </w:r>
      <w:r>
        <w:rPr/>
        <w:t>shown</w:t>
      </w:r>
      <w:r>
        <w:rPr>
          <w:spacing w:val="13"/>
        </w:rPr>
        <w:t> </w:t>
      </w:r>
      <w:r>
        <w:rPr/>
        <w:t>to</w:t>
      </w:r>
      <w:r>
        <w:rPr>
          <w:spacing w:val="13"/>
        </w:rPr>
        <w:t> </w:t>
      </w:r>
      <w:r>
        <w:rPr/>
        <w:t>have</w:t>
      </w:r>
      <w:r>
        <w:rPr>
          <w:spacing w:val="13"/>
        </w:rPr>
        <w:t> </w:t>
      </w:r>
      <w:r>
        <w:rPr/>
        <w:t>been</w:t>
      </w:r>
      <w:r>
        <w:rPr>
          <w:spacing w:val="13"/>
        </w:rPr>
        <w:t> </w:t>
      </w:r>
      <w:r>
        <w:rPr/>
        <w:t>one</w:t>
      </w:r>
      <w:r>
        <w:rPr>
          <w:spacing w:val="13"/>
        </w:rPr>
        <w:t> </w:t>
      </w:r>
      <w:r>
        <w:rPr/>
        <w:t>of</w:t>
      </w:r>
      <w:r>
        <w:rPr>
          <w:spacing w:val="13"/>
        </w:rPr>
        <w:t> </w:t>
      </w:r>
      <w:r>
        <w:rPr/>
        <w:t>the</w:t>
      </w:r>
      <w:r>
        <w:rPr>
          <w:spacing w:val="13"/>
        </w:rPr>
        <w:t> </w:t>
      </w:r>
      <w:r>
        <w:rPr>
          <w:spacing w:val="-2"/>
        </w:rPr>
        <w:t>inducing</w:t>
      </w:r>
    </w:p>
    <w:p>
      <w:pPr>
        <w:pStyle w:val="BodyText"/>
        <w:spacing w:line="235" w:lineRule="auto" w:before="119"/>
        <w:ind w:left="165" w:right="167"/>
        <w:jc w:val="both"/>
      </w:pPr>
      <w:bookmarkStart w:name="_bookmark330" w:id="332"/>
      <w:bookmarkEnd w:id="332"/>
      <w:r>
        <w:rPr/>
      </w:r>
      <w:r>
        <w:rPr/>
        <w:t>causes. </w:t>
      </w:r>
      <w:r>
        <w:rPr>
          <w:color w:val="005DA1"/>
          <w:u w:val="single" w:color="005DA1"/>
          <w:vertAlign w:val="superscript"/>
        </w:rPr>
        <w:t>195</w:t>
      </w:r>
      <w:r>
        <w:rPr>
          <w:color w:val="005DA1"/>
          <w:spacing w:val="80"/>
          <w:vertAlign w:val="baseline"/>
        </w:rPr>
        <w:t> </w:t>
      </w:r>
      <w:r>
        <w:rPr>
          <w:color w:val="005DA1"/>
          <w:spacing w:val="-11"/>
          <w:position w:val="-2"/>
          <w:vertAlign w:val="baseline"/>
        </w:rPr>
        <w:drawing>
          <wp:inline distT="0" distB="0" distL="0" distR="0">
            <wp:extent cx="107988" cy="107988"/>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hAnsi="Times New Roman"/>
          <w:color w:val="005DA1"/>
          <w:vertAlign w:val="baseline"/>
        </w:rPr>
        <w:t> </w:t>
      </w:r>
      <w:r>
        <w:rPr>
          <w:vertAlign w:val="baseline"/>
        </w:rPr>
        <w:t>Thus in </w:t>
      </w:r>
      <w:r>
        <w:rPr>
          <w:rFonts w:ascii="Arial" w:hAnsi="Arial"/>
          <w:i/>
          <w:vertAlign w:val="baseline"/>
        </w:rPr>
        <w:t>Edgington v Fitzmaurice </w:t>
      </w:r>
      <w:r>
        <w:rPr>
          <w:color w:val="005DA1"/>
          <w:u w:val="single" w:color="005DA1"/>
          <w:vertAlign w:val="superscript"/>
        </w:rPr>
        <w:t>196</w:t>
      </w:r>
      <w:r>
        <w:rPr>
          <w:color w:val="005DA1"/>
          <w:vertAlign w:val="baseline"/>
        </w:rPr>
        <w:t> </w:t>
      </w:r>
      <w:r>
        <w:rPr>
          <w:vertAlign w:val="baseline"/>
        </w:rPr>
        <w:t>the plaintiff was induced to take debentures in </w:t>
      </w:r>
      <w:r>
        <w:rPr>
          <w:vertAlign w:val="baseline"/>
        </w:rPr>
        <w:t>a company partly because of a misrepresentation in the prospectus, but also because of a mistaken belief of his own that the debentures conferred a charge on the company’s property. He was held to be</w:t>
      </w:r>
      <w:r>
        <w:rPr>
          <w:spacing w:val="6"/>
          <w:vertAlign w:val="baseline"/>
        </w:rPr>
        <w:t> </w:t>
      </w:r>
      <w:r>
        <w:rPr>
          <w:vertAlign w:val="baseline"/>
        </w:rPr>
        <w:t>entitled</w:t>
      </w:r>
      <w:r>
        <w:rPr>
          <w:spacing w:val="6"/>
          <w:vertAlign w:val="baseline"/>
        </w:rPr>
        <w:t> </w:t>
      </w:r>
      <w:r>
        <w:rPr>
          <w:vertAlign w:val="baseline"/>
        </w:rPr>
        <w:t>to</w:t>
      </w:r>
      <w:r>
        <w:rPr>
          <w:spacing w:val="6"/>
          <w:vertAlign w:val="baseline"/>
        </w:rPr>
        <w:t> </w:t>
      </w:r>
      <w:r>
        <w:rPr>
          <w:vertAlign w:val="baseline"/>
        </w:rPr>
        <w:t>have</w:t>
      </w:r>
      <w:r>
        <w:rPr>
          <w:spacing w:val="6"/>
          <w:vertAlign w:val="baseline"/>
        </w:rPr>
        <w:t> </w:t>
      </w:r>
      <w:r>
        <w:rPr>
          <w:vertAlign w:val="baseline"/>
        </w:rPr>
        <w:t>the</w:t>
      </w:r>
      <w:r>
        <w:rPr>
          <w:spacing w:val="6"/>
          <w:vertAlign w:val="baseline"/>
        </w:rPr>
        <w:t> </w:t>
      </w:r>
      <w:r>
        <w:rPr>
          <w:vertAlign w:val="baseline"/>
        </w:rPr>
        <w:t>contract</w:t>
      </w:r>
      <w:r>
        <w:rPr>
          <w:spacing w:val="6"/>
          <w:vertAlign w:val="baseline"/>
        </w:rPr>
        <w:t> </w:t>
      </w:r>
      <w:r>
        <w:rPr>
          <w:vertAlign w:val="baseline"/>
        </w:rPr>
        <w:t>rescinded,</w:t>
      </w:r>
      <w:r>
        <w:rPr>
          <w:spacing w:val="6"/>
          <w:vertAlign w:val="baseline"/>
        </w:rPr>
        <w:t> </w:t>
      </w:r>
      <w:r>
        <w:rPr>
          <w:vertAlign w:val="baseline"/>
        </w:rPr>
        <w:t>and</w:t>
      </w:r>
      <w:r>
        <w:rPr>
          <w:spacing w:val="6"/>
          <w:vertAlign w:val="baseline"/>
        </w:rPr>
        <w:t> </w:t>
      </w:r>
      <w:r>
        <w:rPr>
          <w:vertAlign w:val="baseline"/>
        </w:rPr>
        <w:t>Cotton</w:t>
      </w:r>
      <w:r>
        <w:rPr>
          <w:spacing w:val="6"/>
          <w:vertAlign w:val="baseline"/>
        </w:rPr>
        <w:t> </w:t>
      </w:r>
      <w:r>
        <w:rPr>
          <w:vertAlign w:val="baseline"/>
        </w:rPr>
        <w:t>L.J.</w:t>
      </w:r>
      <w:r>
        <w:rPr>
          <w:spacing w:val="6"/>
          <w:vertAlign w:val="baseline"/>
        </w:rPr>
        <w:t> </w:t>
      </w:r>
      <w:r>
        <w:rPr>
          <w:vertAlign w:val="baseline"/>
        </w:rPr>
        <w:t>said,</w:t>
      </w:r>
      <w:r>
        <w:rPr>
          <w:spacing w:val="6"/>
          <w:vertAlign w:val="baseline"/>
        </w:rPr>
        <w:t> </w:t>
      </w:r>
      <w:r>
        <w:rPr>
          <w:vertAlign w:val="baseline"/>
        </w:rPr>
        <w:t>“[i]t</w:t>
      </w:r>
      <w:r>
        <w:rPr>
          <w:spacing w:val="6"/>
          <w:vertAlign w:val="baseline"/>
        </w:rPr>
        <w:t> </w:t>
      </w:r>
      <w:r>
        <w:rPr>
          <w:vertAlign w:val="baseline"/>
        </w:rPr>
        <w:t>is</w:t>
      </w:r>
      <w:r>
        <w:rPr>
          <w:spacing w:val="6"/>
          <w:vertAlign w:val="baseline"/>
        </w:rPr>
        <w:t> </w:t>
      </w:r>
      <w:r>
        <w:rPr>
          <w:vertAlign w:val="baseline"/>
        </w:rPr>
        <w:t>not</w:t>
      </w:r>
      <w:r>
        <w:rPr>
          <w:spacing w:val="6"/>
          <w:vertAlign w:val="baseline"/>
        </w:rPr>
        <w:t> </w:t>
      </w:r>
      <w:r>
        <w:rPr>
          <w:vertAlign w:val="baseline"/>
        </w:rPr>
        <w:t>necessary</w:t>
      </w:r>
      <w:r>
        <w:rPr>
          <w:spacing w:val="6"/>
          <w:vertAlign w:val="baseline"/>
        </w:rPr>
        <w:t> </w:t>
      </w:r>
      <w:r>
        <w:rPr>
          <w:vertAlign w:val="baseline"/>
        </w:rPr>
        <w:t>to</w:t>
      </w:r>
      <w:r>
        <w:rPr>
          <w:spacing w:val="6"/>
          <w:vertAlign w:val="baseline"/>
        </w:rPr>
        <w:t> </w:t>
      </w:r>
      <w:r>
        <w:rPr>
          <w:vertAlign w:val="baseline"/>
        </w:rPr>
        <w:t>show</w:t>
      </w:r>
      <w:r>
        <w:rPr>
          <w:spacing w:val="6"/>
          <w:vertAlign w:val="baseline"/>
        </w:rPr>
        <w:t> </w:t>
      </w:r>
      <w:r>
        <w:rPr>
          <w:vertAlign w:val="baseline"/>
        </w:rPr>
        <w:t>that</w:t>
      </w:r>
      <w:r>
        <w:rPr>
          <w:spacing w:val="6"/>
          <w:vertAlign w:val="baseline"/>
        </w:rPr>
        <w:t> </w:t>
      </w:r>
      <w:r>
        <w:rPr>
          <w:spacing w:val="-5"/>
          <w:vertAlign w:val="baseline"/>
        </w:rPr>
        <w:t>the</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4" w:right="167"/>
        <w:jc w:val="both"/>
      </w:pPr>
      <w:bookmarkStart w:name="_bookmark331" w:id="333"/>
      <w:bookmarkEnd w:id="333"/>
      <w:r>
        <w:rPr/>
      </w:r>
      <w:bookmarkStart w:name="_bookmark332" w:id="334"/>
      <w:bookmarkEnd w:id="334"/>
      <w:r>
        <w:rPr/>
      </w:r>
      <w:r>
        <w:rPr/>
        <w:t>misstatement was the sole cause of his acting as he did”. </w:t>
      </w:r>
      <w:r>
        <w:rPr>
          <w:color w:val="005DA1"/>
          <w:u w:val="single" w:color="005DA1"/>
          <w:vertAlign w:val="superscript"/>
        </w:rPr>
        <w:t>197</w:t>
      </w:r>
      <w:r>
        <w:rPr>
          <w:color w:val="005DA1"/>
          <w:vertAlign w:val="baseline"/>
        </w:rPr>
        <w:t> </w:t>
      </w:r>
      <w:r>
        <w:rPr>
          <w:vertAlign w:val="baseline"/>
        </w:rPr>
        <w:t>The plaintiff appears to have agreed to take</w:t>
      </w:r>
      <w:r>
        <w:rPr>
          <w:spacing w:val="-3"/>
          <w:vertAlign w:val="baseline"/>
        </w:rPr>
        <w:t> </w:t>
      </w:r>
      <w:r>
        <w:rPr>
          <w:vertAlign w:val="baseline"/>
        </w:rPr>
        <w:t>the</w:t>
      </w:r>
      <w:r>
        <w:rPr>
          <w:spacing w:val="-3"/>
          <w:vertAlign w:val="baseline"/>
        </w:rPr>
        <w:t> </w:t>
      </w:r>
      <w:r>
        <w:rPr>
          <w:vertAlign w:val="baseline"/>
        </w:rPr>
        <w:t>debentures</w:t>
      </w:r>
      <w:r>
        <w:rPr>
          <w:spacing w:val="-3"/>
          <w:vertAlign w:val="baseline"/>
        </w:rPr>
        <w:t> </w:t>
      </w:r>
      <w:r>
        <w:rPr>
          <w:vertAlign w:val="baseline"/>
        </w:rPr>
        <w:t>because</w:t>
      </w:r>
      <w:r>
        <w:rPr>
          <w:spacing w:val="-3"/>
          <w:vertAlign w:val="baseline"/>
        </w:rPr>
        <w:t> </w:t>
      </w:r>
      <w:r>
        <w:rPr>
          <w:vertAlign w:val="baseline"/>
        </w:rPr>
        <w:t>of</w:t>
      </w:r>
      <w:r>
        <w:rPr>
          <w:spacing w:val="-3"/>
          <w:vertAlign w:val="baseline"/>
        </w:rPr>
        <w:t> </w:t>
      </w:r>
      <w:r>
        <w:rPr>
          <w:vertAlign w:val="baseline"/>
        </w:rPr>
        <w:t>a</w:t>
      </w:r>
      <w:r>
        <w:rPr>
          <w:spacing w:val="-3"/>
          <w:vertAlign w:val="baseline"/>
        </w:rPr>
        <w:t> </w:t>
      </w:r>
      <w:r>
        <w:rPr>
          <w:vertAlign w:val="baseline"/>
        </w:rPr>
        <w:t>combination</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misrepresentation</w:t>
      </w:r>
      <w:r>
        <w:rPr>
          <w:spacing w:val="-3"/>
          <w:vertAlign w:val="baseline"/>
        </w:rPr>
        <w:t> </w:t>
      </w:r>
      <w:r>
        <w:rPr>
          <w:vertAlign w:val="baseline"/>
        </w:rPr>
        <w:t>and</w:t>
      </w:r>
      <w:r>
        <w:rPr>
          <w:spacing w:val="-3"/>
          <w:vertAlign w:val="baseline"/>
        </w:rPr>
        <w:t> </w:t>
      </w:r>
      <w:r>
        <w:rPr>
          <w:vertAlign w:val="baseline"/>
        </w:rPr>
        <w:t>his</w:t>
      </w:r>
      <w:r>
        <w:rPr>
          <w:spacing w:val="-3"/>
          <w:vertAlign w:val="baseline"/>
        </w:rPr>
        <w:t> </w:t>
      </w:r>
      <w:r>
        <w:rPr>
          <w:vertAlign w:val="baseline"/>
        </w:rPr>
        <w:t>own</w:t>
      </w:r>
      <w:r>
        <w:rPr>
          <w:spacing w:val="-3"/>
          <w:vertAlign w:val="baseline"/>
        </w:rPr>
        <w:t> </w:t>
      </w:r>
      <w:r>
        <w:rPr>
          <w:vertAlign w:val="baseline"/>
        </w:rPr>
        <w:t>mistake.</w:t>
      </w:r>
      <w:r>
        <w:rPr>
          <w:spacing w:val="-4"/>
          <w:vertAlign w:val="baseline"/>
        </w:rPr>
        <w:t> </w:t>
      </w:r>
      <w:r>
        <w:rPr>
          <w:color w:val="005DA1"/>
          <w:u w:val="single" w:color="005DA1"/>
          <w:vertAlign w:val="superscript"/>
        </w:rPr>
        <w:t>198</w:t>
      </w:r>
      <w:r>
        <w:rPr>
          <w:color w:val="005DA1"/>
          <w:spacing w:val="-3"/>
          <w:vertAlign w:val="baseline"/>
        </w:rPr>
        <w:t> </w:t>
      </w:r>
      <w:r>
        <w:rPr>
          <w:vertAlign w:val="baseline"/>
        </w:rPr>
        <w:t>What </w:t>
      </w:r>
      <w:bookmarkStart w:name="_bookmark333" w:id="335"/>
      <w:bookmarkEnd w:id="335"/>
      <w:r>
        <w:rPr>
          <w:vertAlign w:val="baseline"/>
        </w:rPr>
        <w:t>is</w:t>
      </w:r>
      <w:r>
        <w:rPr>
          <w:vertAlign w:val="baseline"/>
        </w:rPr>
        <w:t> required is that the misrepresentee would not have entered the contract but for </w:t>
      </w:r>
      <w:r>
        <w:rPr>
          <w:vertAlign w:val="baseline"/>
        </w:rPr>
        <w:t>the misrepresentation. </w:t>
      </w:r>
      <w:r>
        <w:rPr>
          <w:color w:val="005DA1"/>
          <w:u w:val="single" w:color="005DA1"/>
          <w:vertAlign w:val="superscript"/>
        </w:rPr>
        <w:t>199</w:t>
      </w:r>
    </w:p>
    <w:p>
      <w:pPr>
        <w:pStyle w:val="BodyText"/>
      </w:pPr>
    </w:p>
    <w:p>
      <w:pPr>
        <w:pStyle w:val="BodyText"/>
        <w:spacing w:before="37"/>
      </w:pPr>
    </w:p>
    <w:p>
      <w:pPr>
        <w:spacing w:before="0"/>
        <w:ind w:left="165" w:right="0" w:firstLine="0"/>
        <w:jc w:val="both"/>
        <w:rPr>
          <w:rFonts w:ascii="Arial" w:hAnsi="Arial"/>
          <w:b/>
          <w:sz w:val="18"/>
        </w:rPr>
      </w:pPr>
      <w:r>
        <w:rPr>
          <w:rFonts w:ascii="Arial" w:hAnsi="Arial"/>
          <w:b/>
          <w:sz w:val="18"/>
        </w:rPr>
        <w:t>“But for” causation normally </w:t>
      </w:r>
      <w:r>
        <w:rPr>
          <w:rFonts w:ascii="Arial" w:hAnsi="Arial"/>
          <w:b/>
          <w:spacing w:val="-2"/>
          <w:sz w:val="18"/>
        </w:rPr>
        <w:t>required</w:t>
      </w:r>
    </w:p>
    <w:p>
      <w:pPr>
        <w:pStyle w:val="BodyText"/>
        <w:spacing w:before="41"/>
        <w:rPr>
          <w:rFonts w:ascii="Arial"/>
          <w:b/>
          <w:sz w:val="18"/>
        </w:rPr>
      </w:pPr>
    </w:p>
    <w:p>
      <w:pPr>
        <w:pStyle w:val="Heading2"/>
      </w:pPr>
      <w:r>
        <w:rPr/>
        <w:t>7-</w:t>
      </w:r>
      <w:r>
        <w:rPr>
          <w:spacing w:val="-5"/>
        </w:rPr>
        <w:t>038</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334" w:id="336"/>
      <w:bookmarkEnd w:id="336"/>
      <w:r>
        <w:rPr>
          <w:rFonts w:ascii="Times New Roman"/>
          <w:spacing w:val="-11"/>
        </w:rPr>
      </w:r>
      <w:r>
        <w:rPr/>
        <w:t>It seems to be the normal rule </w:t>
      </w:r>
      <w:r>
        <w:rPr>
          <w:color w:val="005DA1"/>
          <w:u w:val="single" w:color="005DA1"/>
          <w:vertAlign w:val="superscript"/>
        </w:rPr>
        <w:t>200</w:t>
      </w:r>
      <w:r>
        <w:rPr>
          <w:color w:val="005DA1"/>
          <w:vertAlign w:val="baseline"/>
        </w:rPr>
        <w:t> </w:t>
      </w:r>
      <w:r>
        <w:rPr>
          <w:vertAlign w:val="baseline"/>
        </w:rPr>
        <w:t>that, where a party has entered a contract after a </w:t>
      </w:r>
      <w:bookmarkStart w:name="_bookmark335" w:id="337"/>
      <w:bookmarkEnd w:id="337"/>
      <w:r>
        <w:rPr>
          <w:vertAlign w:val="baseline"/>
        </w:rPr>
        <w:t>misrepresentation</w:t>
      </w:r>
      <w:r>
        <w:rPr>
          <w:spacing w:val="43"/>
          <w:vertAlign w:val="baseline"/>
        </w:rPr>
        <w:t> </w:t>
      </w:r>
      <w:r>
        <w:rPr>
          <w:vertAlign w:val="baseline"/>
        </w:rPr>
        <w:t>has</w:t>
      </w:r>
      <w:r>
        <w:rPr>
          <w:spacing w:val="43"/>
          <w:vertAlign w:val="baseline"/>
        </w:rPr>
        <w:t> </w:t>
      </w:r>
      <w:r>
        <w:rPr>
          <w:vertAlign w:val="baseline"/>
        </w:rPr>
        <w:t>been</w:t>
      </w:r>
      <w:r>
        <w:rPr>
          <w:spacing w:val="43"/>
          <w:vertAlign w:val="baseline"/>
        </w:rPr>
        <w:t> </w:t>
      </w:r>
      <w:r>
        <w:rPr>
          <w:vertAlign w:val="baseline"/>
        </w:rPr>
        <w:t>made</w:t>
      </w:r>
      <w:r>
        <w:rPr>
          <w:spacing w:val="43"/>
          <w:vertAlign w:val="baseline"/>
        </w:rPr>
        <w:t> </w:t>
      </w:r>
      <w:r>
        <w:rPr>
          <w:vertAlign w:val="baseline"/>
        </w:rPr>
        <w:t>to</w:t>
      </w:r>
      <w:r>
        <w:rPr>
          <w:spacing w:val="43"/>
          <w:vertAlign w:val="baseline"/>
        </w:rPr>
        <w:t> </w:t>
      </w:r>
      <w:r>
        <w:rPr>
          <w:vertAlign w:val="baseline"/>
        </w:rPr>
        <w:t>him,</w:t>
      </w:r>
      <w:r>
        <w:rPr>
          <w:spacing w:val="43"/>
          <w:vertAlign w:val="baseline"/>
        </w:rPr>
        <w:t> </w:t>
      </w:r>
      <w:r>
        <w:rPr>
          <w:vertAlign w:val="baseline"/>
        </w:rPr>
        <w:t>he</w:t>
      </w:r>
      <w:r>
        <w:rPr>
          <w:spacing w:val="43"/>
          <w:vertAlign w:val="baseline"/>
        </w:rPr>
        <w:t> </w:t>
      </w:r>
      <w:r>
        <w:rPr>
          <w:vertAlign w:val="baseline"/>
        </w:rPr>
        <w:t>will</w:t>
      </w:r>
      <w:r>
        <w:rPr>
          <w:spacing w:val="43"/>
          <w:vertAlign w:val="baseline"/>
        </w:rPr>
        <w:t> </w:t>
      </w:r>
      <w:r>
        <w:rPr>
          <w:vertAlign w:val="baseline"/>
        </w:rPr>
        <w:t>not</w:t>
      </w:r>
      <w:r>
        <w:rPr>
          <w:spacing w:val="43"/>
          <w:vertAlign w:val="baseline"/>
        </w:rPr>
        <w:t> </w:t>
      </w:r>
      <w:r>
        <w:rPr>
          <w:vertAlign w:val="baseline"/>
        </w:rPr>
        <w:t>have</w:t>
      </w:r>
      <w:r>
        <w:rPr>
          <w:spacing w:val="43"/>
          <w:vertAlign w:val="baseline"/>
        </w:rPr>
        <w:t> </w:t>
      </w:r>
      <w:r>
        <w:rPr>
          <w:vertAlign w:val="baseline"/>
        </w:rPr>
        <w:t>a</w:t>
      </w:r>
      <w:r>
        <w:rPr>
          <w:spacing w:val="43"/>
          <w:vertAlign w:val="baseline"/>
        </w:rPr>
        <w:t> </w:t>
      </w:r>
      <w:r>
        <w:rPr>
          <w:vertAlign w:val="baseline"/>
        </w:rPr>
        <w:t>remedy</w:t>
      </w:r>
      <w:r>
        <w:rPr>
          <w:spacing w:val="43"/>
          <w:vertAlign w:val="baseline"/>
        </w:rPr>
        <w:t> </w:t>
      </w:r>
      <w:r>
        <w:rPr>
          <w:vertAlign w:val="baseline"/>
        </w:rPr>
        <w:t>unless</w:t>
      </w:r>
      <w:r>
        <w:rPr>
          <w:spacing w:val="43"/>
          <w:vertAlign w:val="baseline"/>
        </w:rPr>
        <w:t> </w:t>
      </w:r>
      <w:r>
        <w:rPr>
          <w:vertAlign w:val="baseline"/>
        </w:rPr>
        <w:t>he</w:t>
      </w:r>
      <w:r>
        <w:rPr>
          <w:spacing w:val="43"/>
          <w:vertAlign w:val="baseline"/>
        </w:rPr>
        <w:t> </w:t>
      </w:r>
      <w:r>
        <w:rPr>
          <w:vertAlign w:val="baseline"/>
        </w:rPr>
        <w:t>would</w:t>
      </w:r>
      <w:r>
        <w:rPr>
          <w:spacing w:val="43"/>
          <w:vertAlign w:val="baseline"/>
        </w:rPr>
        <w:t> </w:t>
      </w:r>
      <w:r>
        <w:rPr>
          <w:vertAlign w:val="baseline"/>
        </w:rPr>
        <w:t>not</w:t>
      </w:r>
      <w:r>
        <w:rPr>
          <w:spacing w:val="43"/>
          <w:vertAlign w:val="baseline"/>
        </w:rPr>
        <w:t> </w:t>
      </w:r>
      <w:r>
        <w:rPr>
          <w:spacing w:val="-4"/>
          <w:vertAlign w:val="baseline"/>
        </w:rPr>
        <w:t>have</w:t>
      </w:r>
    </w:p>
    <w:p>
      <w:pPr>
        <w:pStyle w:val="BodyText"/>
        <w:spacing w:line="235" w:lineRule="auto" w:before="119"/>
        <w:ind w:left="165" w:right="167"/>
        <w:jc w:val="both"/>
      </w:pPr>
      <w:r>
        <w:rPr/>
        <w:t>entered</w:t>
      </w:r>
      <w:r>
        <w:rPr>
          <w:spacing w:val="-2"/>
        </w:rPr>
        <w:t> </w:t>
      </w:r>
      <w:r>
        <w:rPr/>
        <w:t>the</w:t>
      </w:r>
      <w:r>
        <w:rPr>
          <w:spacing w:val="-2"/>
        </w:rPr>
        <w:t> </w:t>
      </w:r>
      <w:r>
        <w:rPr/>
        <w:t>contract</w:t>
      </w:r>
      <w:r>
        <w:rPr>
          <w:spacing w:val="-2"/>
        </w:rPr>
        <w:t> </w:t>
      </w:r>
      <w:r>
        <w:rPr/>
        <w:t>(or</w:t>
      </w:r>
      <w:r>
        <w:rPr>
          <w:spacing w:val="-2"/>
        </w:rPr>
        <w:t> </w:t>
      </w:r>
      <w:r>
        <w:rPr/>
        <w:t>at</w:t>
      </w:r>
      <w:r>
        <w:rPr>
          <w:spacing w:val="-2"/>
        </w:rPr>
        <w:t> </w:t>
      </w:r>
      <w:r>
        <w:rPr/>
        <w:t>least</w:t>
      </w:r>
      <w:r>
        <w:rPr>
          <w:spacing w:val="-2"/>
        </w:rPr>
        <w:t> </w:t>
      </w:r>
      <w:r>
        <w:rPr/>
        <w:t>not</w:t>
      </w:r>
      <w:r>
        <w:rPr>
          <w:spacing w:val="-2"/>
        </w:rPr>
        <w:t> </w:t>
      </w:r>
      <w:r>
        <w:rPr/>
        <w:t>on</w:t>
      </w:r>
      <w:r>
        <w:rPr>
          <w:spacing w:val="-2"/>
        </w:rPr>
        <w:t> </w:t>
      </w:r>
      <w:r>
        <w:rPr/>
        <w:t>the</w:t>
      </w:r>
      <w:r>
        <w:rPr>
          <w:spacing w:val="-2"/>
        </w:rPr>
        <w:t> </w:t>
      </w:r>
      <w:r>
        <w:rPr/>
        <w:t>same</w:t>
      </w:r>
      <w:r>
        <w:rPr>
          <w:spacing w:val="-2"/>
        </w:rPr>
        <w:t> </w:t>
      </w:r>
      <w:r>
        <w:rPr/>
        <w:t>terms)</w:t>
      </w:r>
      <w:r>
        <w:rPr>
          <w:spacing w:val="-2"/>
        </w:rPr>
        <w:t> </w:t>
      </w:r>
      <w:r>
        <w:rPr/>
        <w:t>but</w:t>
      </w:r>
      <w:r>
        <w:rPr>
          <w:spacing w:val="-2"/>
        </w:rPr>
        <w:t> </w:t>
      </w:r>
      <w:r>
        <w:rPr/>
        <w:t>for</w:t>
      </w:r>
      <w:r>
        <w:rPr>
          <w:spacing w:val="-2"/>
        </w:rPr>
        <w:t> </w:t>
      </w:r>
      <w:r>
        <w:rPr/>
        <w:t>the</w:t>
      </w:r>
      <w:r>
        <w:rPr>
          <w:spacing w:val="-2"/>
        </w:rPr>
        <w:t> </w:t>
      </w:r>
      <w:r>
        <w:rPr/>
        <w:t>misrepresentation.</w:t>
      </w:r>
      <w:r>
        <w:rPr>
          <w:spacing w:val="-3"/>
        </w:rPr>
        <w:t> </w:t>
      </w:r>
      <w:r>
        <w:rPr>
          <w:color w:val="005DA1"/>
          <w:u w:val="single" w:color="005DA1"/>
          <w:vertAlign w:val="superscript"/>
        </w:rPr>
        <w:t>201</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color w:val="005DA1"/>
          <w:spacing w:val="1"/>
          <w:vertAlign w:val="baseline"/>
        </w:rPr>
        <w:t> </w:t>
      </w:r>
      <w:r>
        <w:rPr>
          <w:vertAlign w:val="baseline"/>
        </w:rPr>
        <w:t>Certainly </w:t>
      </w:r>
      <w:bookmarkStart w:name="_bookmark336" w:id="338"/>
      <w:bookmarkEnd w:id="338"/>
      <w:r>
        <w:rPr>
          <w:vertAlign w:val="baseline"/>
        </w:rPr>
        <w:t>this</w:t>
      </w:r>
      <w:r>
        <w:rPr>
          <w:vertAlign w:val="baseline"/>
        </w:rPr>
        <w:t> is the case when the misrepresentee claims damages in tort for negligent misstatement; and </w:t>
      </w:r>
      <w:r>
        <w:rPr>
          <w:vertAlign w:val="baseline"/>
        </w:rPr>
        <w:t>it </w:t>
      </w:r>
      <w:bookmarkStart w:name="_bookmark337" w:id="339"/>
      <w:bookmarkEnd w:id="339"/>
      <w:r>
        <w:rPr>
          <w:vertAlign w:val="baseline"/>
        </w:rPr>
        <w:t>seems</w:t>
      </w:r>
      <w:r>
        <w:rPr>
          <w:vertAlign w:val="baseline"/>
        </w:rPr>
        <w:t> also to be required if damages are claimed for fraud. </w:t>
      </w:r>
      <w:r>
        <w:rPr>
          <w:color w:val="005DA1"/>
          <w:u w:val="single" w:color="005DA1"/>
          <w:vertAlign w:val="superscript"/>
        </w:rPr>
        <w:t>202</w:t>
      </w:r>
      <w:r>
        <w:rPr>
          <w:color w:val="005DA1"/>
          <w:vertAlign w:val="baseline"/>
        </w:rPr>
        <w:t> </w:t>
      </w:r>
      <w:r>
        <w:rPr>
          <w:vertAlign w:val="baseline"/>
        </w:rPr>
        <w:t>It seems likely that the same rule applies if he seeks to rescind on the ground of an innocent or negligent misrepresentation. </w:t>
      </w:r>
      <w:r>
        <w:rPr>
          <w:color w:val="005DA1"/>
          <w:u w:val="single" w:color="005DA1"/>
          <w:vertAlign w:val="superscript"/>
        </w:rPr>
        <w:t>203</w:t>
      </w:r>
    </w:p>
    <w:p>
      <w:pPr>
        <w:pStyle w:val="BodyText"/>
      </w:pPr>
    </w:p>
    <w:p>
      <w:pPr>
        <w:pStyle w:val="BodyText"/>
        <w:spacing w:before="37"/>
      </w:pPr>
    </w:p>
    <w:p>
      <w:pPr>
        <w:spacing w:before="0"/>
        <w:ind w:left="165" w:right="0" w:firstLine="0"/>
        <w:jc w:val="both"/>
        <w:rPr>
          <w:rFonts w:ascii="Arial" w:hAnsi="Arial"/>
          <w:b/>
          <w:sz w:val="18"/>
        </w:rPr>
      </w:pPr>
      <w:r>
        <w:rPr>
          <w:rFonts w:ascii="Arial" w:hAnsi="Arial"/>
          <w:b/>
          <w:sz w:val="18"/>
        </w:rPr>
        <w:t>“But for” causation not required for rescission for </w:t>
      </w:r>
      <w:r>
        <w:rPr>
          <w:rFonts w:ascii="Arial" w:hAnsi="Arial"/>
          <w:b/>
          <w:spacing w:val="-2"/>
          <w:sz w:val="18"/>
        </w:rPr>
        <w:t>fraud</w:t>
      </w:r>
    </w:p>
    <w:p>
      <w:pPr>
        <w:pStyle w:val="BodyText"/>
        <w:spacing w:before="41"/>
        <w:rPr>
          <w:rFonts w:ascii="Arial"/>
          <w:b/>
          <w:sz w:val="18"/>
        </w:rPr>
      </w:pPr>
    </w:p>
    <w:p>
      <w:pPr>
        <w:pStyle w:val="Heading2"/>
        <w:spacing w:before="1"/>
      </w:pPr>
      <w:r>
        <w:rPr/>
        <w:t>7-</w:t>
      </w:r>
      <w:r>
        <w:rPr>
          <w:spacing w:val="-5"/>
        </w:rPr>
        <w:t>039</w:t>
      </w:r>
    </w:p>
    <w:p>
      <w:pPr>
        <w:pStyle w:val="BodyText"/>
        <w:spacing w:line="235" w:lineRule="auto" w:before="202"/>
        <w:ind w:left="165" w:right="167"/>
        <w:jc w:val="both"/>
      </w:pPr>
      <w:r>
        <w:rPr/>
        <w:t>In cases of fraud, in contrast, if the representee seeks to rescind, it is no defence for the representor </w:t>
      </w:r>
      <w:bookmarkStart w:name="_bookmark338" w:id="340"/>
      <w:bookmarkEnd w:id="340"/>
      <w:r>
        <w:rPr/>
        <w:t>to</w:t>
      </w:r>
      <w:r>
        <w:rPr/>
        <w:t> show that if the misrepresentation had not been made, the misrepresentee would still have made the contract. </w:t>
      </w:r>
      <w:r>
        <w:rPr>
          <w:color w:val="005DA1"/>
          <w:u w:val="single" w:color="005DA1"/>
          <w:vertAlign w:val="superscript"/>
        </w:rPr>
        <w:t>204</w:t>
      </w:r>
      <w:r>
        <w:rPr>
          <w:color w:val="005DA1"/>
          <w:vertAlign w:val="baseline"/>
        </w:rPr>
        <w:t> </w:t>
      </w:r>
      <w:r>
        <w:rPr>
          <w:vertAlign w:val="baseline"/>
        </w:rPr>
        <w:t>It is sufficient if there is evidence to show that he was materially influenced by the </w:t>
      </w:r>
      <w:bookmarkStart w:name="_bookmark339" w:id="341"/>
      <w:bookmarkEnd w:id="341"/>
      <w:r>
        <w:rPr>
          <w:vertAlign w:val="baseline"/>
        </w:rPr>
        <w:t>misrepresentation</w:t>
      </w:r>
      <w:r>
        <w:rPr>
          <w:vertAlign w:val="baseline"/>
        </w:rPr>
        <w:t> merely in the sense that it had some impact on his thinking, “was actively </w:t>
      </w:r>
      <w:r>
        <w:rPr>
          <w:vertAlign w:val="baseline"/>
        </w:rPr>
        <w:t>present</w:t>
      </w:r>
      <w:r>
        <w:rPr>
          <w:spacing w:val="40"/>
          <w:vertAlign w:val="baseline"/>
        </w:rPr>
        <w:t> </w:t>
      </w:r>
      <w:r>
        <w:rPr>
          <w:vertAlign w:val="baseline"/>
        </w:rPr>
        <w:t>to his mind”. </w:t>
      </w:r>
      <w:r>
        <w:rPr>
          <w:color w:val="005DA1"/>
          <w:u w:val="single" w:color="005DA1"/>
          <w:vertAlign w:val="superscript"/>
        </w:rPr>
        <w:t>205</w:t>
      </w:r>
      <w:r>
        <w:rPr>
          <w:color w:val="005DA1"/>
          <w:vertAlign w:val="baseline"/>
        </w:rPr>
        <w:t> </w:t>
      </w:r>
      <w:r>
        <w:rPr>
          <w:vertAlign w:val="baseline"/>
        </w:rPr>
        <w:t>As Lord Cross put it in a case of duress to the person </w:t>
      </w:r>
      <w:r>
        <w:rPr>
          <w:color w:val="005DA1"/>
          <w:u w:val="single" w:color="005DA1"/>
          <w:vertAlign w:val="superscript"/>
        </w:rPr>
        <w:t>206</w:t>
      </w:r>
      <w:r>
        <w:rPr>
          <w:vertAlign w:val="baseline"/>
        </w:rPr>
        <w:t>:</w:t>
      </w:r>
    </w:p>
    <w:p>
      <w:pPr>
        <w:pStyle w:val="BodyText"/>
      </w:pPr>
    </w:p>
    <w:p>
      <w:pPr>
        <w:pStyle w:val="BodyText"/>
        <w:spacing w:before="125"/>
      </w:pPr>
    </w:p>
    <w:p>
      <w:pPr>
        <w:pStyle w:val="BodyText"/>
        <w:spacing w:line="235" w:lineRule="auto"/>
        <w:ind w:left="1245"/>
      </w:pPr>
      <w:r>
        <w:rPr/>
        <w:t>“… [i]n this field the court does not allow an examination into the relative importance of</w:t>
      </w:r>
      <w:r>
        <w:rPr>
          <w:spacing w:val="80"/>
        </w:rPr>
        <w:t> </w:t>
      </w:r>
      <w:r>
        <w:rPr/>
        <w:t>contributory causes.</w:t>
      </w:r>
    </w:p>
    <w:p>
      <w:pPr>
        <w:pStyle w:val="BodyText"/>
      </w:pPr>
    </w:p>
    <w:p>
      <w:pPr>
        <w:pStyle w:val="BodyText"/>
        <w:spacing w:before="126"/>
      </w:pPr>
    </w:p>
    <w:p>
      <w:pPr>
        <w:pStyle w:val="BodyText"/>
        <w:spacing w:line="235" w:lineRule="auto"/>
        <w:ind w:left="1545"/>
      </w:pPr>
      <w:r>
        <w:rPr/>
        <w:t>‘Once</w:t>
      </w:r>
      <w:r>
        <w:rPr>
          <w:spacing w:val="-3"/>
        </w:rPr>
        <w:t> </w:t>
      </w:r>
      <w:r>
        <w:rPr/>
        <w:t>make</w:t>
      </w:r>
      <w:r>
        <w:rPr>
          <w:spacing w:val="-3"/>
        </w:rPr>
        <w:t> </w:t>
      </w:r>
      <w:r>
        <w:rPr/>
        <w:t>out</w:t>
      </w:r>
      <w:r>
        <w:rPr>
          <w:spacing w:val="-3"/>
        </w:rPr>
        <w:t> </w:t>
      </w:r>
      <w:r>
        <w:rPr/>
        <w:t>that</w:t>
      </w:r>
      <w:r>
        <w:rPr>
          <w:spacing w:val="-3"/>
        </w:rPr>
        <w:t> </w:t>
      </w:r>
      <w:r>
        <w:rPr/>
        <w:t>there</w:t>
      </w:r>
      <w:r>
        <w:rPr>
          <w:spacing w:val="-3"/>
        </w:rPr>
        <w:t> </w:t>
      </w:r>
      <w:r>
        <w:rPr/>
        <w:t>has</w:t>
      </w:r>
      <w:r>
        <w:rPr>
          <w:spacing w:val="-3"/>
        </w:rPr>
        <w:t> </w:t>
      </w:r>
      <w:r>
        <w:rPr/>
        <w:t>been</w:t>
      </w:r>
      <w:r>
        <w:rPr>
          <w:spacing w:val="-3"/>
        </w:rPr>
        <w:t> </w:t>
      </w:r>
      <w:r>
        <w:rPr/>
        <w:t>anything</w:t>
      </w:r>
      <w:r>
        <w:rPr>
          <w:spacing w:val="-3"/>
        </w:rPr>
        <w:t> </w:t>
      </w:r>
      <w:r>
        <w:rPr/>
        <w:t>like</w:t>
      </w:r>
      <w:r>
        <w:rPr>
          <w:spacing w:val="-3"/>
        </w:rPr>
        <w:t> </w:t>
      </w:r>
      <w:r>
        <w:rPr/>
        <w:t>deception,</w:t>
      </w:r>
      <w:r>
        <w:rPr>
          <w:spacing w:val="-3"/>
        </w:rPr>
        <w:t> </w:t>
      </w:r>
      <w:r>
        <w:rPr/>
        <w:t>and</w:t>
      </w:r>
      <w:r>
        <w:rPr>
          <w:spacing w:val="-3"/>
        </w:rPr>
        <w:t> </w:t>
      </w:r>
      <w:r>
        <w:rPr/>
        <w:t>no</w:t>
      </w:r>
      <w:r>
        <w:rPr>
          <w:spacing w:val="-3"/>
        </w:rPr>
        <w:t> </w:t>
      </w:r>
      <w:r>
        <w:rPr/>
        <w:t>contract</w:t>
      </w:r>
      <w:r>
        <w:rPr>
          <w:spacing w:val="-3"/>
        </w:rPr>
        <w:t> </w:t>
      </w:r>
      <w:r>
        <w:rPr/>
        <w:t>resting</w:t>
      </w:r>
      <w:r>
        <w:rPr>
          <w:spacing w:val="-3"/>
        </w:rPr>
        <w:t> </w:t>
      </w:r>
      <w:r>
        <w:rPr/>
        <w:t>in any degree on that foundation can stand’:</w:t>
      </w:r>
    </w:p>
    <w:p>
      <w:pPr>
        <w:pStyle w:val="BodyText"/>
        <w:spacing w:before="112"/>
      </w:pPr>
    </w:p>
    <w:p>
      <w:pPr>
        <w:spacing w:before="0"/>
        <w:ind w:left="1245" w:right="0" w:firstLine="0"/>
        <w:jc w:val="left"/>
        <w:rPr>
          <w:sz w:val="20"/>
        </w:rPr>
      </w:pPr>
      <w:bookmarkStart w:name="_bookmark340" w:id="342"/>
      <w:bookmarkEnd w:id="342"/>
      <w:r>
        <w:rPr/>
      </w:r>
      <w:r>
        <w:rPr>
          <w:sz w:val="20"/>
        </w:rPr>
        <w:t>per</w:t>
      </w:r>
      <w:r>
        <w:rPr>
          <w:spacing w:val="-3"/>
          <w:sz w:val="20"/>
        </w:rPr>
        <w:t> </w:t>
      </w:r>
      <w:r>
        <w:rPr>
          <w:sz w:val="20"/>
        </w:rPr>
        <w:t>Lord Cranworth L.J. in</w:t>
      </w:r>
      <w:r>
        <w:rPr>
          <w:spacing w:val="-1"/>
          <w:sz w:val="20"/>
        </w:rPr>
        <w:t> </w:t>
      </w:r>
      <w:r>
        <w:rPr>
          <w:rFonts w:ascii="Arial" w:hAnsi="Arial"/>
          <w:i/>
          <w:sz w:val="20"/>
        </w:rPr>
        <w:t>Reynell v Sprye</w:t>
      </w:r>
      <w:r>
        <w:rPr>
          <w:sz w:val="20"/>
        </w:rPr>
        <w:t>.” </w:t>
      </w:r>
      <w:r>
        <w:rPr>
          <w:color w:val="005DA1"/>
          <w:spacing w:val="-5"/>
          <w:sz w:val="20"/>
          <w:u w:val="single" w:color="005DA1"/>
          <w:vertAlign w:val="superscript"/>
        </w:rPr>
        <w:t>207</w:t>
      </w:r>
    </w:p>
    <w:p>
      <w:pPr>
        <w:pStyle w:val="BodyText"/>
        <w:spacing w:before="116"/>
      </w:pPr>
    </w:p>
    <w:p>
      <w:pPr>
        <w:pStyle w:val="BodyText"/>
        <w:spacing w:line="235" w:lineRule="auto"/>
        <w:ind w:left="165" w:right="167"/>
        <w:jc w:val="both"/>
      </w:pPr>
      <w:r>
        <w:rPr/>
        <w:t>The Privy Council applied this “fraud rule” when B had entered a contract with A after A had made threats</w:t>
      </w:r>
      <w:r>
        <w:rPr>
          <w:spacing w:val="-1"/>
        </w:rPr>
        <w:t> </w:t>
      </w:r>
      <w:r>
        <w:rPr/>
        <w:t>against</w:t>
      </w:r>
      <w:r>
        <w:rPr>
          <w:spacing w:val="-1"/>
        </w:rPr>
        <w:t> </w:t>
      </w:r>
      <w:r>
        <w:rPr/>
        <w:t>B’s</w:t>
      </w:r>
      <w:r>
        <w:rPr>
          <w:spacing w:val="-1"/>
        </w:rPr>
        <w:t> </w:t>
      </w:r>
      <w:r>
        <w:rPr/>
        <w:t>life.</w:t>
      </w:r>
      <w:r>
        <w:rPr>
          <w:spacing w:val="-1"/>
        </w:rPr>
        <w:t> </w:t>
      </w:r>
      <w:r>
        <w:rPr/>
        <w:t>It</w:t>
      </w:r>
      <w:r>
        <w:rPr>
          <w:spacing w:val="-1"/>
        </w:rPr>
        <w:t> </w:t>
      </w:r>
      <w:r>
        <w:rPr/>
        <w:t>held</w:t>
      </w:r>
      <w:r>
        <w:rPr>
          <w:spacing w:val="-1"/>
        </w:rPr>
        <w:t> </w:t>
      </w:r>
      <w:r>
        <w:rPr/>
        <w:t>that</w:t>
      </w:r>
      <w:r>
        <w:rPr>
          <w:spacing w:val="-1"/>
        </w:rPr>
        <w:t> </w:t>
      </w:r>
      <w:r>
        <w:rPr/>
        <w:t>B</w:t>
      </w:r>
      <w:r>
        <w:rPr>
          <w:spacing w:val="-1"/>
        </w:rPr>
        <w:t> </w:t>
      </w:r>
      <w:r>
        <w:rPr/>
        <w:t>was</w:t>
      </w:r>
      <w:r>
        <w:rPr>
          <w:spacing w:val="-1"/>
        </w:rPr>
        <w:t> </w:t>
      </w:r>
      <w:r>
        <w:rPr/>
        <w:t>entitled</w:t>
      </w:r>
      <w:r>
        <w:rPr>
          <w:spacing w:val="-1"/>
        </w:rPr>
        <w:t> </w:t>
      </w:r>
      <w:r>
        <w:rPr/>
        <w:t>to</w:t>
      </w:r>
      <w:r>
        <w:rPr>
          <w:spacing w:val="-1"/>
        </w:rPr>
        <w:t> </w:t>
      </w:r>
      <w:r>
        <w:rPr/>
        <w:t>relief</w:t>
      </w:r>
      <w:r>
        <w:rPr>
          <w:spacing w:val="-1"/>
        </w:rPr>
        <w:t> </w:t>
      </w:r>
      <w:r>
        <w:rPr/>
        <w:t>even</w:t>
      </w:r>
      <w:r>
        <w:rPr>
          <w:spacing w:val="-1"/>
        </w:rPr>
        <w:t> </w:t>
      </w:r>
      <w:r>
        <w:rPr/>
        <w:t>though</w:t>
      </w:r>
      <w:r>
        <w:rPr>
          <w:spacing w:val="-1"/>
        </w:rPr>
        <w:t> </w:t>
      </w:r>
      <w:r>
        <w:rPr/>
        <w:t>he</w:t>
      </w:r>
      <w:r>
        <w:rPr>
          <w:spacing w:val="-1"/>
        </w:rPr>
        <w:t> </w:t>
      </w:r>
      <w:r>
        <w:rPr/>
        <w:t>might</w:t>
      </w:r>
      <w:r>
        <w:rPr>
          <w:spacing w:val="-1"/>
        </w:rPr>
        <w:t> </w:t>
      </w:r>
      <w:r>
        <w:rPr/>
        <w:t>well</w:t>
      </w:r>
      <w:r>
        <w:rPr>
          <w:spacing w:val="-1"/>
        </w:rPr>
        <w:t> </w:t>
      </w:r>
      <w:r>
        <w:rPr/>
        <w:t>have</w:t>
      </w:r>
      <w:r>
        <w:rPr>
          <w:spacing w:val="-1"/>
        </w:rPr>
        <w:t> </w:t>
      </w:r>
      <w:r>
        <w:rPr/>
        <w:t>entered</w:t>
      </w:r>
      <w:r>
        <w:rPr>
          <w:spacing w:val="-1"/>
        </w:rPr>
        <w:t> </w:t>
      </w:r>
      <w:r>
        <w:rPr/>
        <w:t>into </w:t>
      </w:r>
      <w:bookmarkStart w:name="_bookmark341" w:id="343"/>
      <w:bookmarkEnd w:id="343"/>
      <w:r>
        <w:rPr/>
        <w:t>the</w:t>
      </w:r>
      <w:r>
        <w:rPr/>
        <w:t> contract if A had uttered no threats. It was only if it were shown that B did not allow the threat to affect</w:t>
      </w:r>
      <w:r>
        <w:rPr>
          <w:spacing w:val="-1"/>
        </w:rPr>
        <w:t> </w:t>
      </w:r>
      <w:r>
        <w:rPr/>
        <w:t>his</w:t>
      </w:r>
      <w:r>
        <w:rPr>
          <w:spacing w:val="-1"/>
        </w:rPr>
        <w:t> </w:t>
      </w:r>
      <w:r>
        <w:rPr/>
        <w:t>judgment</w:t>
      </w:r>
      <w:r>
        <w:rPr>
          <w:spacing w:val="-1"/>
        </w:rPr>
        <w:t> </w:t>
      </w:r>
      <w:r>
        <w:rPr/>
        <w:t>at</w:t>
      </w:r>
      <w:r>
        <w:rPr>
          <w:spacing w:val="-1"/>
        </w:rPr>
        <w:t> </w:t>
      </w:r>
      <w:r>
        <w:rPr/>
        <w:t>all</w:t>
      </w:r>
      <w:r>
        <w:rPr>
          <w:spacing w:val="-1"/>
        </w:rPr>
        <w:t> </w:t>
      </w:r>
      <w:r>
        <w:rPr/>
        <w:t>that</w:t>
      </w:r>
      <w:r>
        <w:rPr>
          <w:spacing w:val="-1"/>
        </w:rPr>
        <w:t> </w:t>
      </w:r>
      <w:r>
        <w:rPr/>
        <w:t>relief</w:t>
      </w:r>
      <w:r>
        <w:rPr>
          <w:spacing w:val="-1"/>
        </w:rPr>
        <w:t> </w:t>
      </w:r>
      <w:r>
        <w:rPr/>
        <w:t>would</w:t>
      </w:r>
      <w:r>
        <w:rPr>
          <w:spacing w:val="-1"/>
        </w:rPr>
        <w:t> </w:t>
      </w:r>
      <w:r>
        <w:rPr/>
        <w:t>be</w:t>
      </w:r>
      <w:r>
        <w:rPr>
          <w:spacing w:val="-1"/>
        </w:rPr>
        <w:t> </w:t>
      </w:r>
      <w:r>
        <w:rPr/>
        <w:t>denied.</w:t>
      </w:r>
      <w:r>
        <w:rPr>
          <w:spacing w:val="-2"/>
        </w:rPr>
        <w:t> </w:t>
      </w:r>
      <w:r>
        <w:rPr>
          <w:color w:val="005DA1"/>
          <w:u w:val="single" w:color="005DA1"/>
          <w:vertAlign w:val="superscript"/>
        </w:rPr>
        <w:t>208</w:t>
      </w:r>
      <w:r>
        <w:rPr>
          <w:color w:val="005DA1"/>
          <w:spacing w:val="-1"/>
          <w:vertAlign w:val="baseline"/>
        </w:rPr>
        <w:t> </w:t>
      </w:r>
      <w:r>
        <w:rPr>
          <w:vertAlign w:val="baseline"/>
        </w:rPr>
        <w:t>This</w:t>
      </w:r>
      <w:r>
        <w:rPr>
          <w:spacing w:val="-1"/>
          <w:vertAlign w:val="baseline"/>
        </w:rPr>
        <w:t> </w:t>
      </w:r>
      <w:r>
        <w:rPr>
          <w:vertAlign w:val="baseline"/>
        </w:rPr>
        <w:t>does</w:t>
      </w:r>
      <w:r>
        <w:rPr>
          <w:spacing w:val="-1"/>
          <w:vertAlign w:val="baseline"/>
        </w:rPr>
        <w:t> </w:t>
      </w:r>
      <w:r>
        <w:rPr>
          <w:vertAlign w:val="baseline"/>
        </w:rPr>
        <w:t>not</w:t>
      </w:r>
      <w:r>
        <w:rPr>
          <w:spacing w:val="-1"/>
          <w:vertAlign w:val="baseline"/>
        </w:rPr>
        <w:t> </w:t>
      </w:r>
      <w:r>
        <w:rPr>
          <w:vertAlign w:val="baseline"/>
        </w:rPr>
        <w:t>seem</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merely</w:t>
      </w:r>
      <w:r>
        <w:rPr>
          <w:spacing w:val="-1"/>
          <w:vertAlign w:val="baseline"/>
        </w:rPr>
        <w:t> </w:t>
      </w:r>
      <w:r>
        <w:rPr>
          <w:vertAlign w:val="baseline"/>
        </w:rPr>
        <w:t>a</w:t>
      </w:r>
      <w:r>
        <w:rPr>
          <w:spacing w:val="-1"/>
          <w:vertAlign w:val="baseline"/>
        </w:rPr>
        <w:t> </w:t>
      </w:r>
      <w:r>
        <w:rPr>
          <w:vertAlign w:val="baseline"/>
        </w:rPr>
        <w:t>reversal</w:t>
      </w:r>
      <w:r>
        <w:rPr>
          <w:spacing w:val="-1"/>
          <w:vertAlign w:val="baseline"/>
        </w:rPr>
        <w:t> </w:t>
      </w:r>
      <w:r>
        <w:rPr>
          <w:vertAlign w:val="baseline"/>
        </w:rPr>
        <w:t>of the usual burden of proof but a special rule that in fraud cases that, provided the misrepresentation </w:t>
      </w:r>
      <w:bookmarkStart w:name="_bookmark342" w:id="344"/>
      <w:bookmarkEnd w:id="344"/>
      <w:r>
        <w:rPr>
          <w:vertAlign w:val="baseline"/>
        </w:rPr>
        <w:t>had</w:t>
      </w:r>
      <w:r>
        <w:rPr>
          <w:vertAlign w:val="baseline"/>
        </w:rPr>
        <w:t> some influence, it is no defence that the misrepresentee would have entered the contract even if </w:t>
      </w:r>
      <w:bookmarkStart w:name="_bookmark343" w:id="345"/>
      <w:bookmarkEnd w:id="345"/>
      <w:r>
        <w:rPr>
          <w:vertAlign w:val="baseline"/>
        </w:rPr>
        <w:t>the</w:t>
      </w:r>
      <w:r>
        <w:rPr>
          <w:vertAlign w:val="baseline"/>
        </w:rPr>
        <w:t> statement had not been made. </w:t>
      </w:r>
      <w:r>
        <w:rPr>
          <w:color w:val="005DA1"/>
          <w:u w:val="single" w:color="005DA1"/>
          <w:vertAlign w:val="superscript"/>
        </w:rPr>
        <w:t>209</w:t>
      </w:r>
      <w:r>
        <w:rPr>
          <w:color w:val="005DA1"/>
          <w:vertAlign w:val="baseline"/>
        </w:rPr>
        <w:t> </w:t>
      </w:r>
      <w:r>
        <w:rPr>
          <w:vertAlign w:val="baseline"/>
        </w:rPr>
        <w:t>The rule is intended to deter fraud. </w:t>
      </w:r>
      <w:r>
        <w:rPr>
          <w:color w:val="005DA1"/>
          <w:u w:val="single" w:color="005DA1"/>
          <w:vertAlign w:val="superscript"/>
        </w:rPr>
        <w:t>210</w:t>
      </w:r>
      <w:r>
        <w:rPr>
          <w:color w:val="005DA1"/>
          <w:vertAlign w:val="baseline"/>
        </w:rPr>
        <w:t> </w:t>
      </w:r>
      <w:r>
        <w:rPr>
          <w:vertAlign w:val="baseline"/>
        </w:rPr>
        <w:t>The same approach has </w:t>
      </w:r>
      <w:bookmarkStart w:name="_bookmark344" w:id="346"/>
      <w:bookmarkEnd w:id="346"/>
      <w:r>
        <w:rPr>
          <w:vertAlign w:val="baseline"/>
        </w:rPr>
        <w:t>been</w:t>
      </w:r>
      <w:r>
        <w:rPr>
          <w:vertAlign w:val="baseline"/>
        </w:rPr>
        <w:t> applied by the Court of Appeal in a case of “actual” undue influence, </w:t>
      </w:r>
      <w:r>
        <w:rPr>
          <w:color w:val="005DA1"/>
          <w:u w:val="single" w:color="005DA1"/>
          <w:vertAlign w:val="superscript"/>
        </w:rPr>
        <w:t>211</w:t>
      </w:r>
      <w:r>
        <w:rPr>
          <w:color w:val="005DA1"/>
          <w:vertAlign w:val="baseline"/>
        </w:rPr>
        <w:t> </w:t>
      </w:r>
      <w:r>
        <w:rPr>
          <w:vertAlign w:val="baseline"/>
        </w:rPr>
        <w:t>which is seen as a “species of fraud”. </w:t>
      </w:r>
      <w:r>
        <w:rPr>
          <w:color w:val="005DA1"/>
          <w:u w:val="single" w:color="005DA1"/>
          <w:vertAlign w:val="superscript"/>
        </w:rPr>
        <w:t>212</w:t>
      </w:r>
      <w:r>
        <w:rPr>
          <w:color w:val="005DA1"/>
          <w:vertAlign w:val="baseline"/>
        </w:rPr>
        <w:t> </w:t>
      </w:r>
      <w:r>
        <w:rPr>
          <w:vertAlign w:val="baseline"/>
        </w:rPr>
        <w:t>The rule applies only to fraud, </w:t>
      </w:r>
      <w:r>
        <w:rPr>
          <w:color w:val="005DA1"/>
          <w:u w:val="single" w:color="005DA1"/>
          <w:vertAlign w:val="superscript"/>
        </w:rPr>
        <w:t>213</w:t>
      </w:r>
      <w:r>
        <w:rPr>
          <w:color w:val="005DA1"/>
          <w:vertAlign w:val="baseline"/>
        </w:rPr>
        <w:t> </w:t>
      </w:r>
      <w:r>
        <w:rPr>
          <w:vertAlign w:val="baseline"/>
        </w:rPr>
        <w:t>and only when the remedy sought is </w:t>
      </w:r>
      <w:bookmarkStart w:name="_bookmark345" w:id="347"/>
      <w:bookmarkEnd w:id="347"/>
      <w:r>
        <w:rPr>
          <w:vertAlign w:val="baseline"/>
        </w:rPr>
        <w:t>rescission.</w:t>
      </w:r>
      <w:r>
        <w:rPr>
          <w:vertAlign w:val="baseline"/>
        </w:rPr>
        <w:t> The victim of fraud cannot recover damages unless the loss for which damages are claimed would not have been suffered but for the fraud. </w:t>
      </w:r>
      <w:r>
        <w:rPr>
          <w:color w:val="005DA1"/>
          <w:u w:val="single" w:color="005DA1"/>
          <w:vertAlign w:val="superscript"/>
        </w:rPr>
        <w:t>214</w:t>
      </w:r>
    </w:p>
    <w:p>
      <w:pPr>
        <w:pStyle w:val="BodyText"/>
      </w:pPr>
    </w:p>
    <w:p>
      <w:pPr>
        <w:pStyle w:val="BodyText"/>
        <w:spacing w:before="34"/>
      </w:pPr>
    </w:p>
    <w:p>
      <w:pPr>
        <w:spacing w:before="0"/>
        <w:ind w:left="165" w:right="0" w:firstLine="0"/>
        <w:jc w:val="left"/>
        <w:rPr>
          <w:rFonts w:ascii="Arial"/>
          <w:b/>
          <w:sz w:val="18"/>
        </w:rPr>
      </w:pPr>
      <w:r>
        <w:rPr>
          <w:rFonts w:ascii="Arial"/>
          <w:b/>
          <w:sz w:val="18"/>
        </w:rPr>
        <w:t>Material misrepresentation and a presumption of </w:t>
      </w:r>
      <w:r>
        <w:rPr>
          <w:rFonts w:ascii="Arial"/>
          <w:b/>
          <w:spacing w:val="-2"/>
          <w:sz w:val="18"/>
        </w:rPr>
        <w:t>inducement</w:t>
      </w:r>
    </w:p>
    <w:p>
      <w:pPr>
        <w:pStyle w:val="BodyText"/>
        <w:spacing w:before="41"/>
        <w:rPr>
          <w:rFonts w:ascii="Arial"/>
          <w:b/>
          <w:sz w:val="18"/>
        </w:rPr>
      </w:pPr>
    </w:p>
    <w:p>
      <w:pPr>
        <w:pStyle w:val="Heading2"/>
        <w:spacing w:before="1"/>
      </w:pPr>
      <w:r>
        <w:rPr/>
        <w:t>7-</w:t>
      </w:r>
      <w:r>
        <w:rPr>
          <w:spacing w:val="-5"/>
        </w:rPr>
        <w:t>040</w:t>
      </w:r>
    </w:p>
    <w:p>
      <w:pPr>
        <w:pStyle w:val="BodyText"/>
        <w:spacing w:before="88"/>
        <w:rPr>
          <w:rFonts w:ascii="Arial"/>
          <w:b/>
        </w:rPr>
      </w:pPr>
    </w:p>
    <w:p>
      <w:pPr>
        <w:pStyle w:val="BodyText"/>
        <w:spacing w:before="1"/>
        <w:ind w:left="165"/>
      </w:pPr>
      <w:r>
        <w:rPr>
          <w:position w:val="-2"/>
        </w:rPr>
        <w:drawing>
          <wp:inline distT="0" distB="0" distL="0" distR="0">
            <wp:extent cx="107988" cy="107988"/>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11"/>
        </w:rPr>
        <w:t> </w:t>
      </w:r>
      <w:r>
        <w:rPr/>
        <w:t>Once</w:t>
      </w:r>
      <w:r>
        <w:rPr>
          <w:spacing w:val="4"/>
        </w:rPr>
        <w:t> </w:t>
      </w:r>
      <w:r>
        <w:rPr/>
        <w:t>it</w:t>
      </w:r>
      <w:r>
        <w:rPr>
          <w:spacing w:val="4"/>
        </w:rPr>
        <w:t> </w:t>
      </w:r>
      <w:r>
        <w:rPr/>
        <w:t>is</w:t>
      </w:r>
      <w:r>
        <w:rPr>
          <w:spacing w:val="4"/>
        </w:rPr>
        <w:t> </w:t>
      </w:r>
      <w:r>
        <w:rPr/>
        <w:t>proved</w:t>
      </w:r>
      <w:r>
        <w:rPr>
          <w:spacing w:val="4"/>
        </w:rPr>
        <w:t> </w:t>
      </w:r>
      <w:r>
        <w:rPr/>
        <w:t>that</w:t>
      </w:r>
      <w:r>
        <w:rPr>
          <w:spacing w:val="4"/>
        </w:rPr>
        <w:t> </w:t>
      </w:r>
      <w:r>
        <w:rPr/>
        <w:t>a</w:t>
      </w:r>
      <w:r>
        <w:rPr>
          <w:spacing w:val="4"/>
        </w:rPr>
        <w:t> </w:t>
      </w:r>
      <w:r>
        <w:rPr/>
        <w:t>false</w:t>
      </w:r>
      <w:r>
        <w:rPr>
          <w:spacing w:val="4"/>
        </w:rPr>
        <w:t> </w:t>
      </w:r>
      <w:r>
        <w:rPr/>
        <w:t>statement</w:t>
      </w:r>
      <w:r>
        <w:rPr>
          <w:spacing w:val="4"/>
        </w:rPr>
        <w:t> </w:t>
      </w:r>
      <w:r>
        <w:rPr/>
        <w:t>was</w:t>
      </w:r>
      <w:r>
        <w:rPr>
          <w:spacing w:val="4"/>
        </w:rPr>
        <w:t> </w:t>
      </w:r>
      <w:r>
        <w:rPr/>
        <w:t>made</w:t>
      </w:r>
      <w:r>
        <w:rPr>
          <w:spacing w:val="4"/>
        </w:rPr>
        <w:t> </w:t>
      </w:r>
      <w:r>
        <w:rPr/>
        <w:t>which</w:t>
      </w:r>
      <w:r>
        <w:rPr>
          <w:spacing w:val="4"/>
        </w:rPr>
        <w:t> </w:t>
      </w:r>
      <w:r>
        <w:rPr/>
        <w:t>is</w:t>
      </w:r>
      <w:r>
        <w:rPr>
          <w:spacing w:val="4"/>
        </w:rPr>
        <w:t> </w:t>
      </w:r>
      <w:r>
        <w:rPr/>
        <w:t>“material”</w:t>
      </w:r>
      <w:r>
        <w:rPr>
          <w:spacing w:val="4"/>
        </w:rPr>
        <w:t> </w:t>
      </w:r>
      <w:r>
        <w:rPr/>
        <w:t>in</w:t>
      </w:r>
      <w:r>
        <w:rPr>
          <w:spacing w:val="4"/>
        </w:rPr>
        <w:t> </w:t>
      </w:r>
      <w:r>
        <w:rPr/>
        <w:t>the</w:t>
      </w:r>
      <w:r>
        <w:rPr>
          <w:spacing w:val="4"/>
        </w:rPr>
        <w:t> </w:t>
      </w:r>
      <w:r>
        <w:rPr/>
        <w:t>sense</w:t>
      </w:r>
      <w:r>
        <w:rPr>
          <w:spacing w:val="4"/>
        </w:rPr>
        <w:t> </w:t>
      </w:r>
      <w:r>
        <w:rPr/>
        <w:t>that</w:t>
      </w:r>
      <w:r>
        <w:rPr>
          <w:spacing w:val="4"/>
        </w:rPr>
        <w:t> </w:t>
      </w:r>
      <w:r>
        <w:rPr/>
        <w:t>it</w:t>
      </w:r>
      <w:r>
        <w:rPr>
          <w:spacing w:val="4"/>
        </w:rPr>
        <w:t> </w:t>
      </w:r>
      <w:r>
        <w:rPr/>
        <w:t>was</w:t>
      </w:r>
      <w:r>
        <w:rPr>
          <w:spacing w:val="4"/>
        </w:rPr>
        <w:t> </w:t>
      </w:r>
      <w:r>
        <w:rPr/>
        <w:t>likely</w:t>
      </w:r>
    </w:p>
    <w:p>
      <w:pPr>
        <w:pStyle w:val="BodyText"/>
        <w:spacing w:after="0"/>
        <w:sectPr>
          <w:pgSz w:w="11900" w:h="16840"/>
          <w:pgMar w:header="971" w:footer="0" w:top="1160" w:bottom="280" w:left="1275" w:right="1275"/>
        </w:sectPr>
      </w:pPr>
    </w:p>
    <w:p>
      <w:pPr>
        <w:pStyle w:val="BodyText"/>
        <w:spacing w:before="24"/>
      </w:pPr>
    </w:p>
    <w:p>
      <w:pPr>
        <w:pStyle w:val="BodyText"/>
        <w:spacing w:line="235" w:lineRule="auto" w:before="1"/>
        <w:ind w:left="165" w:right="168"/>
        <w:jc w:val="both"/>
      </w:pPr>
      <w:bookmarkStart w:name="_bookmark346" w:id="348"/>
      <w:bookmarkEnd w:id="348"/>
      <w:r>
        <w:rPr/>
      </w:r>
      <w:r>
        <w:rPr/>
        <w:t>to induce the contract, and that the representee entered the contract, it is a fair inference of </w:t>
      </w:r>
      <w:r>
        <w:rPr/>
        <w:t>fact </w:t>
      </w:r>
      <w:bookmarkStart w:name="_bookmark347" w:id="349"/>
      <w:bookmarkEnd w:id="349"/>
      <w:r>
        <w:rPr/>
        <w:t>(though</w:t>
      </w:r>
      <w:r>
        <w:rPr>
          <w:spacing w:val="27"/>
        </w:rPr>
        <w:t> </w:t>
      </w:r>
      <w:r>
        <w:rPr/>
        <w:t>not</w:t>
      </w:r>
      <w:r>
        <w:rPr>
          <w:spacing w:val="28"/>
        </w:rPr>
        <w:t> </w:t>
      </w:r>
      <w:r>
        <w:rPr/>
        <w:t>an</w:t>
      </w:r>
      <w:r>
        <w:rPr>
          <w:spacing w:val="28"/>
        </w:rPr>
        <w:t> </w:t>
      </w:r>
      <w:r>
        <w:rPr/>
        <w:t>inference</w:t>
      </w:r>
      <w:r>
        <w:rPr>
          <w:spacing w:val="28"/>
        </w:rPr>
        <w:t> </w:t>
      </w:r>
      <w:r>
        <w:rPr/>
        <w:t>of</w:t>
      </w:r>
      <w:r>
        <w:rPr>
          <w:spacing w:val="28"/>
        </w:rPr>
        <w:t> </w:t>
      </w:r>
      <w:r>
        <w:rPr/>
        <w:t>law)</w:t>
      </w:r>
      <w:r>
        <w:rPr>
          <w:spacing w:val="28"/>
        </w:rPr>
        <w:t> </w:t>
      </w:r>
      <w:r>
        <w:rPr/>
        <w:t>that</w:t>
      </w:r>
      <w:r>
        <w:rPr>
          <w:spacing w:val="28"/>
        </w:rPr>
        <w:t> </w:t>
      </w:r>
      <w:r>
        <w:rPr/>
        <w:t>he</w:t>
      </w:r>
      <w:r>
        <w:rPr>
          <w:spacing w:val="28"/>
        </w:rPr>
        <w:t> </w:t>
      </w:r>
      <w:r>
        <w:rPr/>
        <w:t>was</w:t>
      </w:r>
      <w:r>
        <w:rPr>
          <w:spacing w:val="28"/>
        </w:rPr>
        <w:t> </w:t>
      </w:r>
      <w:r>
        <w:rPr/>
        <w:t>influenced</w:t>
      </w:r>
      <w:r>
        <w:rPr>
          <w:spacing w:val="28"/>
        </w:rPr>
        <w:t> </w:t>
      </w:r>
      <w:r>
        <w:rPr/>
        <w:t>by</w:t>
      </w:r>
      <w:r>
        <w:rPr>
          <w:spacing w:val="28"/>
        </w:rPr>
        <w:t> </w:t>
      </w:r>
      <w:r>
        <w:rPr/>
        <w:t>the</w:t>
      </w:r>
      <w:r>
        <w:rPr>
          <w:spacing w:val="28"/>
        </w:rPr>
        <w:t> </w:t>
      </w:r>
      <w:r>
        <w:rPr/>
        <w:t>statement,</w:t>
      </w:r>
      <w:r>
        <w:rPr>
          <w:spacing w:val="27"/>
        </w:rPr>
        <w:t> </w:t>
      </w:r>
      <w:r>
        <w:rPr>
          <w:color w:val="005DA1"/>
          <w:u w:val="single" w:color="005DA1"/>
          <w:vertAlign w:val="superscript"/>
        </w:rPr>
        <w:t>215</w:t>
      </w:r>
      <w:r>
        <w:rPr>
          <w:color w:val="005DA1"/>
          <w:spacing w:val="28"/>
          <w:vertAlign w:val="baseline"/>
        </w:rPr>
        <w:t> </w:t>
      </w:r>
      <w:r>
        <w:rPr>
          <w:vertAlign w:val="baseline"/>
        </w:rPr>
        <w:t>and</w:t>
      </w:r>
      <w:r>
        <w:rPr>
          <w:spacing w:val="28"/>
          <w:vertAlign w:val="baseline"/>
        </w:rPr>
        <w:t> </w:t>
      </w:r>
      <w:r>
        <w:rPr>
          <w:vertAlign w:val="baseline"/>
        </w:rPr>
        <w:t>the</w:t>
      </w:r>
      <w:r>
        <w:rPr>
          <w:spacing w:val="28"/>
          <w:vertAlign w:val="baseline"/>
        </w:rPr>
        <w:t> </w:t>
      </w:r>
      <w:r>
        <w:rPr>
          <w:vertAlign w:val="baseline"/>
        </w:rPr>
        <w:t>inference</w:t>
      </w:r>
      <w:r>
        <w:rPr>
          <w:spacing w:val="28"/>
          <w:vertAlign w:val="baseline"/>
        </w:rPr>
        <w:t> </w:t>
      </w:r>
      <w:r>
        <w:rPr>
          <w:spacing w:val="-5"/>
          <w:vertAlign w:val="baseline"/>
        </w:rPr>
        <w:t>is</w:t>
      </w:r>
    </w:p>
    <w:p>
      <w:pPr>
        <w:pStyle w:val="BodyText"/>
        <w:spacing w:line="235" w:lineRule="auto" w:before="119"/>
        <w:ind w:left="165" w:right="167"/>
        <w:jc w:val="both"/>
      </w:pPr>
      <w:r>
        <w:rPr/>
        <w:t>particularly strong where the misrepresentation was fraudulent. </w:t>
      </w:r>
      <w:r>
        <w:rPr>
          <w:color w:val="005DA1"/>
          <w:u w:val="single" w:color="005DA1"/>
          <w:vertAlign w:val="superscript"/>
        </w:rPr>
        <w:t>216</w:t>
      </w:r>
      <w:r>
        <w:rPr>
          <w:color w:val="005DA1"/>
          <w:spacing w:val="80"/>
          <w:vertAlign w:val="baseline"/>
        </w:rPr>
        <w:t> </w:t>
      </w:r>
      <w:r>
        <w:rPr>
          <w:color w:val="005DA1"/>
          <w:spacing w:val="-16"/>
          <w:position w:val="-2"/>
          <w:vertAlign w:val="baseline"/>
        </w:rPr>
        <w:drawing>
          <wp:inline distT="0" distB="0" distL="0" distR="0">
            <wp:extent cx="107988" cy="107988"/>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color w:val="005DA1"/>
          <w:spacing w:val="30"/>
          <w:vertAlign w:val="baseline"/>
        </w:rPr>
        <w:t> </w:t>
      </w:r>
      <w:r>
        <w:rPr>
          <w:vertAlign w:val="baseline"/>
        </w:rPr>
        <w:t>There is no set list of </w:t>
      </w:r>
      <w:r>
        <w:rPr>
          <w:vertAlign w:val="baseline"/>
        </w:rPr>
        <w:t>matters that might rebut the presumption which arises from a fraudulent statement. One is to show that the </w:t>
      </w:r>
      <w:bookmarkStart w:name="_bookmark348" w:id="350"/>
      <w:bookmarkEnd w:id="350"/>
      <w:r>
        <w:rPr>
          <w:vertAlign w:val="baseline"/>
        </w:rPr>
        <w:t>misrepresentee</w:t>
      </w:r>
      <w:r>
        <w:rPr>
          <w:spacing w:val="-1"/>
          <w:vertAlign w:val="baseline"/>
        </w:rPr>
        <w:t> </w:t>
      </w:r>
      <w:r>
        <w:rPr>
          <w:vertAlign w:val="baseline"/>
        </w:rPr>
        <w:t>had</w:t>
      </w:r>
      <w:r>
        <w:rPr>
          <w:spacing w:val="-1"/>
          <w:vertAlign w:val="baseline"/>
        </w:rPr>
        <w:t> </w:t>
      </w:r>
      <w:r>
        <w:rPr>
          <w:vertAlign w:val="baseline"/>
        </w:rPr>
        <w:t>already</w:t>
      </w:r>
      <w:r>
        <w:rPr>
          <w:spacing w:val="-1"/>
          <w:vertAlign w:val="baseline"/>
        </w:rPr>
        <w:t> </w:t>
      </w:r>
      <w:r>
        <w:rPr>
          <w:vertAlign w:val="baseline"/>
        </w:rPr>
        <w:t>firmly</w:t>
      </w:r>
      <w:r>
        <w:rPr>
          <w:spacing w:val="-1"/>
          <w:vertAlign w:val="baseline"/>
        </w:rPr>
        <w:t> </w:t>
      </w:r>
      <w:r>
        <w:rPr>
          <w:vertAlign w:val="baseline"/>
        </w:rPr>
        <w:t>made</w:t>
      </w:r>
      <w:r>
        <w:rPr>
          <w:spacing w:val="-1"/>
          <w:vertAlign w:val="baseline"/>
        </w:rPr>
        <w:t> </w:t>
      </w:r>
      <w:r>
        <w:rPr>
          <w:vertAlign w:val="baseline"/>
        </w:rPr>
        <w:t>up</w:t>
      </w:r>
      <w:r>
        <w:rPr>
          <w:spacing w:val="-1"/>
          <w:vertAlign w:val="baseline"/>
        </w:rPr>
        <w:t> </w:t>
      </w:r>
      <w:r>
        <w:rPr>
          <w:vertAlign w:val="baseline"/>
        </w:rPr>
        <w:t>his</w:t>
      </w:r>
      <w:r>
        <w:rPr>
          <w:spacing w:val="-1"/>
          <w:vertAlign w:val="baseline"/>
        </w:rPr>
        <w:t> </w:t>
      </w:r>
      <w:r>
        <w:rPr>
          <w:vertAlign w:val="baseline"/>
        </w:rPr>
        <w:t>mind,</w:t>
      </w:r>
      <w:r>
        <w:rPr>
          <w:spacing w:val="-1"/>
          <w:vertAlign w:val="baseline"/>
        </w:rPr>
        <w:t> </w:t>
      </w:r>
      <w:r>
        <w:rPr>
          <w:vertAlign w:val="baseline"/>
        </w:rPr>
        <w:t>but</w:t>
      </w:r>
      <w:r>
        <w:rPr>
          <w:spacing w:val="-1"/>
          <w:vertAlign w:val="baseline"/>
        </w:rPr>
        <w:t> </w:t>
      </w:r>
      <w:r>
        <w:rPr>
          <w:vertAlign w:val="baseline"/>
        </w:rPr>
        <w:t>even</w:t>
      </w:r>
      <w:r>
        <w:rPr>
          <w:spacing w:val="-1"/>
          <w:vertAlign w:val="baseline"/>
        </w:rPr>
        <w:t> </w:t>
      </w:r>
      <w:r>
        <w:rPr>
          <w:vertAlign w:val="baseline"/>
        </w:rPr>
        <w:t>then</w:t>
      </w:r>
      <w:r>
        <w:rPr>
          <w:spacing w:val="-1"/>
          <w:vertAlign w:val="baseline"/>
        </w:rPr>
        <w:t> </w:t>
      </w:r>
      <w:r>
        <w:rPr>
          <w:vertAlign w:val="baseline"/>
        </w:rPr>
        <w:t>the</w:t>
      </w:r>
      <w:r>
        <w:rPr>
          <w:spacing w:val="-1"/>
          <w:vertAlign w:val="baseline"/>
        </w:rPr>
        <w:t> </w:t>
      </w:r>
      <w:r>
        <w:rPr>
          <w:vertAlign w:val="baseline"/>
        </w:rPr>
        <w:t>misrepresentation</w:t>
      </w:r>
      <w:r>
        <w:rPr>
          <w:spacing w:val="-1"/>
          <w:vertAlign w:val="baseline"/>
        </w:rPr>
        <w:t> </w:t>
      </w:r>
      <w:r>
        <w:rPr>
          <w:vertAlign w:val="baseline"/>
        </w:rPr>
        <w:t>might</w:t>
      </w:r>
      <w:r>
        <w:rPr>
          <w:spacing w:val="-1"/>
          <w:vertAlign w:val="baseline"/>
        </w:rPr>
        <w:t> </w:t>
      </w:r>
      <w:r>
        <w:rPr>
          <w:vertAlign w:val="baseline"/>
        </w:rPr>
        <w:t>have induced him not to change his mind. </w:t>
      </w:r>
      <w:r>
        <w:rPr>
          <w:color w:val="005DA1"/>
          <w:u w:val="single" w:color="005DA1"/>
          <w:vertAlign w:val="superscript"/>
        </w:rPr>
        <w:t>217</w:t>
      </w:r>
    </w:p>
    <w:p>
      <w:pPr>
        <w:pStyle w:val="BodyText"/>
      </w:pPr>
    </w:p>
    <w:p>
      <w:pPr>
        <w:pStyle w:val="BodyText"/>
        <w:spacing w:before="37"/>
      </w:pPr>
    </w:p>
    <w:p>
      <w:pPr>
        <w:spacing w:before="0"/>
        <w:ind w:left="165" w:right="0" w:firstLine="0"/>
        <w:jc w:val="left"/>
        <w:rPr>
          <w:rFonts w:ascii="Arial"/>
          <w:b/>
          <w:sz w:val="18"/>
        </w:rPr>
      </w:pPr>
      <w:r>
        <w:rPr>
          <w:rFonts w:ascii="Arial"/>
          <w:b/>
          <w:spacing w:val="-2"/>
          <w:sz w:val="18"/>
        </w:rPr>
        <w:t>Materiality</w:t>
      </w:r>
    </w:p>
    <w:p>
      <w:pPr>
        <w:pStyle w:val="BodyText"/>
        <w:spacing w:before="41"/>
        <w:rPr>
          <w:rFonts w:ascii="Arial"/>
          <w:b/>
          <w:sz w:val="18"/>
        </w:rPr>
      </w:pPr>
    </w:p>
    <w:p>
      <w:pPr>
        <w:pStyle w:val="Heading2"/>
      </w:pPr>
      <w:r>
        <w:rPr/>
        <w:t>7-</w:t>
      </w:r>
      <w:r>
        <w:rPr>
          <w:spacing w:val="-5"/>
        </w:rPr>
        <w:t>041</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It is sometimes said that a misrepresentation will not be effective to ground relief in law unless it </w:t>
      </w:r>
      <w:bookmarkStart w:name="_bookmark349" w:id="351"/>
      <w:bookmarkEnd w:id="351"/>
      <w:r>
        <w:rPr/>
        <w:t>was</w:t>
      </w:r>
      <w:r>
        <w:rPr>
          <w:spacing w:val="42"/>
        </w:rPr>
        <w:t> </w:t>
      </w:r>
      <w:r>
        <w:rPr/>
        <w:t>material,</w:t>
      </w:r>
      <w:r>
        <w:rPr>
          <w:spacing w:val="42"/>
        </w:rPr>
        <w:t> </w:t>
      </w:r>
      <w:r>
        <w:rPr/>
        <w:t>in</w:t>
      </w:r>
      <w:r>
        <w:rPr>
          <w:spacing w:val="42"/>
        </w:rPr>
        <w:t> </w:t>
      </w:r>
      <w:r>
        <w:rPr/>
        <w:t>the</w:t>
      </w:r>
      <w:r>
        <w:rPr>
          <w:spacing w:val="42"/>
        </w:rPr>
        <w:t> </w:t>
      </w:r>
      <w:r>
        <w:rPr/>
        <w:t>sense</w:t>
      </w:r>
      <w:r>
        <w:rPr>
          <w:spacing w:val="42"/>
        </w:rPr>
        <w:t> </w:t>
      </w:r>
      <w:r>
        <w:rPr/>
        <w:t>that</w:t>
      </w:r>
      <w:r>
        <w:rPr>
          <w:spacing w:val="42"/>
        </w:rPr>
        <w:t> </w:t>
      </w:r>
      <w:r>
        <w:rPr/>
        <w:t>a</w:t>
      </w:r>
      <w:r>
        <w:rPr>
          <w:spacing w:val="42"/>
        </w:rPr>
        <w:t> </w:t>
      </w:r>
      <w:r>
        <w:rPr/>
        <w:t>reasonable</w:t>
      </w:r>
      <w:r>
        <w:rPr>
          <w:spacing w:val="42"/>
        </w:rPr>
        <w:t> </w:t>
      </w:r>
      <w:r>
        <w:rPr/>
        <w:t>man</w:t>
      </w:r>
      <w:r>
        <w:rPr>
          <w:spacing w:val="42"/>
        </w:rPr>
        <w:t> </w:t>
      </w:r>
      <w:r>
        <w:rPr/>
        <w:t>would</w:t>
      </w:r>
      <w:r>
        <w:rPr>
          <w:spacing w:val="42"/>
        </w:rPr>
        <w:t> </w:t>
      </w:r>
      <w:r>
        <w:rPr/>
        <w:t>have</w:t>
      </w:r>
      <w:r>
        <w:rPr>
          <w:spacing w:val="42"/>
        </w:rPr>
        <w:t> </w:t>
      </w:r>
      <w:r>
        <w:rPr/>
        <w:t>been</w:t>
      </w:r>
      <w:r>
        <w:rPr>
          <w:spacing w:val="42"/>
        </w:rPr>
        <w:t> </w:t>
      </w:r>
      <w:r>
        <w:rPr/>
        <w:t>influenced</w:t>
      </w:r>
      <w:r>
        <w:rPr>
          <w:spacing w:val="42"/>
        </w:rPr>
        <w:t> </w:t>
      </w:r>
      <w:r>
        <w:rPr/>
        <w:t>by</w:t>
      </w:r>
      <w:r>
        <w:rPr>
          <w:spacing w:val="42"/>
        </w:rPr>
        <w:t> </w:t>
      </w:r>
      <w:r>
        <w:rPr/>
        <w:t>it</w:t>
      </w:r>
      <w:r>
        <w:rPr>
          <w:spacing w:val="42"/>
        </w:rPr>
        <w:t> </w:t>
      </w:r>
      <w:r>
        <w:rPr/>
        <w:t>in</w:t>
      </w:r>
      <w:r>
        <w:rPr>
          <w:spacing w:val="42"/>
        </w:rPr>
        <w:t> </w:t>
      </w:r>
      <w:r>
        <w:rPr>
          <w:spacing w:val="-2"/>
        </w:rPr>
        <w:t>deciding</w:t>
      </w:r>
    </w:p>
    <w:p>
      <w:pPr>
        <w:pStyle w:val="BodyText"/>
        <w:spacing w:line="235" w:lineRule="auto" w:before="119"/>
        <w:ind w:left="164" w:right="167"/>
        <w:jc w:val="both"/>
      </w:pPr>
      <w:bookmarkStart w:name="_bookmark350" w:id="352"/>
      <w:bookmarkEnd w:id="352"/>
      <w:r>
        <w:rPr/>
      </w:r>
      <w:r>
        <w:rPr/>
        <w:t>whether to enter into the contract. </w:t>
      </w:r>
      <w:r>
        <w:rPr>
          <w:color w:val="005DA1"/>
          <w:u w:val="single" w:color="005DA1"/>
          <w:vertAlign w:val="superscript"/>
        </w:rPr>
        <w:t>218</w:t>
      </w:r>
      <w:r>
        <w:rPr>
          <w:color w:val="005DA1"/>
          <w:spacing w:val="80"/>
          <w:vertAlign w:val="baseline"/>
        </w:rPr>
        <w:t> </w:t>
      </w:r>
      <w:r>
        <w:rPr>
          <w:color w:val="005DA1"/>
          <w:spacing w:val="-18"/>
          <w:position w:val="-2"/>
          <w:vertAlign w:val="baseline"/>
        </w:rPr>
        <w:drawing>
          <wp:inline distT="0" distB="0" distL="0" distR="0">
            <wp:extent cx="107988" cy="107988"/>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hAnsi="Times New Roman"/>
          <w:color w:val="005DA1"/>
          <w:spacing w:val="32"/>
          <w:vertAlign w:val="baseline"/>
        </w:rPr>
        <w:t> </w:t>
      </w:r>
      <w:r>
        <w:rPr>
          <w:vertAlign w:val="baseline"/>
        </w:rPr>
        <w:t>It is true that courts have sometimes used language </w:t>
      </w:r>
      <w:r>
        <w:rPr>
          <w:vertAlign w:val="baseline"/>
        </w:rPr>
        <w:t>which would support this contention </w:t>
      </w:r>
      <w:r>
        <w:rPr>
          <w:color w:val="005DA1"/>
          <w:u w:val="single" w:color="005DA1"/>
          <w:vertAlign w:val="superscript"/>
        </w:rPr>
        <w:t>219</w:t>
      </w:r>
      <w:r>
        <w:rPr>
          <w:color w:val="005DA1"/>
          <w:vertAlign w:val="baseline"/>
        </w:rPr>
        <w:t> </w:t>
      </w:r>
      <w:r>
        <w:rPr>
          <w:vertAlign w:val="baseline"/>
        </w:rPr>
        <w:t>and it is also true that if the representation is not material in this sense, the representee may have considerable difficulty in satisfying the court that he was in fact </w:t>
      </w:r>
      <w:bookmarkStart w:name="_bookmark351" w:id="353"/>
      <w:bookmarkEnd w:id="353"/>
      <w:r>
        <w:rPr>
          <w:vertAlign w:val="baseline"/>
        </w:rPr>
        <w:t>influenced</w:t>
      </w:r>
      <w:r>
        <w:rPr>
          <w:vertAlign w:val="baseline"/>
        </w:rPr>
        <w:t> by it. There is no clear authority denying relief to a representee who has in fact been </w:t>
      </w:r>
      <w:bookmarkStart w:name="_bookmark352" w:id="354"/>
      <w:bookmarkEnd w:id="354"/>
      <w:r>
        <w:rPr>
          <w:vertAlign w:val="baseline"/>
        </w:rPr>
        <w:t>influenced</w:t>
      </w:r>
      <w:r>
        <w:rPr>
          <w:vertAlign w:val="baseline"/>
        </w:rPr>
        <w:t> by a misrepresentation which would not have influenced a reasonable person, </w:t>
      </w:r>
      <w:r>
        <w:rPr>
          <w:color w:val="005DA1"/>
          <w:u w:val="single" w:color="005DA1"/>
          <w:vertAlign w:val="superscript"/>
        </w:rPr>
        <w:t>220</w:t>
      </w:r>
      <w:r>
        <w:rPr>
          <w:color w:val="005DA1"/>
          <w:vertAlign w:val="baseline"/>
        </w:rPr>
        <w:t> </w:t>
      </w:r>
      <w:r>
        <w:rPr>
          <w:vertAlign w:val="baseline"/>
        </w:rPr>
        <w:t>but this may be one reason why a mere “puff” or sales talk does not ground relief. </w:t>
      </w:r>
      <w:r>
        <w:rPr>
          <w:color w:val="005DA1"/>
          <w:u w:val="single" w:color="005DA1"/>
          <w:vertAlign w:val="superscript"/>
        </w:rPr>
        <w:t>221</w:t>
      </w:r>
      <w:r>
        <w:rPr>
          <w:color w:val="005DA1"/>
          <w:vertAlign w:val="baseline"/>
        </w:rPr>
        <w:t> </w:t>
      </w:r>
      <w:r>
        <w:rPr>
          <w:vertAlign w:val="baseline"/>
        </w:rPr>
        <w:t>It is submitted that a </w:t>
      </w:r>
      <w:bookmarkStart w:name="_bookmark353" w:id="355"/>
      <w:bookmarkEnd w:id="355"/>
      <w:r>
        <w:rPr>
          <w:vertAlign w:val="baseline"/>
        </w:rPr>
        <w:t>remedy</w:t>
      </w:r>
      <w:r>
        <w:rPr>
          <w:vertAlign w:val="baseline"/>
        </w:rPr>
        <w:t> will be given where the representor knows that the representee is likely to act on the </w:t>
      </w:r>
      <w:bookmarkStart w:name="_bookmark354" w:id="356"/>
      <w:bookmarkEnd w:id="356"/>
      <w:r>
        <w:rPr>
          <w:vertAlign w:val="baseline"/>
        </w:rPr>
        <w:t>misrepresentation,</w:t>
      </w:r>
      <w:r>
        <w:rPr>
          <w:vertAlign w:val="baseline"/>
        </w:rPr>
        <w:t> </w:t>
      </w:r>
      <w:r>
        <w:rPr>
          <w:color w:val="005DA1"/>
          <w:u w:val="single" w:color="005DA1"/>
          <w:vertAlign w:val="superscript"/>
        </w:rPr>
        <w:t>222</w:t>
      </w:r>
      <w:r>
        <w:rPr>
          <w:color w:val="005DA1"/>
          <w:vertAlign w:val="baseline"/>
        </w:rPr>
        <w:t> </w:t>
      </w:r>
      <w:r>
        <w:rPr>
          <w:vertAlign w:val="baseline"/>
        </w:rPr>
        <w:t>or ought to know that the misrepresentee, not unreasonably, is likely to do</w:t>
      </w:r>
      <w:r>
        <w:rPr>
          <w:spacing w:val="80"/>
          <w:w w:val="150"/>
          <w:vertAlign w:val="baseline"/>
        </w:rPr>
        <w:t> </w:t>
      </w:r>
      <w:r>
        <w:rPr>
          <w:vertAlign w:val="baseline"/>
        </w:rPr>
        <w:t>so—in other words, when the representee was entitled to rely on it. </w:t>
      </w:r>
      <w:r>
        <w:rPr>
          <w:color w:val="005DA1"/>
          <w:u w:val="single" w:color="005DA1"/>
          <w:vertAlign w:val="superscript"/>
        </w:rPr>
        <w:t>223</w:t>
      </w:r>
      <w:r>
        <w:rPr>
          <w:color w:val="005DA1"/>
          <w:vertAlign w:val="baseline"/>
        </w:rPr>
        <w:t> </w:t>
      </w:r>
      <w:r>
        <w:rPr>
          <w:vertAlign w:val="baseline"/>
        </w:rPr>
        <w:t>In contrast, save in cases of fraud, if the representor has no reason to know that the representee regards as relevant some fact which the reasonable person would think was immaterial, there will be no remedy for </w:t>
      </w:r>
      <w:r>
        <w:rPr>
          <w:spacing w:val="-2"/>
          <w:vertAlign w:val="baseline"/>
        </w:rPr>
        <w:t>misrepresentation:</w:t>
      </w:r>
    </w:p>
    <w:p>
      <w:pPr>
        <w:pStyle w:val="BodyText"/>
      </w:pPr>
    </w:p>
    <w:p>
      <w:pPr>
        <w:pStyle w:val="BodyText"/>
        <w:spacing w:before="122"/>
      </w:pPr>
    </w:p>
    <w:p>
      <w:pPr>
        <w:pStyle w:val="BodyText"/>
        <w:spacing w:line="235" w:lineRule="auto"/>
        <w:ind w:left="1245" w:right="167"/>
        <w:jc w:val="both"/>
      </w:pPr>
      <w:r>
        <w:rPr/>
        <w:t>“… whether there is a representation and what its nature is must be judged objectively according to the impact that whatever is said may be expected to have on a reasonable </w:t>
      </w:r>
      <w:bookmarkStart w:name="_bookmark355" w:id="357"/>
      <w:bookmarkEnd w:id="357"/>
      <w:r>
        <w:rPr/>
        <w:t>representee</w:t>
      </w:r>
      <w:r>
        <w:rPr>
          <w:spacing w:val="17"/>
        </w:rPr>
        <w:t> </w:t>
      </w:r>
      <w:r>
        <w:rPr/>
        <w:t>in</w:t>
      </w:r>
      <w:r>
        <w:rPr>
          <w:spacing w:val="17"/>
        </w:rPr>
        <w:t> </w:t>
      </w:r>
      <w:r>
        <w:rPr/>
        <w:t>the</w:t>
      </w:r>
      <w:r>
        <w:rPr>
          <w:spacing w:val="17"/>
        </w:rPr>
        <w:t> </w:t>
      </w:r>
      <w:r>
        <w:rPr/>
        <w:t>position</w:t>
      </w:r>
      <w:r>
        <w:rPr>
          <w:spacing w:val="17"/>
        </w:rPr>
        <w:t> </w:t>
      </w:r>
      <w:r>
        <w:rPr/>
        <w:t>and</w:t>
      </w:r>
      <w:r>
        <w:rPr>
          <w:spacing w:val="17"/>
        </w:rPr>
        <w:t> </w:t>
      </w:r>
      <w:r>
        <w:rPr/>
        <w:t>with</w:t>
      </w:r>
      <w:r>
        <w:rPr>
          <w:spacing w:val="17"/>
        </w:rPr>
        <w:t> </w:t>
      </w:r>
      <w:r>
        <w:rPr/>
        <w:t>the</w:t>
      </w:r>
      <w:r>
        <w:rPr>
          <w:spacing w:val="17"/>
        </w:rPr>
        <w:t> </w:t>
      </w:r>
      <w:r>
        <w:rPr/>
        <w:t>known</w:t>
      </w:r>
      <w:r>
        <w:rPr>
          <w:spacing w:val="17"/>
        </w:rPr>
        <w:t> </w:t>
      </w:r>
      <w:r>
        <w:rPr/>
        <w:t>characteristics</w:t>
      </w:r>
      <w:r>
        <w:rPr>
          <w:spacing w:val="17"/>
        </w:rPr>
        <w:t> </w:t>
      </w:r>
      <w:r>
        <w:rPr/>
        <w:t>of</w:t>
      </w:r>
      <w:r>
        <w:rPr>
          <w:spacing w:val="17"/>
        </w:rPr>
        <w:t> </w:t>
      </w:r>
      <w:r>
        <w:rPr/>
        <w:t>the</w:t>
      </w:r>
      <w:r>
        <w:rPr>
          <w:spacing w:val="17"/>
        </w:rPr>
        <w:t> </w:t>
      </w:r>
      <w:r>
        <w:rPr/>
        <w:t>actual</w:t>
      </w:r>
      <w:r>
        <w:rPr>
          <w:spacing w:val="17"/>
        </w:rPr>
        <w:t> </w:t>
      </w:r>
      <w:r>
        <w:rPr>
          <w:spacing w:val="-2"/>
        </w:rPr>
        <w:t>representee</w:t>
      </w:r>
    </w:p>
    <w:p>
      <w:pPr>
        <w:pStyle w:val="BodyText"/>
        <w:spacing w:line="212" w:lineRule="exact"/>
        <w:ind w:left="1245"/>
        <w:jc w:val="both"/>
      </w:pPr>
      <w:r>
        <w:rPr/>
        <w:t>…</w:t>
      </w:r>
      <w:r>
        <w:rPr>
          <w:spacing w:val="6"/>
        </w:rPr>
        <w:t> </w:t>
      </w:r>
      <w:r>
        <w:rPr/>
        <w:t>The</w:t>
      </w:r>
      <w:r>
        <w:rPr>
          <w:spacing w:val="6"/>
        </w:rPr>
        <w:t> </w:t>
      </w:r>
      <w:r>
        <w:rPr/>
        <w:t>position</w:t>
      </w:r>
      <w:r>
        <w:rPr>
          <w:spacing w:val="6"/>
        </w:rPr>
        <w:t> </w:t>
      </w:r>
      <w:r>
        <w:rPr/>
        <w:t>in</w:t>
      </w:r>
      <w:r>
        <w:rPr>
          <w:spacing w:val="6"/>
        </w:rPr>
        <w:t> </w:t>
      </w:r>
      <w:r>
        <w:rPr/>
        <w:t>the</w:t>
      </w:r>
      <w:r>
        <w:rPr>
          <w:spacing w:val="6"/>
        </w:rPr>
        <w:t> </w:t>
      </w:r>
      <w:r>
        <w:rPr/>
        <w:t>case</w:t>
      </w:r>
      <w:r>
        <w:rPr>
          <w:spacing w:val="6"/>
        </w:rPr>
        <w:t> </w:t>
      </w:r>
      <w:r>
        <w:rPr/>
        <w:t>of</w:t>
      </w:r>
      <w:r>
        <w:rPr>
          <w:spacing w:val="6"/>
        </w:rPr>
        <w:t> </w:t>
      </w:r>
      <w:r>
        <w:rPr/>
        <w:t>a</w:t>
      </w:r>
      <w:r>
        <w:rPr>
          <w:spacing w:val="6"/>
        </w:rPr>
        <w:t> </w:t>
      </w:r>
      <w:r>
        <w:rPr/>
        <w:t>fraudulent</w:t>
      </w:r>
      <w:r>
        <w:rPr>
          <w:spacing w:val="6"/>
        </w:rPr>
        <w:t> </w:t>
      </w:r>
      <w:r>
        <w:rPr/>
        <w:t>misrepresentation</w:t>
      </w:r>
      <w:r>
        <w:rPr>
          <w:spacing w:val="6"/>
        </w:rPr>
        <w:t> </w:t>
      </w:r>
      <w:r>
        <w:rPr/>
        <w:t>may</w:t>
      </w:r>
      <w:r>
        <w:rPr>
          <w:spacing w:val="6"/>
        </w:rPr>
        <w:t> </w:t>
      </w:r>
      <w:r>
        <w:rPr/>
        <w:t>of</w:t>
      </w:r>
      <w:r>
        <w:rPr>
          <w:spacing w:val="6"/>
        </w:rPr>
        <w:t> </w:t>
      </w:r>
      <w:r>
        <w:rPr/>
        <w:t>course</w:t>
      </w:r>
      <w:r>
        <w:rPr>
          <w:spacing w:val="6"/>
        </w:rPr>
        <w:t> </w:t>
      </w:r>
      <w:r>
        <w:rPr/>
        <w:t>be</w:t>
      </w:r>
      <w:r>
        <w:rPr>
          <w:spacing w:val="6"/>
        </w:rPr>
        <w:t> </w:t>
      </w:r>
      <w:r>
        <w:rPr>
          <w:spacing w:val="-2"/>
        </w:rPr>
        <w:t>different.”</w:t>
      </w:r>
    </w:p>
    <w:p>
      <w:pPr>
        <w:spacing w:line="125" w:lineRule="exact" w:before="0"/>
        <w:ind w:left="1245" w:right="0" w:firstLine="0"/>
        <w:jc w:val="left"/>
        <w:rPr>
          <w:sz w:val="12"/>
        </w:rPr>
      </w:pPr>
      <w:r>
        <w:rPr>
          <w:color w:val="005DA1"/>
          <w:spacing w:val="-5"/>
          <w:sz w:val="12"/>
          <w:u w:val="single" w:color="005DA1"/>
        </w:rPr>
        <w:t>224</w:t>
      </w:r>
    </w:p>
    <w:p>
      <w:pPr>
        <w:pStyle w:val="BodyText"/>
        <w:rPr>
          <w:sz w:val="12"/>
        </w:rPr>
      </w:pPr>
    </w:p>
    <w:p>
      <w:pPr>
        <w:pStyle w:val="BodyText"/>
        <w:rPr>
          <w:sz w:val="12"/>
        </w:rPr>
      </w:pPr>
    </w:p>
    <w:p>
      <w:pPr>
        <w:pStyle w:val="BodyText"/>
        <w:spacing w:before="45"/>
        <w:rPr>
          <w:sz w:val="12"/>
        </w:rPr>
      </w:pPr>
    </w:p>
    <w:p>
      <w:pPr>
        <w:pStyle w:val="BodyText"/>
        <w:spacing w:line="235" w:lineRule="auto"/>
        <w:ind w:left="165" w:right="167"/>
        <w:jc w:val="both"/>
      </w:pPr>
      <w:bookmarkStart w:name="_bookmark356" w:id="358"/>
      <w:bookmarkEnd w:id="358"/>
      <w:r>
        <w:rPr/>
      </w:r>
      <w:r>
        <w:rPr/>
        <w:t>In cases of fraud, the representor is not permitted to argue that it was unforeseeable that the representee would be influenced by the lie. </w:t>
      </w:r>
      <w:r>
        <w:rPr>
          <w:color w:val="005DA1"/>
          <w:u w:val="single" w:color="005DA1"/>
          <w:vertAlign w:val="superscript"/>
        </w:rPr>
        <w:t>225</w:t>
      </w:r>
    </w:p>
    <w:p>
      <w:pPr>
        <w:pStyle w:val="BodyText"/>
      </w:pPr>
    </w:p>
    <w:p>
      <w:pPr>
        <w:pStyle w:val="BodyText"/>
        <w:spacing w:before="37"/>
      </w:pPr>
    </w:p>
    <w:p>
      <w:pPr>
        <w:spacing w:before="1"/>
        <w:ind w:left="165" w:right="0" w:firstLine="0"/>
        <w:jc w:val="both"/>
        <w:rPr>
          <w:rFonts w:ascii="Arial"/>
          <w:b/>
          <w:sz w:val="18"/>
        </w:rPr>
      </w:pPr>
      <w:r>
        <w:rPr>
          <w:rFonts w:ascii="Arial"/>
          <w:b/>
          <w:sz w:val="18"/>
        </w:rPr>
        <w:t>Unforeseeable </w:t>
      </w:r>
      <w:r>
        <w:rPr>
          <w:rFonts w:ascii="Arial"/>
          <w:b/>
          <w:spacing w:val="-2"/>
          <w:sz w:val="18"/>
        </w:rPr>
        <w:t>reliance</w:t>
      </w:r>
    </w:p>
    <w:p>
      <w:pPr>
        <w:pStyle w:val="BodyText"/>
        <w:spacing w:before="41"/>
        <w:rPr>
          <w:rFonts w:ascii="Arial"/>
          <w:b/>
          <w:sz w:val="18"/>
        </w:rPr>
      </w:pPr>
    </w:p>
    <w:p>
      <w:pPr>
        <w:pStyle w:val="Heading2"/>
      </w:pPr>
      <w:r>
        <w:rPr/>
        <w:t>7-</w:t>
      </w:r>
      <w:r>
        <w:rPr>
          <w:spacing w:val="-5"/>
        </w:rPr>
        <w:t>042</w:t>
      </w:r>
    </w:p>
    <w:p>
      <w:pPr>
        <w:pStyle w:val="BodyText"/>
        <w:spacing w:before="9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w:t>
      </w:r>
      <w:r>
        <w:rPr>
          <w:spacing w:val="-2"/>
        </w:rPr>
        <w:t> </w:t>
      </w:r>
      <w:r>
        <w:rPr/>
        <w:t>question</w:t>
      </w:r>
      <w:r>
        <w:rPr>
          <w:spacing w:val="-2"/>
        </w:rPr>
        <w:t> </w:t>
      </w:r>
      <w:r>
        <w:rPr/>
        <w:t>may</w:t>
      </w:r>
      <w:r>
        <w:rPr>
          <w:spacing w:val="-2"/>
        </w:rPr>
        <w:t> </w:t>
      </w:r>
      <w:r>
        <w:rPr/>
        <w:t>arise</w:t>
      </w:r>
      <w:r>
        <w:rPr>
          <w:spacing w:val="-2"/>
        </w:rPr>
        <w:t> </w:t>
      </w:r>
      <w:r>
        <w:rPr/>
        <w:t>whether</w:t>
      </w:r>
      <w:r>
        <w:rPr>
          <w:spacing w:val="-2"/>
        </w:rPr>
        <w:t> </w:t>
      </w:r>
      <w:r>
        <w:rPr/>
        <w:t>relief</w:t>
      </w:r>
      <w:r>
        <w:rPr>
          <w:spacing w:val="-2"/>
        </w:rPr>
        <w:t> </w:t>
      </w:r>
      <w:r>
        <w:rPr/>
        <w:t>may</w:t>
      </w:r>
      <w:r>
        <w:rPr>
          <w:spacing w:val="-2"/>
        </w:rPr>
        <w:t> </w:t>
      </w:r>
      <w:r>
        <w:rPr/>
        <w:t>be</w:t>
      </w:r>
      <w:r>
        <w:rPr>
          <w:spacing w:val="-2"/>
        </w:rPr>
        <w:t> </w:t>
      </w:r>
      <w:r>
        <w:rPr/>
        <w:t>given</w:t>
      </w:r>
      <w:r>
        <w:rPr>
          <w:spacing w:val="-2"/>
        </w:rPr>
        <w:t> </w:t>
      </w:r>
      <w:r>
        <w:rPr/>
        <w:t>when</w:t>
      </w:r>
      <w:r>
        <w:rPr>
          <w:spacing w:val="-2"/>
        </w:rPr>
        <w:t> </w:t>
      </w:r>
      <w:r>
        <w:rPr/>
        <w:t>the</w:t>
      </w:r>
      <w:r>
        <w:rPr>
          <w:spacing w:val="-2"/>
        </w:rPr>
        <w:t> </w:t>
      </w:r>
      <w:r>
        <w:rPr/>
        <w:t>in</w:t>
      </w:r>
      <w:r>
        <w:rPr>
          <w:spacing w:val="-2"/>
        </w:rPr>
        <w:t> </w:t>
      </w:r>
      <w:r>
        <w:rPr/>
        <w:t>the</w:t>
      </w:r>
      <w:r>
        <w:rPr>
          <w:spacing w:val="-2"/>
        </w:rPr>
        <w:t> </w:t>
      </w:r>
      <w:r>
        <w:rPr/>
        <w:t>circumstances</w:t>
      </w:r>
      <w:r>
        <w:rPr>
          <w:spacing w:val="-2"/>
        </w:rPr>
        <w:t> </w:t>
      </w:r>
      <w:r>
        <w:rPr/>
        <w:t>the</w:t>
      </w:r>
      <w:r>
        <w:rPr>
          <w:spacing w:val="-2"/>
        </w:rPr>
        <w:t> </w:t>
      </w:r>
      <w:r>
        <w:rPr/>
        <w:t>representee was unlikely to act on the representation, even though it was a statement that was material in the sense that objectively speaking it was relevant: in other words, a question of whether reliance has to </w:t>
      </w:r>
      <w:bookmarkStart w:name="_bookmark357" w:id="359"/>
      <w:bookmarkEnd w:id="359"/>
      <w:r>
        <w:rPr/>
        <w:t>be</w:t>
      </w:r>
      <w:r>
        <w:rPr>
          <w:spacing w:val="23"/>
        </w:rPr>
        <w:t> </w:t>
      </w:r>
      <w:r>
        <w:rPr/>
        <w:t>reasonable</w:t>
      </w:r>
      <w:r>
        <w:rPr>
          <w:spacing w:val="23"/>
        </w:rPr>
        <w:t> </w:t>
      </w:r>
      <w:r>
        <w:rPr/>
        <w:t>or</w:t>
      </w:r>
      <w:r>
        <w:rPr>
          <w:spacing w:val="23"/>
        </w:rPr>
        <w:t> </w:t>
      </w:r>
      <w:r>
        <w:rPr/>
        <w:t>at</w:t>
      </w:r>
      <w:r>
        <w:rPr>
          <w:spacing w:val="23"/>
        </w:rPr>
        <w:t> </w:t>
      </w:r>
      <w:r>
        <w:rPr/>
        <w:t>least</w:t>
      </w:r>
      <w:r>
        <w:rPr>
          <w:spacing w:val="23"/>
        </w:rPr>
        <w:t> </w:t>
      </w:r>
      <w:r>
        <w:rPr/>
        <w:t>foreseeable.</w:t>
      </w:r>
      <w:r>
        <w:rPr>
          <w:spacing w:val="23"/>
        </w:rPr>
        <w:t> </w:t>
      </w:r>
      <w:r>
        <w:rPr/>
        <w:t>This,</w:t>
      </w:r>
      <w:r>
        <w:rPr>
          <w:spacing w:val="23"/>
        </w:rPr>
        <w:t> </w:t>
      </w:r>
      <w:r>
        <w:rPr/>
        <w:t>it</w:t>
      </w:r>
      <w:r>
        <w:rPr>
          <w:spacing w:val="23"/>
        </w:rPr>
        <w:t> </w:t>
      </w:r>
      <w:r>
        <w:rPr/>
        <w:t>is</w:t>
      </w:r>
      <w:r>
        <w:rPr>
          <w:spacing w:val="23"/>
        </w:rPr>
        <w:t> </w:t>
      </w:r>
      <w:r>
        <w:rPr/>
        <w:t>respectfully</w:t>
      </w:r>
      <w:r>
        <w:rPr>
          <w:spacing w:val="23"/>
        </w:rPr>
        <w:t> </w:t>
      </w:r>
      <w:r>
        <w:rPr/>
        <w:t>submitted,</w:t>
      </w:r>
      <w:r>
        <w:rPr>
          <w:spacing w:val="23"/>
        </w:rPr>
        <w:t> </w:t>
      </w:r>
      <w:r>
        <w:rPr/>
        <w:t>is</w:t>
      </w:r>
      <w:r>
        <w:rPr>
          <w:spacing w:val="23"/>
        </w:rPr>
        <w:t> </w:t>
      </w:r>
      <w:r>
        <w:rPr/>
        <w:t>a</w:t>
      </w:r>
      <w:r>
        <w:rPr>
          <w:spacing w:val="23"/>
        </w:rPr>
        <w:t> </w:t>
      </w:r>
      <w:r>
        <w:rPr/>
        <w:t>different</w:t>
      </w:r>
      <w:r>
        <w:rPr>
          <w:spacing w:val="23"/>
        </w:rPr>
        <w:t> </w:t>
      </w:r>
      <w:r>
        <w:rPr/>
        <w:t>question</w:t>
      </w:r>
      <w:r>
        <w:rPr>
          <w:spacing w:val="23"/>
        </w:rPr>
        <w:t> </w:t>
      </w:r>
      <w:r>
        <w:rPr>
          <w:spacing w:val="-4"/>
        </w:rPr>
        <w:t>from</w:t>
      </w:r>
    </w:p>
    <w:p>
      <w:pPr>
        <w:pStyle w:val="BodyText"/>
        <w:spacing w:line="235" w:lineRule="auto" w:before="118"/>
        <w:ind w:left="165" w:right="166"/>
        <w:jc w:val="both"/>
      </w:pPr>
      <w:r>
        <w:rPr/>
        <w:t>whether the statement is material. </w:t>
      </w:r>
      <w:r>
        <w:rPr>
          <w:color w:val="005DA1"/>
          <w:u w:val="single" w:color="005DA1"/>
          <w:vertAlign w:val="superscript"/>
        </w:rPr>
        <w:t>226</w:t>
      </w:r>
      <w:r>
        <w:rPr>
          <w:color w:val="005DA1"/>
          <w:spacing w:val="80"/>
          <w:vertAlign w:val="baseline"/>
        </w:rPr>
        <w:t> </w:t>
      </w:r>
      <w:r>
        <w:rPr>
          <w:color w:val="005DA1"/>
          <w:spacing w:val="-2"/>
          <w:position w:val="-2"/>
          <w:vertAlign w:val="baseline"/>
        </w:rPr>
        <w:drawing>
          <wp:inline distT="0" distB="0" distL="0" distR="0">
            <wp:extent cx="107988" cy="107988"/>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color w:val="005DA1"/>
          <w:spacing w:val="-2"/>
          <w:vertAlign w:val="baseline"/>
        </w:rPr>
        <w:t> </w:t>
      </w:r>
      <w:r>
        <w:rPr>
          <w:vertAlign w:val="baseline"/>
        </w:rPr>
        <w:t>A person who has entered a contract as a result of a fraudulent misrepresentation may be entitled to rescind even though one would not have expected a </w:t>
      </w:r>
      <w:bookmarkStart w:name="_bookmark358" w:id="360"/>
      <w:bookmarkEnd w:id="360"/>
      <w:r>
        <w:rPr>
          <w:vertAlign w:val="baseline"/>
        </w:rPr>
        <w:t>reasonable</w:t>
      </w:r>
      <w:r>
        <w:rPr>
          <w:vertAlign w:val="baseline"/>
        </w:rPr>
        <w:t> person to enter the contract at that stage because, for example, he has not yet secured finance for the transaction </w:t>
      </w:r>
      <w:r>
        <w:rPr>
          <w:color w:val="005DA1"/>
          <w:u w:val="single" w:color="005DA1"/>
          <w:vertAlign w:val="superscript"/>
        </w:rPr>
        <w:t>227</w:t>
      </w:r>
      <w:r>
        <w:rPr>
          <w:color w:val="005DA1"/>
          <w:vertAlign w:val="baseline"/>
        </w:rPr>
        <w:t> </w:t>
      </w:r>
      <w:r>
        <w:rPr>
          <w:vertAlign w:val="baseline"/>
        </w:rPr>
        <w:t>or because he was expected to take the opportunity to check the </w:t>
      </w:r>
      <w:r>
        <w:rPr>
          <w:vertAlign w:val="baseline"/>
        </w:rPr>
        <w:t>facts for himself. It is not clear whether the same would apply if the party unforeseeably entered into a transaction as the result of an innocent or negligent misrepresentation, rather than a fraudulent one which was intended to induce the other to act quickly. It depends to some extent on the cases to be discussed in the next paragraph. We will see that the misrepresentee may be permitted to rescind even though he passed up an opportunity to discover the truth for himself, but it is not quite clear whether</w:t>
      </w:r>
      <w:r>
        <w:rPr>
          <w:spacing w:val="-2"/>
          <w:vertAlign w:val="baseline"/>
        </w:rPr>
        <w:t> </w:t>
      </w:r>
      <w:r>
        <w:rPr>
          <w:vertAlign w:val="baseline"/>
        </w:rPr>
        <w:t>that</w:t>
      </w:r>
      <w:r>
        <w:rPr>
          <w:spacing w:val="-2"/>
          <w:vertAlign w:val="baseline"/>
        </w:rPr>
        <w:t> </w:t>
      </w:r>
      <w:r>
        <w:rPr>
          <w:vertAlign w:val="baseline"/>
        </w:rPr>
        <w:t>applies</w:t>
      </w:r>
      <w:r>
        <w:rPr>
          <w:spacing w:val="-2"/>
          <w:vertAlign w:val="baseline"/>
        </w:rPr>
        <w:t> </w:t>
      </w:r>
      <w:r>
        <w:rPr>
          <w:vertAlign w:val="baseline"/>
        </w:rPr>
        <w:t>if</w:t>
      </w:r>
      <w:r>
        <w:rPr>
          <w:spacing w:val="-2"/>
          <w:vertAlign w:val="baseline"/>
        </w:rPr>
        <w:t> </w:t>
      </w:r>
      <w:r>
        <w:rPr>
          <w:vertAlign w:val="baseline"/>
        </w:rPr>
        <w:t>it</w:t>
      </w:r>
      <w:r>
        <w:rPr>
          <w:spacing w:val="-2"/>
          <w:vertAlign w:val="baseline"/>
        </w:rPr>
        <w:t> </w:t>
      </w:r>
      <w:r>
        <w:rPr>
          <w:vertAlign w:val="baseline"/>
        </w:rPr>
        <w:t>was</w:t>
      </w:r>
      <w:r>
        <w:rPr>
          <w:spacing w:val="-2"/>
          <w:vertAlign w:val="baseline"/>
        </w:rPr>
        <w:t> </w:t>
      </w:r>
      <w:r>
        <w:rPr>
          <w:vertAlign w:val="baseline"/>
        </w:rPr>
        <w:t>unforeseeable</w:t>
      </w:r>
      <w:r>
        <w:rPr>
          <w:spacing w:val="-2"/>
          <w:vertAlign w:val="baseline"/>
        </w:rPr>
        <w:t> </w:t>
      </w:r>
      <w:r>
        <w:rPr>
          <w:vertAlign w:val="baseline"/>
        </w:rPr>
        <w:t>(as</w:t>
      </w:r>
      <w:r>
        <w:rPr>
          <w:spacing w:val="-2"/>
          <w:vertAlign w:val="baseline"/>
        </w:rPr>
        <w:t> </w:t>
      </w:r>
      <w:r>
        <w:rPr>
          <w:vertAlign w:val="baseline"/>
        </w:rPr>
        <w:t>opposed</w:t>
      </w:r>
      <w:r>
        <w:rPr>
          <w:spacing w:val="-2"/>
          <w:vertAlign w:val="baseline"/>
        </w:rPr>
        <w:t> </w:t>
      </w:r>
      <w:r>
        <w:rPr>
          <w:vertAlign w:val="baseline"/>
        </w:rPr>
        <w:t>to</w:t>
      </w:r>
      <w:r>
        <w:rPr>
          <w:spacing w:val="-2"/>
          <w:vertAlign w:val="baseline"/>
        </w:rPr>
        <w:t> </w:t>
      </w:r>
      <w:r>
        <w:rPr>
          <w:vertAlign w:val="baseline"/>
        </w:rPr>
        <w:t>being</w:t>
      </w:r>
      <w:r>
        <w:rPr>
          <w:spacing w:val="-2"/>
          <w:vertAlign w:val="baseline"/>
        </w:rPr>
        <w:t> </w:t>
      </w:r>
      <w:r>
        <w:rPr>
          <w:vertAlign w:val="baseline"/>
        </w:rPr>
        <w:t>merely</w:t>
      </w:r>
      <w:r>
        <w:rPr>
          <w:spacing w:val="-2"/>
          <w:vertAlign w:val="baseline"/>
        </w:rPr>
        <w:t> </w:t>
      </w:r>
      <w:r>
        <w:rPr>
          <w:vertAlign w:val="baseline"/>
        </w:rPr>
        <w:t>unreasonable)</w:t>
      </w:r>
      <w:r>
        <w:rPr>
          <w:spacing w:val="-2"/>
          <w:vertAlign w:val="baseline"/>
        </w:rPr>
        <w:t> </w:t>
      </w:r>
      <w:r>
        <w:rPr>
          <w:vertAlign w:val="baseline"/>
        </w:rPr>
        <w:t>that</w:t>
      </w:r>
      <w:r>
        <w:rPr>
          <w:spacing w:val="-2"/>
          <w:vertAlign w:val="baseline"/>
        </w:rPr>
        <w:t> </w:t>
      </w:r>
      <w:r>
        <w:rPr>
          <w:vertAlign w:val="baseline"/>
        </w:rPr>
        <w:t>he</w:t>
      </w:r>
      <w:r>
        <w:rPr>
          <w:spacing w:val="-2"/>
          <w:vertAlign w:val="baseline"/>
        </w:rPr>
        <w:t> </w:t>
      </w:r>
      <w:r>
        <w:rPr>
          <w:vertAlign w:val="baseline"/>
        </w:rPr>
        <w:t>would do so.</w:t>
      </w:r>
    </w:p>
    <w:p>
      <w:pPr>
        <w:pStyle w:val="BodyText"/>
        <w:spacing w:after="0" w:line="235" w:lineRule="auto"/>
        <w:jc w:val="both"/>
        <w:sectPr>
          <w:pgSz w:w="11900" w:h="16840"/>
          <w:pgMar w:header="971" w:footer="0" w:top="1160" w:bottom="280" w:left="1275" w:right="1275"/>
        </w:sectPr>
      </w:pPr>
    </w:p>
    <w:p>
      <w:pPr>
        <w:pStyle w:val="BodyText"/>
        <w:rPr>
          <w:sz w:val="18"/>
        </w:rPr>
      </w:pPr>
    </w:p>
    <w:p>
      <w:pPr>
        <w:pStyle w:val="BodyText"/>
        <w:spacing w:before="179"/>
        <w:rPr>
          <w:sz w:val="18"/>
        </w:rPr>
      </w:pPr>
    </w:p>
    <w:p>
      <w:pPr>
        <w:spacing w:before="0"/>
        <w:ind w:left="165" w:right="0" w:firstLine="0"/>
        <w:jc w:val="left"/>
        <w:rPr>
          <w:rFonts w:ascii="Arial"/>
          <w:b/>
          <w:sz w:val="18"/>
        </w:rPr>
      </w:pPr>
      <w:r>
        <w:rPr>
          <w:rFonts w:ascii="Arial"/>
          <w:b/>
          <w:sz w:val="18"/>
        </w:rPr>
        <w:t>Representee could have discovered truth: </w:t>
      </w:r>
      <w:r>
        <w:rPr>
          <w:rFonts w:ascii="Arial"/>
          <w:b/>
          <w:spacing w:val="-2"/>
          <w:sz w:val="18"/>
        </w:rPr>
        <w:t>rescission</w:t>
      </w:r>
    </w:p>
    <w:p>
      <w:pPr>
        <w:pStyle w:val="BodyText"/>
        <w:spacing w:before="41"/>
        <w:rPr>
          <w:rFonts w:ascii="Arial"/>
          <w:b/>
          <w:sz w:val="18"/>
        </w:rPr>
      </w:pPr>
    </w:p>
    <w:p>
      <w:pPr>
        <w:pStyle w:val="Heading2"/>
        <w:spacing w:before="1"/>
      </w:pPr>
      <w:r>
        <w:rPr/>
        <w:t>7-</w:t>
      </w:r>
      <w:r>
        <w:rPr>
          <w:spacing w:val="-5"/>
        </w:rPr>
        <w:t>043</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359" w:id="361"/>
      <w:bookmarkEnd w:id="361"/>
      <w:r>
        <w:rPr>
          <w:rFonts w:ascii="Times New Roman"/>
          <w:spacing w:val="19"/>
        </w:rPr>
      </w:r>
      <w:r>
        <w:rPr/>
        <w:t>If the representee did not know that the representation was false, it is no defence to an action for rescission</w:t>
      </w:r>
      <w:r>
        <w:rPr>
          <w:spacing w:val="16"/>
        </w:rPr>
        <w:t> </w:t>
      </w:r>
      <w:r>
        <w:rPr/>
        <w:t>that</w:t>
      </w:r>
      <w:r>
        <w:rPr>
          <w:spacing w:val="16"/>
        </w:rPr>
        <w:t> </w:t>
      </w:r>
      <w:r>
        <w:rPr/>
        <w:t>the</w:t>
      </w:r>
      <w:r>
        <w:rPr>
          <w:spacing w:val="16"/>
        </w:rPr>
        <w:t> </w:t>
      </w:r>
      <w:r>
        <w:rPr/>
        <w:t>representee</w:t>
      </w:r>
      <w:r>
        <w:rPr>
          <w:spacing w:val="16"/>
        </w:rPr>
        <w:t> </w:t>
      </w:r>
      <w:r>
        <w:rPr/>
        <w:t>might</w:t>
      </w:r>
      <w:r>
        <w:rPr>
          <w:spacing w:val="16"/>
        </w:rPr>
        <w:t> </w:t>
      </w:r>
      <w:r>
        <w:rPr/>
        <w:t>have</w:t>
      </w:r>
      <w:r>
        <w:rPr>
          <w:spacing w:val="16"/>
        </w:rPr>
        <w:t> </w:t>
      </w:r>
      <w:r>
        <w:rPr/>
        <w:t>discovered</w:t>
      </w:r>
      <w:r>
        <w:rPr>
          <w:spacing w:val="16"/>
        </w:rPr>
        <w:t> </w:t>
      </w:r>
      <w:r>
        <w:rPr/>
        <w:t>its</w:t>
      </w:r>
      <w:r>
        <w:rPr>
          <w:spacing w:val="16"/>
        </w:rPr>
        <w:t> </w:t>
      </w:r>
      <w:r>
        <w:rPr/>
        <w:t>falsity</w:t>
      </w:r>
      <w:r>
        <w:rPr>
          <w:spacing w:val="16"/>
        </w:rPr>
        <w:t> </w:t>
      </w:r>
      <w:r>
        <w:rPr/>
        <w:t>by</w:t>
      </w:r>
      <w:r>
        <w:rPr>
          <w:spacing w:val="16"/>
        </w:rPr>
        <w:t> </w:t>
      </w:r>
      <w:r>
        <w:rPr/>
        <w:t>the</w:t>
      </w:r>
      <w:r>
        <w:rPr>
          <w:spacing w:val="16"/>
        </w:rPr>
        <w:t> </w:t>
      </w:r>
      <w:r>
        <w:rPr/>
        <w:t>exercise</w:t>
      </w:r>
      <w:r>
        <w:rPr>
          <w:spacing w:val="16"/>
        </w:rPr>
        <w:t> </w:t>
      </w:r>
      <w:r>
        <w:rPr/>
        <w:t>of</w:t>
      </w:r>
      <w:r>
        <w:rPr>
          <w:spacing w:val="16"/>
        </w:rPr>
        <w:t> </w:t>
      </w:r>
      <w:r>
        <w:rPr/>
        <w:t>reasonable</w:t>
      </w:r>
      <w:r>
        <w:rPr>
          <w:spacing w:val="16"/>
        </w:rPr>
        <w:t> </w:t>
      </w:r>
      <w:r>
        <w:rPr>
          <w:spacing w:val="-2"/>
        </w:rPr>
        <w:t>care.</w:t>
      </w:r>
    </w:p>
    <w:p>
      <w:pPr>
        <w:pStyle w:val="BodyText"/>
        <w:spacing w:line="235" w:lineRule="auto"/>
        <w:ind w:left="165" w:right="167"/>
        <w:jc w:val="both"/>
      </w:pPr>
      <w:r>
        <w:rPr>
          <w:color w:val="005DA1"/>
          <w:u w:val="single" w:color="005DA1"/>
          <w:vertAlign w:val="superscript"/>
        </w:rPr>
        <w:t>228</w:t>
      </w:r>
      <w:r>
        <w:rPr>
          <w:color w:val="005DA1"/>
          <w:vertAlign w:val="baseline"/>
        </w:rPr>
        <w:t> </w:t>
      </w:r>
      <w:bookmarkStart w:name="_bookmark360" w:id="362"/>
      <w:bookmarkEnd w:id="362"/>
      <w:r>
        <w:rPr>
          <w:color w:val="005DA1"/>
          <w:spacing w:val="24"/>
          <w:vertAlign w:val="baseline"/>
        </w:rPr>
      </w:r>
      <w:r>
        <w:rPr>
          <w:vertAlign w:val="baseline"/>
        </w:rPr>
        <w:t>Thus it is irrelevant that the true position is stated in the contract signed by the misrepresentee </w:t>
      </w:r>
      <w:bookmarkStart w:name="_bookmark361" w:id="363"/>
      <w:bookmarkEnd w:id="363"/>
      <w:r>
        <w:rPr>
          <w:vertAlign w:val="baseline"/>
        </w:rPr>
        <w:t>unless</w:t>
      </w:r>
      <w:r>
        <w:rPr>
          <w:spacing w:val="-3"/>
          <w:vertAlign w:val="baseline"/>
        </w:rPr>
        <w:t> </w:t>
      </w:r>
      <w:r>
        <w:rPr>
          <w:vertAlign w:val="baseline"/>
        </w:rPr>
        <w:t>he</w:t>
      </w:r>
      <w:r>
        <w:rPr>
          <w:spacing w:val="-3"/>
          <w:vertAlign w:val="baseline"/>
        </w:rPr>
        <w:t> </w:t>
      </w:r>
      <w:r>
        <w:rPr>
          <w:vertAlign w:val="baseline"/>
        </w:rPr>
        <w:t>was</w:t>
      </w:r>
      <w:r>
        <w:rPr>
          <w:spacing w:val="-3"/>
          <w:vertAlign w:val="baseline"/>
        </w:rPr>
        <w:t> </w:t>
      </w:r>
      <w:r>
        <w:rPr>
          <w:vertAlign w:val="baseline"/>
        </w:rPr>
        <w:t>actually</w:t>
      </w:r>
      <w:r>
        <w:rPr>
          <w:spacing w:val="-3"/>
          <w:vertAlign w:val="baseline"/>
        </w:rPr>
        <w:t> </w:t>
      </w:r>
      <w:r>
        <w:rPr>
          <w:vertAlign w:val="baseline"/>
        </w:rPr>
        <w:t>aware</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“correction”</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contract</w:t>
      </w:r>
      <w:r>
        <w:rPr>
          <w:spacing w:val="-3"/>
          <w:vertAlign w:val="baseline"/>
        </w:rPr>
        <w:t> </w:t>
      </w:r>
      <w:r>
        <w:rPr>
          <w:vertAlign w:val="baseline"/>
        </w:rPr>
        <w:t>document</w:t>
      </w:r>
      <w:r>
        <w:rPr>
          <w:spacing w:val="-4"/>
          <w:vertAlign w:val="baseline"/>
        </w:rPr>
        <w:t> </w:t>
      </w:r>
      <w:r>
        <w:rPr>
          <w:color w:val="005DA1"/>
          <w:u w:val="single" w:color="005DA1"/>
          <w:vertAlign w:val="superscript"/>
        </w:rPr>
        <w:t>229</w:t>
      </w:r>
      <w:r>
        <w:rPr>
          <w:vertAlign w:val="baseline"/>
        </w:rPr>
        <w:t>;</w:t>
      </w:r>
      <w:r>
        <w:rPr>
          <w:spacing w:val="-3"/>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not</w:t>
      </w:r>
      <w:r>
        <w:rPr>
          <w:spacing w:val="-3"/>
          <w:vertAlign w:val="baseline"/>
        </w:rPr>
        <w:t> </w:t>
      </w:r>
      <w:r>
        <w:rPr>
          <w:vertAlign w:val="baseline"/>
        </w:rPr>
        <w:t>enough</w:t>
      </w:r>
      <w:r>
        <w:rPr>
          <w:spacing w:val="-3"/>
          <w:vertAlign w:val="baseline"/>
        </w:rPr>
        <w:t> </w:t>
      </w:r>
      <w:r>
        <w:rPr>
          <w:vertAlign w:val="baseline"/>
        </w:rPr>
        <w:t>to</w:t>
      </w:r>
      <w:r>
        <w:rPr>
          <w:spacing w:val="-3"/>
          <w:vertAlign w:val="baseline"/>
        </w:rPr>
        <w:t> </w:t>
      </w:r>
      <w:r>
        <w:rPr>
          <w:vertAlign w:val="baseline"/>
        </w:rPr>
        <w:t>show that the claimant could later have discovered the truth, but that he did discover it”. </w:t>
      </w:r>
      <w:r>
        <w:rPr>
          <w:color w:val="005DA1"/>
          <w:u w:val="single" w:color="005DA1"/>
          <w:vertAlign w:val="superscript"/>
        </w:rPr>
        <w:t>230</w:t>
      </w:r>
      <w:r>
        <w:rPr>
          <w:color w:val="005DA1"/>
          <w:vertAlign w:val="baseline"/>
        </w:rPr>
        <w:t> </w:t>
      </w:r>
      <w:r>
        <w:rPr>
          <w:vertAlign w:val="baseline"/>
        </w:rPr>
        <w:t>It has been argued that the rule that a misrepresentee’s failure to take advantage of an opportunity to </w:t>
      </w:r>
      <w:r>
        <w:rPr>
          <w:vertAlign w:val="baseline"/>
        </w:rPr>
        <w:t>discover</w:t>
      </w:r>
      <w:r>
        <w:rPr>
          <w:spacing w:val="80"/>
          <w:vertAlign w:val="baseline"/>
        </w:rPr>
        <w:t> </w:t>
      </w:r>
      <w:r>
        <w:rPr>
          <w:vertAlign w:val="baseline"/>
        </w:rPr>
        <w:t>the truth is no bar to rescission may require reconsideration in the light of indications in cases of claims for damages for negligent misstatement to the effect that buyers of expensive or commercial </w:t>
      </w:r>
      <w:bookmarkStart w:name="_bookmark362" w:id="364"/>
      <w:bookmarkEnd w:id="364"/>
      <w:r>
        <w:rPr>
          <w:vertAlign w:val="baseline"/>
        </w:rPr>
        <w:t>properties</w:t>
      </w:r>
      <w:r>
        <w:rPr>
          <w:vertAlign w:val="baseline"/>
        </w:rPr>
        <w:t> would be expected to have their own survey done, and thus would fail in a claim for </w:t>
      </w:r>
      <w:bookmarkStart w:name="_bookmark363" w:id="365"/>
      <w:bookmarkEnd w:id="365"/>
      <w:r>
        <w:rPr>
          <w:vertAlign w:val="baseline"/>
        </w:rPr>
        <w:t>negligent</w:t>
      </w:r>
      <w:r>
        <w:rPr>
          <w:spacing w:val="24"/>
          <w:vertAlign w:val="baseline"/>
        </w:rPr>
        <w:t> </w:t>
      </w:r>
      <w:r>
        <w:rPr>
          <w:vertAlign w:val="baseline"/>
        </w:rPr>
        <w:t>misrepresentation</w:t>
      </w:r>
      <w:r>
        <w:rPr>
          <w:spacing w:val="25"/>
          <w:vertAlign w:val="baseline"/>
        </w:rPr>
        <w:t> </w:t>
      </w:r>
      <w:r>
        <w:rPr>
          <w:vertAlign w:val="baseline"/>
        </w:rPr>
        <w:t>against</w:t>
      </w:r>
      <w:r>
        <w:rPr>
          <w:spacing w:val="25"/>
          <w:vertAlign w:val="baseline"/>
        </w:rPr>
        <w:t> </w:t>
      </w:r>
      <w:r>
        <w:rPr>
          <w:vertAlign w:val="baseline"/>
        </w:rPr>
        <w:t>a</w:t>
      </w:r>
      <w:r>
        <w:rPr>
          <w:spacing w:val="24"/>
          <w:vertAlign w:val="baseline"/>
        </w:rPr>
        <w:t> </w:t>
      </w:r>
      <w:r>
        <w:rPr>
          <w:vertAlign w:val="baseline"/>
        </w:rPr>
        <w:t>surveyor</w:t>
      </w:r>
      <w:r>
        <w:rPr>
          <w:spacing w:val="25"/>
          <w:vertAlign w:val="baseline"/>
        </w:rPr>
        <w:t> </w:t>
      </w:r>
      <w:r>
        <w:rPr>
          <w:vertAlign w:val="baseline"/>
        </w:rPr>
        <w:t>employed</w:t>
      </w:r>
      <w:r>
        <w:rPr>
          <w:spacing w:val="25"/>
          <w:vertAlign w:val="baseline"/>
        </w:rPr>
        <w:t> </w:t>
      </w:r>
      <w:r>
        <w:rPr>
          <w:vertAlign w:val="baseline"/>
        </w:rPr>
        <w:t>by</w:t>
      </w:r>
      <w:r>
        <w:rPr>
          <w:spacing w:val="24"/>
          <w:vertAlign w:val="baseline"/>
        </w:rPr>
        <w:t> </w:t>
      </w:r>
      <w:r>
        <w:rPr>
          <w:vertAlign w:val="baseline"/>
        </w:rPr>
        <w:t>the</w:t>
      </w:r>
      <w:r>
        <w:rPr>
          <w:spacing w:val="25"/>
          <w:vertAlign w:val="baseline"/>
        </w:rPr>
        <w:t> </w:t>
      </w:r>
      <w:r>
        <w:rPr>
          <w:vertAlign w:val="baseline"/>
        </w:rPr>
        <w:t>lender</w:t>
      </w:r>
      <w:r>
        <w:rPr>
          <w:spacing w:val="24"/>
          <w:vertAlign w:val="baseline"/>
        </w:rPr>
        <w:t> </w:t>
      </w:r>
      <w:r>
        <w:rPr>
          <w:color w:val="005DA1"/>
          <w:u w:val="single" w:color="005DA1"/>
          <w:vertAlign w:val="superscript"/>
        </w:rPr>
        <w:t>231</w:t>
      </w:r>
      <w:r>
        <w:rPr>
          <w:vertAlign w:val="baseline"/>
        </w:rPr>
        <w:t>;</w:t>
      </w:r>
      <w:r>
        <w:rPr>
          <w:spacing w:val="24"/>
          <w:vertAlign w:val="baseline"/>
        </w:rPr>
        <w:t> </w:t>
      </w:r>
      <w:r>
        <w:rPr>
          <w:vertAlign w:val="baseline"/>
        </w:rPr>
        <w:t>it</w:t>
      </w:r>
      <w:r>
        <w:rPr>
          <w:spacing w:val="25"/>
          <w:vertAlign w:val="baseline"/>
        </w:rPr>
        <w:t> </w:t>
      </w:r>
      <w:r>
        <w:rPr>
          <w:vertAlign w:val="baseline"/>
        </w:rPr>
        <w:t>is</w:t>
      </w:r>
      <w:r>
        <w:rPr>
          <w:spacing w:val="25"/>
          <w:vertAlign w:val="baseline"/>
        </w:rPr>
        <w:t> </w:t>
      </w:r>
      <w:r>
        <w:rPr>
          <w:vertAlign w:val="baseline"/>
        </w:rPr>
        <w:t>suggested</w:t>
      </w:r>
      <w:r>
        <w:rPr>
          <w:spacing w:val="24"/>
          <w:vertAlign w:val="baseline"/>
        </w:rPr>
        <w:t> </w:t>
      </w:r>
      <w:r>
        <w:rPr>
          <w:vertAlign w:val="baseline"/>
        </w:rPr>
        <w:t>that</w:t>
      </w:r>
      <w:r>
        <w:rPr>
          <w:spacing w:val="25"/>
          <w:vertAlign w:val="baseline"/>
        </w:rPr>
        <w:t> </w:t>
      </w:r>
      <w:r>
        <w:rPr>
          <w:spacing w:val="-5"/>
          <w:vertAlign w:val="baseline"/>
        </w:rPr>
        <w:t>the</w:t>
      </w:r>
    </w:p>
    <w:p>
      <w:pPr>
        <w:pStyle w:val="BodyText"/>
        <w:spacing w:line="235" w:lineRule="auto" w:before="116"/>
        <w:ind w:left="165" w:right="167"/>
        <w:jc w:val="both"/>
      </w:pPr>
      <w:r>
        <w:rPr/>
        <w:t>rule should be limited to cases in which it was reasonable not to take the opportunity. </w:t>
      </w:r>
      <w:r>
        <w:rPr>
          <w:color w:val="005DA1"/>
          <w:u w:val="single" w:color="005DA1"/>
          <w:vertAlign w:val="superscript"/>
        </w:rPr>
        <w:t>232</w:t>
      </w:r>
      <w:r>
        <w:rPr>
          <w:color w:val="005DA1"/>
          <w:spacing w:val="80"/>
          <w:vertAlign w:val="baseline"/>
        </w:rPr>
        <w:t> </w:t>
      </w:r>
      <w:r>
        <w:rPr>
          <w:color w:val="005DA1"/>
          <w:spacing w:val="-26"/>
          <w:position w:val="-2"/>
          <w:vertAlign w:val="baseline"/>
        </w:rPr>
        <w:drawing>
          <wp:inline distT="0" distB="0" distL="0" distR="0">
            <wp:extent cx="107988" cy="107988"/>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6"/>
          <w:position w:val="-2"/>
          <w:vertAlign w:val="baseline"/>
        </w:rPr>
      </w:r>
      <w:r>
        <w:rPr>
          <w:rFonts w:ascii="Times New Roman"/>
          <w:color w:val="005DA1"/>
          <w:spacing w:val="37"/>
          <w:vertAlign w:val="baseline"/>
        </w:rPr>
        <w:t> </w:t>
      </w:r>
      <w:r>
        <w:rPr>
          <w:vertAlign w:val="baseline"/>
        </w:rPr>
        <w:t>It is </w:t>
      </w:r>
      <w:r>
        <w:rPr>
          <w:vertAlign w:val="baseline"/>
        </w:rPr>
        <w:t>not clear, however, that the same approach should apply as between contracting parties when the misrepresentee is seeking to rescind, as is taken when a party claims damages for a negligent misstatement by a person with whom he is not in a contractual relationship. When the misstatement leads to a contract with the misrepresentor, there is at least the possibility that the misrepresentor will have benefited from his misstatement, for example by obtaining a better price for the property he is </w:t>
      </w:r>
      <w:bookmarkStart w:name="_bookmark364" w:id="366"/>
      <w:bookmarkEnd w:id="366"/>
      <w:r>
        <w:rPr>
          <w:vertAlign w:val="baseline"/>
        </w:rPr>
        <w:t>selling.</w:t>
      </w:r>
      <w:r>
        <w:rPr>
          <w:vertAlign w:val="baseline"/>
        </w:rPr>
        <w:t> The fact that he was innocent, and the other party careless of his own interests, does not necessarily justify allowing the misrepresentor to retain the advantage gained. </w:t>
      </w:r>
      <w:r>
        <w:rPr>
          <w:color w:val="005DA1"/>
          <w:u w:val="single" w:color="005DA1"/>
          <w:vertAlign w:val="superscript"/>
        </w:rPr>
        <w:t>233</w:t>
      </w:r>
      <w:r>
        <w:rPr>
          <w:color w:val="005DA1"/>
          <w:vertAlign w:val="baseline"/>
        </w:rPr>
        <w:t> </w:t>
      </w:r>
      <w:r>
        <w:rPr>
          <w:vertAlign w:val="baseline"/>
        </w:rPr>
        <w:t>It is possible, however, that relief might be denied if it was unforeseeable that the victim of an nonfraudulent misrepresentation would not check the accuracy of the statement for himself before entering the contract. It was submitted earlier that when a misrepresentee seeks to rescind on the ground of a</w:t>
      </w:r>
      <w:r>
        <w:rPr>
          <w:spacing w:val="40"/>
          <w:vertAlign w:val="baseline"/>
        </w:rPr>
        <w:t> </w:t>
      </w:r>
      <w:bookmarkStart w:name="_bookmark365" w:id="367"/>
      <w:bookmarkEnd w:id="367"/>
      <w:r>
        <w:rPr>
          <w:vertAlign w:val="baseline"/>
        </w:rPr>
        <w:t>non</w:t>
      </w:r>
      <w:r>
        <w:rPr>
          <w:vertAlign w:val="baseline"/>
        </w:rPr>
        <w:t>-fraudulent misrepresentation, there may be a requirement that his reliance on it was at least foreseeable. </w:t>
      </w:r>
      <w:r>
        <w:rPr>
          <w:color w:val="005DA1"/>
          <w:u w:val="single" w:color="005DA1"/>
          <w:vertAlign w:val="superscript"/>
        </w:rPr>
        <w:t>234</w:t>
      </w:r>
      <w:r>
        <w:rPr>
          <w:color w:val="005DA1"/>
          <w:vertAlign w:val="baseline"/>
        </w:rPr>
        <w:t> </w:t>
      </w:r>
      <w:r>
        <w:rPr>
          <w:vertAlign w:val="baseline"/>
        </w:rPr>
        <w:t>If there is such a requirement, it would not be fulfilled if it was unforeseeable that the misrepresentee would act without checking first.</w:t>
      </w:r>
    </w:p>
    <w:p>
      <w:pPr>
        <w:pStyle w:val="BodyText"/>
      </w:pPr>
    </w:p>
    <w:p>
      <w:pPr>
        <w:pStyle w:val="BodyText"/>
        <w:spacing w:before="34"/>
      </w:pPr>
    </w:p>
    <w:p>
      <w:pPr>
        <w:spacing w:before="0"/>
        <w:ind w:left="165" w:right="0" w:firstLine="0"/>
        <w:jc w:val="both"/>
        <w:rPr>
          <w:rFonts w:ascii="Arial"/>
          <w:b/>
          <w:sz w:val="18"/>
        </w:rPr>
      </w:pPr>
      <w:r>
        <w:rPr>
          <w:rFonts w:ascii="Arial"/>
          <w:b/>
          <w:sz w:val="18"/>
        </w:rPr>
        <w:t>Representee could have discovered truth: </w:t>
      </w:r>
      <w:r>
        <w:rPr>
          <w:rFonts w:ascii="Arial"/>
          <w:b/>
          <w:spacing w:val="-2"/>
          <w:sz w:val="18"/>
        </w:rPr>
        <w:t>damages</w:t>
      </w:r>
    </w:p>
    <w:p>
      <w:pPr>
        <w:pStyle w:val="BodyText"/>
        <w:spacing w:before="41"/>
        <w:rPr>
          <w:rFonts w:ascii="Arial"/>
          <w:b/>
          <w:sz w:val="18"/>
        </w:rPr>
      </w:pPr>
    </w:p>
    <w:p>
      <w:pPr>
        <w:pStyle w:val="Heading2"/>
      </w:pPr>
      <w:r>
        <w:rPr/>
        <w:t>7-</w:t>
      </w:r>
      <w:r>
        <w:rPr>
          <w:spacing w:val="-5"/>
        </w:rPr>
        <w:t>044</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As will be seen later, the victim of a fraudulent or negligent misrepresentation may have a claim </w:t>
      </w:r>
      <w:r>
        <w:rPr/>
        <w:t>for </w:t>
      </w:r>
      <w:bookmarkStart w:name="_bookmark366" w:id="368"/>
      <w:bookmarkEnd w:id="368"/>
      <w:r>
        <w:rPr/>
        <w:t>damages.</w:t>
      </w:r>
      <w:r>
        <w:rPr/>
        <w:t> We saw in the previous paragraph that the fact that the misrepresentee could have discovered</w:t>
      </w:r>
      <w:r>
        <w:rPr>
          <w:spacing w:val="-2"/>
        </w:rPr>
        <w:t> </w:t>
      </w:r>
      <w:r>
        <w:rPr/>
        <w:t>the</w:t>
      </w:r>
      <w:r>
        <w:rPr>
          <w:spacing w:val="-3"/>
        </w:rPr>
        <w:t> </w:t>
      </w:r>
      <w:r>
        <w:rPr/>
        <w:t>truth</w:t>
      </w:r>
      <w:r>
        <w:rPr>
          <w:spacing w:val="-2"/>
        </w:rPr>
        <w:t> </w:t>
      </w:r>
      <w:r>
        <w:rPr/>
        <w:t>is</w:t>
      </w:r>
      <w:r>
        <w:rPr>
          <w:spacing w:val="-3"/>
        </w:rPr>
        <w:t> </w:t>
      </w:r>
      <w:r>
        <w:rPr/>
        <w:t>no</w:t>
      </w:r>
      <w:r>
        <w:rPr>
          <w:spacing w:val="-2"/>
        </w:rPr>
        <w:t> </w:t>
      </w:r>
      <w:r>
        <w:rPr/>
        <w:t>defence</w:t>
      </w:r>
      <w:r>
        <w:rPr>
          <w:spacing w:val="-3"/>
        </w:rPr>
        <w:t> </w:t>
      </w:r>
      <w:r>
        <w:rPr/>
        <w:t>to</w:t>
      </w:r>
      <w:r>
        <w:rPr>
          <w:spacing w:val="-2"/>
        </w:rPr>
        <w:t> </w:t>
      </w:r>
      <w:r>
        <w:rPr/>
        <w:t>a</w:t>
      </w:r>
      <w:r>
        <w:rPr>
          <w:spacing w:val="-3"/>
        </w:rPr>
        <w:t> </w:t>
      </w:r>
      <w:r>
        <w:rPr/>
        <w:t>claim</w:t>
      </w:r>
      <w:r>
        <w:rPr>
          <w:spacing w:val="-2"/>
        </w:rPr>
        <w:t> </w:t>
      </w:r>
      <w:r>
        <w:rPr/>
        <w:t>for</w:t>
      </w:r>
      <w:r>
        <w:rPr>
          <w:spacing w:val="-3"/>
        </w:rPr>
        <w:t> </w:t>
      </w:r>
      <w:r>
        <w:rPr/>
        <w:t>rescission</w:t>
      </w:r>
      <w:r>
        <w:rPr>
          <w:spacing w:val="-2"/>
        </w:rPr>
        <w:t> </w:t>
      </w:r>
      <w:r>
        <w:rPr/>
        <w:t>if</w:t>
      </w:r>
      <w:r>
        <w:rPr>
          <w:spacing w:val="-3"/>
        </w:rPr>
        <w:t> </w:t>
      </w:r>
      <w:r>
        <w:rPr/>
        <w:t>he</w:t>
      </w:r>
      <w:r>
        <w:rPr>
          <w:spacing w:val="-2"/>
        </w:rPr>
        <w:t> </w:t>
      </w:r>
      <w:r>
        <w:rPr/>
        <w:t>did</w:t>
      </w:r>
      <w:r>
        <w:rPr>
          <w:spacing w:val="-3"/>
        </w:rPr>
        <w:t> </w:t>
      </w:r>
      <w:r>
        <w:rPr/>
        <w:t>not</w:t>
      </w:r>
      <w:r>
        <w:rPr>
          <w:spacing w:val="-2"/>
        </w:rPr>
        <w:t> </w:t>
      </w:r>
      <w:r>
        <w:rPr/>
        <w:t>do</w:t>
      </w:r>
      <w:r>
        <w:rPr>
          <w:spacing w:val="-3"/>
        </w:rPr>
        <w:t> </w:t>
      </w:r>
      <w:r>
        <w:rPr/>
        <w:t>so.</w:t>
      </w:r>
      <w:r>
        <w:rPr>
          <w:spacing w:val="-3"/>
        </w:rPr>
        <w:t> </w:t>
      </w:r>
      <w:r>
        <w:rPr>
          <w:color w:val="005DA1"/>
          <w:u w:val="single" w:color="005DA1"/>
          <w:vertAlign w:val="superscript"/>
        </w:rPr>
        <w:t>235</w:t>
      </w:r>
      <w:r>
        <w:rPr>
          <w:color w:val="005DA1"/>
          <w:spacing w:val="-2"/>
          <w:vertAlign w:val="baseline"/>
        </w:rPr>
        <w:t> </w:t>
      </w:r>
      <w:r>
        <w:rPr>
          <w:vertAlign w:val="baseline"/>
        </w:rPr>
        <w:t>Can</w:t>
      </w:r>
      <w:r>
        <w:rPr>
          <w:spacing w:val="-3"/>
          <w:vertAlign w:val="baseline"/>
        </w:rPr>
        <w:t> </w:t>
      </w:r>
      <w:r>
        <w:rPr>
          <w:vertAlign w:val="baseline"/>
        </w:rPr>
        <w:t>the</w:t>
      </w:r>
      <w:r>
        <w:rPr>
          <w:spacing w:val="-2"/>
          <w:vertAlign w:val="baseline"/>
        </w:rPr>
        <w:t> </w:t>
      </w:r>
      <w:r>
        <w:rPr>
          <w:vertAlign w:val="baseline"/>
        </w:rPr>
        <w:t>damages</w:t>
      </w:r>
      <w:r>
        <w:rPr>
          <w:spacing w:val="-3"/>
          <w:vertAlign w:val="baseline"/>
        </w:rPr>
        <w:t> </w:t>
      </w:r>
      <w:r>
        <w:rPr>
          <w:vertAlign w:val="baseline"/>
        </w:rPr>
        <w:t>be reduced on the ground that the representee was contributorily negligent in not discovering the truth? </w:t>
      </w:r>
      <w:bookmarkStart w:name="_bookmark367" w:id="369"/>
      <w:bookmarkEnd w:id="369"/>
      <w:r>
        <w:rPr>
          <w:vertAlign w:val="baseline"/>
        </w:rPr>
        <w:t>Contributory</w:t>
      </w:r>
      <w:r>
        <w:rPr>
          <w:vertAlign w:val="baseline"/>
        </w:rPr>
        <w:t> negligence is not a defence to an action of deceit and the Law Reform (Contributory Negligence)</w:t>
      </w:r>
      <w:r>
        <w:rPr>
          <w:spacing w:val="-3"/>
          <w:vertAlign w:val="baseline"/>
        </w:rPr>
        <w:t> </w:t>
      </w:r>
      <w:r>
        <w:rPr>
          <w:vertAlign w:val="baseline"/>
        </w:rPr>
        <w:t>Act</w:t>
      </w:r>
      <w:r>
        <w:rPr>
          <w:spacing w:val="-3"/>
          <w:vertAlign w:val="baseline"/>
        </w:rPr>
        <w:t> </w:t>
      </w:r>
      <w:r>
        <w:rPr>
          <w:vertAlign w:val="baseline"/>
        </w:rPr>
        <w:t>1945</w:t>
      </w:r>
      <w:r>
        <w:rPr>
          <w:spacing w:val="-4"/>
          <w:vertAlign w:val="baseline"/>
        </w:rPr>
        <w:t> </w:t>
      </w:r>
      <w:r>
        <w:rPr>
          <w:color w:val="005DA1"/>
          <w:u w:val="single" w:color="005DA1"/>
          <w:vertAlign w:val="superscript"/>
        </w:rPr>
        <w:t>236</w:t>
      </w:r>
      <w:r>
        <w:rPr>
          <w:color w:val="005DA1"/>
          <w:spacing w:val="-3"/>
          <w:vertAlign w:val="baseline"/>
        </w:rPr>
        <w:t> </w:t>
      </w:r>
      <w:r>
        <w:rPr>
          <w:vertAlign w:val="baseline"/>
        </w:rPr>
        <w:t>does</w:t>
      </w:r>
      <w:r>
        <w:rPr>
          <w:spacing w:val="-3"/>
          <w:vertAlign w:val="baseline"/>
        </w:rPr>
        <w:t> </w:t>
      </w:r>
      <w:r>
        <w:rPr>
          <w:vertAlign w:val="baseline"/>
        </w:rPr>
        <w:t>not</w:t>
      </w:r>
      <w:r>
        <w:rPr>
          <w:spacing w:val="-3"/>
          <w:vertAlign w:val="baseline"/>
        </w:rPr>
        <w:t> </w:t>
      </w:r>
      <w:r>
        <w:rPr>
          <w:vertAlign w:val="baseline"/>
        </w:rPr>
        <w:t>apply.</w:t>
      </w:r>
      <w:r>
        <w:rPr>
          <w:spacing w:val="-3"/>
          <w:vertAlign w:val="baseline"/>
        </w:rPr>
        <w:t> </w:t>
      </w:r>
      <w:r>
        <w:rPr>
          <w:color w:val="005DA1"/>
          <w:u w:val="single" w:color="005DA1"/>
          <w:vertAlign w:val="superscript"/>
        </w:rPr>
        <w:t>237</w:t>
      </w:r>
      <w:r>
        <w:rPr>
          <w:color w:val="005DA1"/>
          <w:spacing w:val="-3"/>
          <w:vertAlign w:val="baseline"/>
        </w:rPr>
        <w:t> </w:t>
      </w:r>
      <w:r>
        <w:rPr>
          <w:vertAlign w:val="baseline"/>
        </w:rPr>
        <w:t>There</w:t>
      </w:r>
      <w:r>
        <w:rPr>
          <w:spacing w:val="-3"/>
          <w:vertAlign w:val="baseline"/>
        </w:rPr>
        <w:t> </w:t>
      </w:r>
      <w:r>
        <w:rPr>
          <w:vertAlign w:val="baseline"/>
        </w:rPr>
        <w:t>are</w:t>
      </w:r>
      <w:r>
        <w:rPr>
          <w:spacing w:val="-3"/>
          <w:vertAlign w:val="baseline"/>
        </w:rPr>
        <w:t> </w:t>
      </w:r>
      <w:r>
        <w:rPr>
          <w:vertAlign w:val="baseline"/>
        </w:rPr>
        <w:t>also</w:t>
      </w:r>
      <w:r>
        <w:rPr>
          <w:spacing w:val="-3"/>
          <w:vertAlign w:val="baseline"/>
        </w:rPr>
        <w:t> </w:t>
      </w:r>
      <w:r>
        <w:rPr>
          <w:vertAlign w:val="baseline"/>
        </w:rPr>
        <w:t>dicta</w:t>
      </w:r>
      <w:r>
        <w:rPr>
          <w:spacing w:val="-3"/>
          <w:vertAlign w:val="baseline"/>
        </w:rPr>
        <w:t> </w:t>
      </w:r>
      <w:r>
        <w:rPr>
          <w:vertAlign w:val="baseline"/>
        </w:rPr>
        <w:t>in</w:t>
      </w:r>
      <w:r>
        <w:rPr>
          <w:spacing w:val="-3"/>
          <w:vertAlign w:val="baseline"/>
        </w:rPr>
        <w:t> </w:t>
      </w:r>
      <w:r>
        <w:rPr>
          <w:vertAlign w:val="baseline"/>
        </w:rPr>
        <w:t>cases</w:t>
      </w:r>
      <w:r>
        <w:rPr>
          <w:spacing w:val="-3"/>
          <w:vertAlign w:val="baseline"/>
        </w:rPr>
        <w:t> </w:t>
      </w:r>
      <w:r>
        <w:rPr>
          <w:vertAlign w:val="baseline"/>
        </w:rPr>
        <w:t>in</w:t>
      </w:r>
      <w:r>
        <w:rPr>
          <w:spacing w:val="-3"/>
          <w:vertAlign w:val="baseline"/>
        </w:rPr>
        <w:t> </w:t>
      </w:r>
      <w:r>
        <w:rPr>
          <w:vertAlign w:val="baseline"/>
        </w:rPr>
        <w:t>which</w:t>
      </w:r>
      <w:r>
        <w:rPr>
          <w:spacing w:val="-3"/>
          <w:vertAlign w:val="baseline"/>
        </w:rPr>
        <w:t> </w:t>
      </w:r>
      <w:r>
        <w:rPr>
          <w:vertAlign w:val="baseline"/>
        </w:rPr>
        <w:t>the</w:t>
      </w:r>
      <w:r>
        <w:rPr>
          <w:spacing w:val="-3"/>
          <w:vertAlign w:val="baseline"/>
        </w:rPr>
        <w:t> </w:t>
      </w:r>
      <w:r>
        <w:rPr>
          <w:vertAlign w:val="baseline"/>
        </w:rPr>
        <w:t>misrepresentee </w:t>
      </w:r>
      <w:bookmarkStart w:name="_bookmark368" w:id="370"/>
      <w:bookmarkEnd w:id="370"/>
      <w:r>
        <w:rPr>
          <w:vertAlign w:val="baseline"/>
        </w:rPr>
        <w:t>was</w:t>
      </w:r>
      <w:r>
        <w:rPr>
          <w:spacing w:val="5"/>
          <w:vertAlign w:val="baseline"/>
        </w:rPr>
        <w:t> </w:t>
      </w:r>
      <w:r>
        <w:rPr>
          <w:vertAlign w:val="baseline"/>
        </w:rPr>
        <w:t>claiming</w:t>
      </w:r>
      <w:r>
        <w:rPr>
          <w:spacing w:val="5"/>
          <w:vertAlign w:val="baseline"/>
        </w:rPr>
        <w:t> </w:t>
      </w:r>
      <w:r>
        <w:rPr>
          <w:vertAlign w:val="baseline"/>
        </w:rPr>
        <w:t>damages</w:t>
      </w:r>
      <w:r>
        <w:rPr>
          <w:spacing w:val="5"/>
          <w:vertAlign w:val="baseline"/>
        </w:rPr>
        <w:t> </w:t>
      </w:r>
      <w:r>
        <w:rPr>
          <w:vertAlign w:val="baseline"/>
        </w:rPr>
        <w:t>for</w:t>
      </w:r>
      <w:r>
        <w:rPr>
          <w:spacing w:val="5"/>
          <w:vertAlign w:val="baseline"/>
        </w:rPr>
        <w:t> </w:t>
      </w:r>
      <w:r>
        <w:rPr>
          <w:vertAlign w:val="baseline"/>
        </w:rPr>
        <w:t>negligence</w:t>
      </w:r>
      <w:r>
        <w:rPr>
          <w:spacing w:val="5"/>
          <w:vertAlign w:val="baseline"/>
        </w:rPr>
        <w:t> </w:t>
      </w:r>
      <w:r>
        <w:rPr>
          <w:vertAlign w:val="baseline"/>
        </w:rPr>
        <w:t>to</w:t>
      </w:r>
      <w:r>
        <w:rPr>
          <w:spacing w:val="5"/>
          <w:vertAlign w:val="baseline"/>
        </w:rPr>
        <w:t> </w:t>
      </w:r>
      <w:r>
        <w:rPr>
          <w:vertAlign w:val="baseline"/>
        </w:rPr>
        <w:t>the</w:t>
      </w:r>
      <w:r>
        <w:rPr>
          <w:spacing w:val="5"/>
          <w:vertAlign w:val="baseline"/>
        </w:rPr>
        <w:t> </w:t>
      </w:r>
      <w:r>
        <w:rPr>
          <w:vertAlign w:val="baseline"/>
        </w:rPr>
        <w:t>effect</w:t>
      </w:r>
      <w:r>
        <w:rPr>
          <w:spacing w:val="5"/>
          <w:vertAlign w:val="baseline"/>
        </w:rPr>
        <w:t> </w:t>
      </w:r>
      <w:r>
        <w:rPr>
          <w:vertAlign w:val="baseline"/>
        </w:rPr>
        <w:t>that</w:t>
      </w:r>
      <w:r>
        <w:rPr>
          <w:spacing w:val="5"/>
          <w:vertAlign w:val="baseline"/>
        </w:rPr>
        <w:t> </w:t>
      </w:r>
      <w:r>
        <w:rPr>
          <w:vertAlign w:val="baseline"/>
        </w:rPr>
        <w:t>it</w:t>
      </w:r>
      <w:r>
        <w:rPr>
          <w:spacing w:val="5"/>
          <w:vertAlign w:val="baseline"/>
        </w:rPr>
        <w:t> </w:t>
      </w:r>
      <w:r>
        <w:rPr>
          <w:vertAlign w:val="baseline"/>
        </w:rPr>
        <w:t>is</w:t>
      </w:r>
      <w:r>
        <w:rPr>
          <w:spacing w:val="5"/>
          <w:vertAlign w:val="baseline"/>
        </w:rPr>
        <w:t> </w:t>
      </w:r>
      <w:r>
        <w:rPr>
          <w:vertAlign w:val="baseline"/>
        </w:rPr>
        <w:t>irrelevant</w:t>
      </w:r>
      <w:r>
        <w:rPr>
          <w:spacing w:val="5"/>
          <w:vertAlign w:val="baseline"/>
        </w:rPr>
        <w:t> </w:t>
      </w:r>
      <w:r>
        <w:rPr>
          <w:vertAlign w:val="baseline"/>
        </w:rPr>
        <w:t>that</w:t>
      </w:r>
      <w:r>
        <w:rPr>
          <w:spacing w:val="5"/>
          <w:vertAlign w:val="baseline"/>
        </w:rPr>
        <w:t> </w:t>
      </w:r>
      <w:r>
        <w:rPr>
          <w:vertAlign w:val="baseline"/>
        </w:rPr>
        <w:t>the</w:t>
      </w:r>
      <w:r>
        <w:rPr>
          <w:spacing w:val="5"/>
          <w:vertAlign w:val="baseline"/>
        </w:rPr>
        <w:t> </w:t>
      </w:r>
      <w:r>
        <w:rPr>
          <w:vertAlign w:val="baseline"/>
        </w:rPr>
        <w:t>representee</w:t>
      </w:r>
      <w:r>
        <w:rPr>
          <w:spacing w:val="5"/>
          <w:vertAlign w:val="baseline"/>
        </w:rPr>
        <w:t> </w:t>
      </w:r>
      <w:r>
        <w:rPr>
          <w:vertAlign w:val="baseline"/>
        </w:rPr>
        <w:t>could</w:t>
      </w:r>
      <w:r>
        <w:rPr>
          <w:spacing w:val="5"/>
          <w:vertAlign w:val="baseline"/>
        </w:rPr>
        <w:t> </w:t>
      </w:r>
      <w:r>
        <w:rPr>
          <w:spacing w:val="-4"/>
          <w:vertAlign w:val="baseline"/>
        </w:rPr>
        <w:t>have</w:t>
      </w:r>
    </w:p>
    <w:p>
      <w:pPr>
        <w:pStyle w:val="BodyText"/>
        <w:spacing w:line="235" w:lineRule="auto" w:before="117"/>
        <w:ind w:left="164" w:right="167"/>
        <w:jc w:val="both"/>
      </w:pPr>
      <w:bookmarkStart w:name="_bookmark369" w:id="371"/>
      <w:bookmarkEnd w:id="371"/>
      <w:r>
        <w:rPr/>
      </w:r>
      <w:r>
        <w:rPr/>
        <w:t>discovered the truth for himself. </w:t>
      </w:r>
      <w:r>
        <w:rPr>
          <w:color w:val="005DA1"/>
          <w:u w:val="single" w:color="005DA1"/>
          <w:vertAlign w:val="superscript"/>
        </w:rPr>
        <w:t>238</w:t>
      </w:r>
      <w:r>
        <w:rPr>
          <w:color w:val="005DA1"/>
          <w:spacing w:val="80"/>
          <w:vertAlign w:val="baseline"/>
        </w:rPr>
        <w:t> </w:t>
      </w:r>
      <w:r>
        <w:rPr>
          <w:color w:val="005DA1"/>
          <w:spacing w:val="14"/>
          <w:position w:val="-2"/>
          <w:vertAlign w:val="baseline"/>
        </w:rPr>
        <w:drawing>
          <wp:inline distT="0" distB="0" distL="0" distR="0">
            <wp:extent cx="107988" cy="107988"/>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color w:val="005DA1"/>
          <w:spacing w:val="-6"/>
          <w:vertAlign w:val="baseline"/>
        </w:rPr>
        <w:t> </w:t>
      </w:r>
      <w:r>
        <w:rPr>
          <w:vertAlign w:val="baseline"/>
        </w:rPr>
        <w:t>It has been held that damages for negligent misrepresentation under the Misrepresentation Act 1967 s.2(1) </w:t>
      </w:r>
      <w:r>
        <w:rPr>
          <w:color w:val="005DA1"/>
          <w:u w:val="single" w:color="005DA1"/>
          <w:vertAlign w:val="superscript"/>
        </w:rPr>
        <w:t>239</w:t>
      </w:r>
      <w:r>
        <w:rPr>
          <w:color w:val="005DA1"/>
          <w:vertAlign w:val="baseline"/>
        </w:rPr>
        <w:t> </w:t>
      </w:r>
      <w:r>
        <w:rPr>
          <w:vertAlign w:val="baseline"/>
        </w:rPr>
        <w:t>may be reduced if the loss was partly the fault of the </w:t>
      </w:r>
      <w:bookmarkStart w:name="_bookmark370" w:id="372"/>
      <w:bookmarkEnd w:id="372"/>
      <w:r>
        <w:rPr>
          <w:vertAlign w:val="baseline"/>
        </w:rPr>
        <w:t>representee,</w:t>
      </w:r>
      <w:r>
        <w:rPr>
          <w:vertAlign w:val="baseline"/>
        </w:rPr>
        <w:t> at least when there is concurrent liability under that section and in tort for negligent misrepresentation under the principle of </w:t>
      </w:r>
      <w:r>
        <w:rPr>
          <w:rFonts w:ascii="Arial"/>
          <w:i/>
          <w:vertAlign w:val="baseline"/>
        </w:rPr>
        <w:t>Hedley Byrne v Heller </w:t>
      </w:r>
      <w:r>
        <w:rPr>
          <w:color w:val="005DA1"/>
          <w:u w:val="single" w:color="005DA1"/>
          <w:vertAlign w:val="superscript"/>
        </w:rPr>
        <w:t>240</w:t>
      </w:r>
      <w:r>
        <w:rPr>
          <w:vertAlign w:val="baseline"/>
        </w:rPr>
        <w:t>; but it would not be just and equitable to reduce the damages when the representor had intended, or should be taken as </w:t>
      </w:r>
      <w:r>
        <w:rPr>
          <w:vertAlign w:val="baseline"/>
        </w:rPr>
        <w:t>having </w:t>
      </w:r>
      <w:bookmarkStart w:name="_bookmark371" w:id="373"/>
      <w:bookmarkEnd w:id="373"/>
      <w:r>
        <w:rPr>
          <w:vertAlign w:val="baseline"/>
        </w:rPr>
        <w:t>intended,</w:t>
      </w:r>
      <w:r>
        <w:rPr>
          <w:vertAlign w:val="baseline"/>
        </w:rPr>
        <w:t> that the representee should act in reliance on the answers which had been given to his questions. </w:t>
      </w:r>
      <w:r>
        <w:rPr>
          <w:color w:val="005DA1"/>
          <w:u w:val="single" w:color="005DA1"/>
          <w:vertAlign w:val="superscript"/>
        </w:rPr>
        <w:t>241</w:t>
      </w:r>
    </w:p>
    <w:p>
      <w:pPr>
        <w:pStyle w:val="BodyText"/>
      </w:pPr>
    </w:p>
    <w:p>
      <w:pPr>
        <w:pStyle w:val="BodyText"/>
        <w:spacing w:before="37"/>
      </w:pPr>
      <w:r>
        <w:rPr/>
        <mc:AlternateContent>
          <mc:Choice Requires="wps">
            <w:drawing>
              <wp:anchor distT="0" distB="0" distL="0" distR="0" allowOverlap="1" layoutInCell="1" locked="0" behindDoc="1" simplePos="0" relativeHeight="487607296">
                <wp:simplePos x="0" y="0"/>
                <wp:positionH relativeFrom="page">
                  <wp:posOffset>914400</wp:posOffset>
                </wp:positionH>
                <wp:positionV relativeFrom="paragraph">
                  <wp:posOffset>185160</wp:posOffset>
                </wp:positionV>
                <wp:extent cx="5724525" cy="1270"/>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79555pt;width:450.75pt;height:.1pt;mso-position-horizontal-relative:page;mso-position-vertical-relative:paragraph;z-index:-15709184;mso-wrap-distance-left:0;mso-wrap-distance-right:0" id="docshape8"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3882496">
                <wp:simplePos x="0" y="0"/>
                <wp:positionH relativeFrom="page">
                  <wp:posOffset>914400</wp:posOffset>
                </wp:positionH>
                <wp:positionV relativeFrom="paragraph">
                  <wp:posOffset>94576</wp:posOffset>
                </wp:positionV>
                <wp:extent cx="4953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33984" from="72pt,7.446977pt" to="75.892pt,7.446977pt" stroked="true" strokeweight=".5pt" strokecolor="#005da1">
                <v:stroke dashstyle="solid"/>
                <w10:wrap type="none"/>
              </v:line>
            </w:pict>
          </mc:Fallback>
        </mc:AlternateContent>
      </w:r>
      <w:hyperlink w:history="true" w:anchor="_bookmark1576">
        <w:r>
          <w:rPr>
            <w:color w:val="005DA1"/>
            <w:spacing w:val="-6"/>
            <w:position w:val="5"/>
            <w:sz w:val="14"/>
          </w:rPr>
          <w:t>1</w:t>
        </w:r>
      </w:hyperlink>
      <w:r>
        <w:rPr>
          <w:spacing w:val="-6"/>
          <w:position w:val="5"/>
          <w:sz w:val="14"/>
        </w:rPr>
        <w:t>.</w:t>
      </w:r>
      <w:r>
        <w:rPr>
          <w:position w:val="5"/>
          <w:sz w:val="14"/>
        </w:rPr>
        <w:tab/>
      </w:r>
      <w:r>
        <w:rPr>
          <w:sz w:val="20"/>
        </w:rPr>
        <w:t>See Allen, </w:t>
      </w:r>
      <w:r>
        <w:rPr>
          <w:rFonts w:ascii="Arial"/>
          <w:i/>
          <w:sz w:val="20"/>
        </w:rPr>
        <w:t>Misrepresentation </w:t>
      </w:r>
      <w:r>
        <w:rPr>
          <w:sz w:val="20"/>
        </w:rPr>
        <w:t>(1988); Cartwright, </w:t>
      </w:r>
      <w:r>
        <w:rPr>
          <w:rFonts w:ascii="Arial"/>
          <w:i/>
          <w:sz w:val="20"/>
        </w:rPr>
        <w:t>Unequal Bargaining </w:t>
      </w:r>
      <w:r>
        <w:rPr>
          <w:sz w:val="20"/>
        </w:rPr>
        <w:t>(1991), Ch.3; </w:t>
      </w:r>
      <w:r>
        <w:rPr>
          <w:sz w:val="20"/>
        </w:rPr>
        <w:t>Cartwright, Misrepresentation, Mistake and Non-disclosure, 4th edn (2016); Spencer Bower and Handley, </w:t>
      </w:r>
      <w:r>
        <w:rPr>
          <w:rFonts w:ascii="Arial"/>
          <w:i/>
          <w:sz w:val="20"/>
        </w:rPr>
        <w:t>Actionable Misrepresentation</w:t>
      </w:r>
      <w:r>
        <w:rPr>
          <w:sz w:val="20"/>
        </w:rPr>
        <w:t>, 5th edn (2014).</w:t>
      </w:r>
    </w:p>
    <w:p>
      <w:pPr>
        <w:pStyle w:val="BodyText"/>
        <w:spacing w:before="5"/>
      </w:pPr>
    </w:p>
    <w:p>
      <w:pPr>
        <w:pStyle w:val="BodyText"/>
        <w:tabs>
          <w:tab w:pos="705" w:val="left" w:leader="none"/>
        </w:tabs>
        <w:ind w:left="165"/>
      </w:pPr>
      <w:bookmarkStart w:name="_bookmark372" w:id="374"/>
      <w:bookmarkEnd w:id="374"/>
      <w:r>
        <w:rPr/>
      </w:r>
      <w:hyperlink w:history="true" w:anchor="_bookmark294">
        <w:r>
          <w:rPr>
            <w:color w:val="005DA1"/>
            <w:spacing w:val="-4"/>
            <w:position w:val="5"/>
            <w:sz w:val="14"/>
            <w:u w:val="single" w:color="005DA1"/>
          </w:rPr>
          <w:t>157</w:t>
        </w:r>
      </w:hyperlink>
      <w:r>
        <w:rPr>
          <w:spacing w:val="-4"/>
          <w:position w:val="5"/>
          <w:sz w:val="14"/>
        </w:rPr>
        <w:t>.</w:t>
      </w:r>
      <w:r>
        <w:rPr>
          <w:position w:val="5"/>
          <w:sz w:val="14"/>
        </w:rPr>
        <w:tab/>
      </w:r>
      <w:r>
        <w:rPr/>
        <w:t>Compare</w:t>
      </w:r>
      <w:r>
        <w:rPr>
          <w:spacing w:val="-2"/>
        </w:rPr>
        <w:t> </w:t>
      </w:r>
      <w:r>
        <w:rPr/>
        <w:t>below, para.7-</w:t>
      </w:r>
      <w:r>
        <w:rPr>
          <w:spacing w:val="-4"/>
        </w:rPr>
        <w:t>033.</w:t>
      </w:r>
    </w:p>
    <w:p>
      <w:pPr>
        <w:pStyle w:val="BodyText"/>
        <w:spacing w:after="0"/>
        <w:sectPr>
          <w:pgSz w:w="11900" w:h="16840"/>
          <w:pgMar w:header="971" w:footer="0" w:top="1160" w:bottom="280" w:left="1275" w:right="1275"/>
        </w:sectPr>
      </w:pPr>
    </w:p>
    <w:p>
      <w:pPr>
        <w:pStyle w:val="BodyText"/>
        <w:spacing w:before="84"/>
      </w:pPr>
    </w:p>
    <w:p>
      <w:pPr>
        <w:spacing w:line="235" w:lineRule="auto" w:before="1"/>
        <w:ind w:left="705" w:right="168" w:hanging="541"/>
        <w:jc w:val="both"/>
        <w:rPr>
          <w:sz w:val="20"/>
        </w:rPr>
      </w:pPr>
      <w:hyperlink w:history="true" w:anchor="_bookmark294">
        <w:r>
          <w:rPr>
            <w:color w:val="005DA1"/>
            <w:position w:val="5"/>
            <w:sz w:val="14"/>
            <w:u w:val="single" w:color="005DA1"/>
          </w:rPr>
          <w:t>158</w:t>
        </w:r>
      </w:hyperlink>
      <w:r>
        <w:rPr>
          <w:position w:val="5"/>
          <w:sz w:val="14"/>
        </w:rPr>
        <w:t>.</w:t>
      </w:r>
      <w:r>
        <w:rPr>
          <w:spacing w:val="80"/>
          <w:position w:val="5"/>
          <w:sz w:val="14"/>
        </w:rPr>
        <w:t> </w:t>
      </w:r>
      <w:r>
        <w:rPr>
          <w:sz w:val="20"/>
        </w:rPr>
        <w:t>See </w:t>
      </w:r>
      <w:r>
        <w:rPr>
          <w:rFonts w:ascii="Arial"/>
          <w:i/>
          <w:sz w:val="20"/>
        </w:rPr>
        <w:t>Swift v Winterbotham (1873) L.R. 8 Q.B. 244, 253</w:t>
      </w:r>
      <w:r>
        <w:rPr>
          <w:sz w:val="20"/>
        </w:rPr>
        <w:t>; the rule there stated was applied in </w:t>
      </w:r>
      <w:r>
        <w:rPr>
          <w:rFonts w:ascii="Arial"/>
          <w:i/>
          <w:sz w:val="20"/>
        </w:rPr>
        <w:t>Richardson v Silvester (1873) L.R. 9 Q.B. 34, 36</w:t>
      </w:r>
      <w:r>
        <w:rPr>
          <w:sz w:val="20"/>
        </w:rPr>
        <w:t>; see also </w:t>
      </w:r>
      <w:r>
        <w:rPr>
          <w:rFonts w:ascii="Arial"/>
          <w:i/>
          <w:sz w:val="20"/>
        </w:rPr>
        <w:t>Commercial Banking Co of </w:t>
      </w:r>
      <w:r>
        <w:rPr>
          <w:rFonts w:ascii="Arial"/>
          <w:i/>
          <w:sz w:val="20"/>
        </w:rPr>
        <w:t>Sydney Ltd v R.H. Brown &amp; Co (1972) 126 C.L.R. 13</w:t>
      </w:r>
      <w:r>
        <w:rPr>
          <w:sz w:val="20"/>
        </w:rPr>
        <w:t>, below, para.7-032.</w:t>
      </w:r>
    </w:p>
    <w:p>
      <w:pPr>
        <w:pStyle w:val="BodyText"/>
        <w:spacing w:before="8"/>
      </w:pPr>
    </w:p>
    <w:p>
      <w:pPr>
        <w:spacing w:line="235" w:lineRule="auto" w:before="1"/>
        <w:ind w:left="705" w:right="167" w:hanging="541"/>
        <w:jc w:val="both"/>
        <w:rPr>
          <w:sz w:val="20"/>
        </w:rPr>
      </w:pPr>
      <w:bookmarkStart w:name="_bookmark373" w:id="375"/>
      <w:bookmarkEnd w:id="375"/>
      <w:r>
        <w:rPr/>
      </w:r>
      <w:hyperlink w:history="true" w:anchor="_bookmark295">
        <w:r>
          <w:rPr>
            <w:color w:val="005DA1"/>
            <w:position w:val="5"/>
            <w:sz w:val="14"/>
            <w:u w:val="single" w:color="005DA1"/>
          </w:rPr>
          <w:t>159</w:t>
        </w:r>
      </w:hyperlink>
      <w:r>
        <w:rPr>
          <w:position w:val="5"/>
          <w:sz w:val="14"/>
        </w:rPr>
        <w:t>.</w:t>
      </w:r>
      <w:r>
        <w:rPr>
          <w:spacing w:val="40"/>
          <w:position w:val="5"/>
          <w:sz w:val="14"/>
        </w:rPr>
        <w:t> </w:t>
      </w:r>
      <w:r>
        <w:rPr>
          <w:sz w:val="20"/>
        </w:rPr>
        <w:t>This category includes third persons to whom the original representee passes on the representation to the knowledge of the representor (see </w:t>
      </w:r>
      <w:r>
        <w:rPr>
          <w:rFonts w:ascii="Arial"/>
          <w:i/>
          <w:sz w:val="20"/>
        </w:rPr>
        <w:t>Pilmore v Hood (1838) 5 Bing.N.C. 97 </w:t>
      </w:r>
      <w:r>
        <w:rPr>
          <w:sz w:val="20"/>
        </w:rPr>
        <w:t>which</w:t>
      </w:r>
      <w:r>
        <w:rPr>
          <w:spacing w:val="-3"/>
          <w:sz w:val="20"/>
        </w:rPr>
        <w:t> </w:t>
      </w:r>
      <w:r>
        <w:rPr>
          <w:sz w:val="20"/>
        </w:rPr>
        <w:t>was</w:t>
      </w:r>
      <w:r>
        <w:rPr>
          <w:spacing w:val="-3"/>
          <w:sz w:val="20"/>
        </w:rPr>
        <w:t> </w:t>
      </w:r>
      <w:r>
        <w:rPr>
          <w:sz w:val="20"/>
        </w:rPr>
        <w:t>applied</w:t>
      </w:r>
      <w:r>
        <w:rPr>
          <w:spacing w:val="-3"/>
          <w:sz w:val="20"/>
        </w:rPr>
        <w:t> </w:t>
      </w:r>
      <w:r>
        <w:rPr>
          <w:sz w:val="20"/>
        </w:rPr>
        <w:t>in</w:t>
      </w:r>
      <w:r>
        <w:rPr>
          <w:spacing w:val="-4"/>
          <w:sz w:val="20"/>
        </w:rPr>
        <w:t> </w:t>
      </w:r>
      <w:r>
        <w:rPr>
          <w:rFonts w:ascii="Arial"/>
          <w:i/>
          <w:sz w:val="20"/>
        </w:rPr>
        <w:t>Clef</w:t>
      </w:r>
      <w:r>
        <w:rPr>
          <w:rFonts w:ascii="Arial"/>
          <w:i/>
          <w:spacing w:val="-3"/>
          <w:sz w:val="20"/>
        </w:rPr>
        <w:t> </w:t>
      </w:r>
      <w:r>
        <w:rPr>
          <w:rFonts w:ascii="Arial"/>
          <w:i/>
          <w:sz w:val="20"/>
        </w:rPr>
        <w:t>Aquitaine</w:t>
      </w:r>
      <w:r>
        <w:rPr>
          <w:rFonts w:ascii="Arial"/>
          <w:i/>
          <w:spacing w:val="-3"/>
          <w:sz w:val="20"/>
        </w:rPr>
        <w:t> </w:t>
      </w:r>
      <w:r>
        <w:rPr>
          <w:rFonts w:ascii="Arial"/>
          <w:i/>
          <w:sz w:val="20"/>
        </w:rPr>
        <w:t>SARL</w:t>
      </w:r>
      <w:r>
        <w:rPr>
          <w:rFonts w:ascii="Arial"/>
          <w:i/>
          <w:spacing w:val="-3"/>
          <w:sz w:val="20"/>
        </w:rPr>
        <w:t> </w:t>
      </w:r>
      <w:r>
        <w:rPr>
          <w:rFonts w:ascii="Arial"/>
          <w:i/>
          <w:sz w:val="20"/>
        </w:rPr>
        <w:t>v</w:t>
      </w:r>
      <w:r>
        <w:rPr>
          <w:rFonts w:ascii="Arial"/>
          <w:i/>
          <w:spacing w:val="-3"/>
          <w:sz w:val="20"/>
        </w:rPr>
        <w:t> </w:t>
      </w:r>
      <w:r>
        <w:rPr>
          <w:rFonts w:ascii="Arial"/>
          <w:i/>
          <w:sz w:val="20"/>
        </w:rPr>
        <w:t>Laporte</w:t>
      </w:r>
      <w:r>
        <w:rPr>
          <w:rFonts w:ascii="Arial"/>
          <w:i/>
          <w:spacing w:val="-3"/>
          <w:sz w:val="20"/>
        </w:rPr>
        <w:t> </w:t>
      </w:r>
      <w:r>
        <w:rPr>
          <w:rFonts w:ascii="Arial"/>
          <w:i/>
          <w:sz w:val="20"/>
        </w:rPr>
        <w:t>Materials</w:t>
      </w:r>
      <w:r>
        <w:rPr>
          <w:rFonts w:ascii="Arial"/>
          <w:i/>
          <w:spacing w:val="-3"/>
          <w:sz w:val="20"/>
        </w:rPr>
        <w:t> </w:t>
      </w:r>
      <w:r>
        <w:rPr>
          <w:rFonts w:ascii="Arial"/>
          <w:i/>
          <w:sz w:val="20"/>
        </w:rPr>
        <w:t>(Barrow)</w:t>
      </w:r>
      <w:r>
        <w:rPr>
          <w:rFonts w:ascii="Arial"/>
          <w:i/>
          <w:spacing w:val="-3"/>
          <w:sz w:val="20"/>
        </w:rPr>
        <w:t> </w:t>
      </w:r>
      <w:r>
        <w:rPr>
          <w:rFonts w:ascii="Arial"/>
          <w:i/>
          <w:sz w:val="20"/>
        </w:rPr>
        <w:t>Ltd</w:t>
      </w:r>
      <w:r>
        <w:rPr>
          <w:rFonts w:ascii="Arial"/>
          <w:i/>
          <w:spacing w:val="-3"/>
          <w:sz w:val="20"/>
        </w:rPr>
        <w:t> </w:t>
      </w:r>
      <w:r>
        <w:rPr>
          <w:rFonts w:ascii="Arial"/>
          <w:i/>
          <w:sz w:val="20"/>
        </w:rPr>
        <w:t>[2001]</w:t>
      </w:r>
      <w:r>
        <w:rPr>
          <w:rFonts w:ascii="Arial"/>
          <w:i/>
          <w:spacing w:val="-3"/>
          <w:sz w:val="20"/>
        </w:rPr>
        <w:t> </w:t>
      </w:r>
      <w:r>
        <w:rPr>
          <w:rFonts w:ascii="Arial"/>
          <w:i/>
          <w:sz w:val="20"/>
        </w:rPr>
        <w:t>Q.B.</w:t>
      </w:r>
      <w:r>
        <w:rPr>
          <w:rFonts w:ascii="Arial"/>
          <w:i/>
          <w:spacing w:val="-3"/>
          <w:sz w:val="20"/>
        </w:rPr>
        <w:t> </w:t>
      </w:r>
      <w:r>
        <w:rPr>
          <w:rFonts w:ascii="Arial"/>
          <w:i/>
          <w:sz w:val="20"/>
        </w:rPr>
        <w:t>488</w:t>
      </w:r>
      <w:r>
        <w:rPr>
          <w:rFonts w:ascii="Arial"/>
          <w:i/>
          <w:spacing w:val="-3"/>
          <w:sz w:val="20"/>
        </w:rPr>
        <w:t> </w:t>
      </w:r>
      <w:r>
        <w:rPr>
          <w:rFonts w:ascii="Arial"/>
          <w:i/>
          <w:sz w:val="20"/>
        </w:rPr>
        <w:t>CA</w:t>
      </w:r>
      <w:r>
        <w:rPr>
          <w:sz w:val="20"/>
        </w:rPr>
        <w:t>; </w:t>
      </w:r>
      <w:r>
        <w:rPr>
          <w:rFonts w:ascii="Arial"/>
          <w:i/>
          <w:sz w:val="20"/>
        </w:rPr>
        <w:t>Yianni v Edwin Evans &amp; Sons [1982] Q.B. 438</w:t>
      </w:r>
      <w:r>
        <w:rPr>
          <w:sz w:val="20"/>
        </w:rPr>
        <w:t>), but excludes persons to whom the representor does not intend any communication to be made (see </w:t>
      </w:r>
      <w:r>
        <w:rPr>
          <w:rFonts w:ascii="Arial"/>
          <w:i/>
          <w:sz w:val="20"/>
        </w:rPr>
        <w:t>Peek v Gurney (1873) L.R. 6 H.L. 377</w:t>
      </w:r>
      <w:r>
        <w:rPr>
          <w:sz w:val="20"/>
        </w:rPr>
        <w:t>), unless (semble) he ought to foresee such communication, see below.</w:t>
      </w:r>
    </w:p>
    <w:p>
      <w:pPr>
        <w:pStyle w:val="BodyText"/>
        <w:spacing w:before="7"/>
      </w:pPr>
    </w:p>
    <w:p>
      <w:pPr>
        <w:pStyle w:val="BodyText"/>
        <w:spacing w:line="235" w:lineRule="auto"/>
        <w:ind w:left="705" w:right="167" w:hanging="541"/>
        <w:jc w:val="both"/>
      </w:pPr>
      <w:bookmarkStart w:name="_bookmark374" w:id="376"/>
      <w:bookmarkEnd w:id="376"/>
      <w:r>
        <w:rPr/>
      </w:r>
      <w:hyperlink w:history="true" w:anchor="_bookmark296">
        <w:r>
          <w:rPr>
            <w:color w:val="005DA1"/>
            <w:position w:val="5"/>
            <w:sz w:val="14"/>
            <w:u w:val="single" w:color="005DA1"/>
          </w:rPr>
          <w:t>160</w:t>
        </w:r>
      </w:hyperlink>
      <w:r>
        <w:rPr>
          <w:position w:val="5"/>
          <w:sz w:val="14"/>
        </w:rPr>
        <w:t>.</w:t>
      </w:r>
      <w:r>
        <w:rPr>
          <w:spacing w:val="80"/>
          <w:position w:val="5"/>
          <w:sz w:val="14"/>
        </w:rPr>
        <w:t> </w:t>
      </w:r>
      <w:r>
        <w:rPr/>
        <w:t>The class may amount to the public at large (cf. </w:t>
      </w:r>
      <w:r>
        <w:rPr>
          <w:rFonts w:ascii="Arial" w:hAnsi="Arial"/>
          <w:i/>
        </w:rPr>
        <w:t>R. v Silverlock [1984] 2 Q.B. 766</w:t>
      </w:r>
      <w:r>
        <w:rPr/>
        <w:t>), for if a representation is made to the public generally with the intention that it should be acted upon, any member of the public may be a representee, though it does not follow that a legal remedy exists in respect of it. This is particularly so in cases of liability in tort for negligence, where (even if any member of the public is a representee) the absence of a duty of care may be fatal</w:t>
      </w:r>
      <w:r>
        <w:rPr>
          <w:spacing w:val="40"/>
        </w:rPr>
        <w:t> </w:t>
      </w:r>
      <w:r>
        <w:rPr/>
        <w:t>to a claim for damages, below, paras 7-089—7-091.</w:t>
      </w:r>
    </w:p>
    <w:p>
      <w:pPr>
        <w:pStyle w:val="BodyText"/>
        <w:spacing w:before="4"/>
      </w:pPr>
    </w:p>
    <w:p>
      <w:pPr>
        <w:tabs>
          <w:tab w:pos="705" w:val="left" w:leader="none"/>
        </w:tabs>
        <w:spacing w:before="0"/>
        <w:ind w:left="165" w:right="0" w:firstLine="0"/>
        <w:jc w:val="left"/>
        <w:rPr>
          <w:sz w:val="20"/>
        </w:rPr>
      </w:pPr>
      <w:bookmarkStart w:name="_bookmark375" w:id="377"/>
      <w:bookmarkEnd w:id="377"/>
      <w:r>
        <w:rPr/>
      </w:r>
      <w:hyperlink w:history="true" w:anchor="_bookmark297">
        <w:r>
          <w:rPr>
            <w:color w:val="005DA1"/>
            <w:spacing w:val="-4"/>
            <w:position w:val="5"/>
            <w:sz w:val="14"/>
            <w:u w:val="single" w:color="005DA1"/>
          </w:rPr>
          <w:t>161</w:t>
        </w:r>
      </w:hyperlink>
      <w:r>
        <w:rPr>
          <w:spacing w:val="-4"/>
          <w:position w:val="5"/>
          <w:sz w:val="14"/>
        </w:rPr>
        <w:t>.</w:t>
      </w:r>
      <w:r>
        <w:rPr>
          <w:position w:val="5"/>
          <w:sz w:val="14"/>
        </w:rPr>
        <w:tab/>
      </w:r>
      <w:r>
        <w:rPr>
          <w:rFonts w:ascii="Arial"/>
          <w:i/>
          <w:sz w:val="20"/>
        </w:rPr>
        <w:t>(1873)</w:t>
      </w:r>
      <w:r>
        <w:rPr>
          <w:rFonts w:ascii="Arial"/>
          <w:i/>
          <w:spacing w:val="-2"/>
          <w:sz w:val="20"/>
        </w:rPr>
        <w:t> </w:t>
      </w:r>
      <w:r>
        <w:rPr>
          <w:rFonts w:ascii="Arial"/>
          <w:i/>
          <w:sz w:val="20"/>
        </w:rPr>
        <w:t>L.R. 6 H.L. </w:t>
      </w:r>
      <w:r>
        <w:rPr>
          <w:rFonts w:ascii="Arial"/>
          <w:i/>
          <w:spacing w:val="-4"/>
          <w:sz w:val="20"/>
        </w:rPr>
        <w:t>377</w:t>
      </w:r>
      <w:r>
        <w:rPr>
          <w:spacing w:val="-4"/>
          <w:sz w:val="20"/>
        </w:rPr>
        <w:t>.</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9120">
            <wp:simplePos x="0" y="0"/>
            <wp:positionH relativeFrom="page">
              <wp:posOffset>1257846</wp:posOffset>
            </wp:positionH>
            <wp:positionV relativeFrom="paragraph">
              <wp:posOffset>160407</wp:posOffset>
            </wp:positionV>
            <wp:extent cx="107988" cy="107988"/>
            <wp:effectExtent l="0" t="0" r="0" b="0"/>
            <wp:wrapNone/>
            <wp:docPr id="89" name="Image 89"/>
            <wp:cNvGraphicFramePr>
              <a:graphicFrameLocks/>
            </wp:cNvGraphicFramePr>
            <a:graphic>
              <a:graphicData uri="http://schemas.openxmlformats.org/drawingml/2006/picture">
                <pic:pic>
                  <pic:nvPicPr>
                    <pic:cNvPr id="89" name="Image 8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76" w:id="378"/>
      <w:bookmarkEnd w:id="378"/>
      <w:r>
        <w:rPr/>
      </w:r>
      <w:hyperlink w:history="true" w:anchor="_bookmark298">
        <w:r>
          <w:rPr>
            <w:color w:val="005DA1"/>
            <w:spacing w:val="-4"/>
            <w:sz w:val="14"/>
            <w:u w:val="single" w:color="005DA1"/>
          </w:rPr>
          <w:t>162</w:t>
        </w:r>
      </w:hyperlink>
      <w:r>
        <w:rPr>
          <w:spacing w:val="-4"/>
          <w:sz w:val="14"/>
        </w:rPr>
        <w:t>.</w:t>
      </w:r>
    </w:p>
    <w:p>
      <w:pPr>
        <w:pStyle w:val="BodyText"/>
        <w:spacing w:line="235" w:lineRule="auto" w:before="212"/>
        <w:ind w:left="165" w:right="167" w:firstLine="170"/>
        <w:jc w:val="both"/>
      </w:pPr>
      <w:r>
        <w:rPr/>
        <w:br w:type="column"/>
      </w:r>
      <w:r>
        <w:rPr/>
        <w:t>It might be thought that the actual decision in this case would no longer be the common law because a prospectus today is intended to be addressed to would-be purchasers in the </w:t>
      </w:r>
      <w:r>
        <w:rPr/>
        <w:t>market just as much as to purchasers from the company (cf. </w:t>
      </w:r>
      <w:r>
        <w:rPr>
          <w:rFonts w:ascii="Arial" w:hAnsi="Arial"/>
          <w:i/>
        </w:rPr>
        <w:t>Taberna Europe CDO II Plc v Selskabet [2015] EWHC 871 (Comm) </w:t>
      </w:r>
      <w:r>
        <w:rPr/>
        <w:t>at [115]–[118]); in the Court of Appeal Moore-Bick L.J. said (</w:t>
      </w:r>
      <w:r>
        <w:rPr>
          <w:rFonts w:ascii="Arial" w:hAnsi="Arial"/>
          <w:i/>
        </w:rPr>
        <w:t>[2016] EWCA Civ 1262 </w:t>
      </w:r>
      <w:r>
        <w:rPr/>
        <w:t>at [11]) that “In an age when most commercial documents exist primarily in electronic form and can be made available to a wide audience at the touch of a button it is important not to allow inroads to be made too easily into the principles enunciated in cases</w:t>
      </w:r>
      <w:r>
        <w:rPr>
          <w:spacing w:val="40"/>
        </w:rPr>
        <w:t> </w:t>
      </w:r>
      <w:r>
        <w:rPr/>
        <w:t>such as </w:t>
      </w:r>
      <w:r>
        <w:rPr>
          <w:rFonts w:ascii="Arial" w:hAnsi="Arial"/>
          <w:i/>
        </w:rPr>
        <w:t>Peek v Gurney </w:t>
      </w:r>
      <w:r>
        <w:rPr/>
        <w:t>… In order for a representation in a document to be actionable at the suit of the recipient there has to be a connection between the maker and the recipient of a kind that enables the court to be satisfied that the maker was intending the recipient to rely on the document in a particular way”. On the facts, the defendant had encouraged the party selling the investments to direct the investor to the information on the defendant’s website, but in </w:t>
      </w:r>
      <w:r>
        <w:rPr>
          <w:rFonts w:ascii="Arial" w:hAnsi="Arial"/>
          <w:i/>
        </w:rPr>
        <w:t>Al Nakib Investments Ltd v Longcroft [1990] 1 W.L.R. 1390 </w:t>
      </w:r>
      <w:r>
        <w:rPr/>
        <w:t>it was applied in a case of alleged negligent misstatement. Now, however, under Financial Services and Markets Act 2000 s.90, compensation is payable to any person who has acquired securities relying on incorrect or incomplete statements in the prospectus or listing particulars. See Gower &amp; Davies, </w:t>
      </w:r>
      <w:r>
        <w:rPr>
          <w:rFonts w:ascii="Arial" w:hAnsi="Arial"/>
          <w:i/>
        </w:rPr>
        <w:t>Principles of Modern Company Law</w:t>
      </w:r>
      <w:r>
        <w:rPr/>
        <w:t>, 10th edn, 2016, para.25-32.</w:t>
      </w:r>
    </w:p>
    <w:p>
      <w:pPr>
        <w:pStyle w:val="BodyText"/>
        <w:spacing w:after="0" w:line="235" w:lineRule="auto"/>
        <w:jc w:val="both"/>
        <w:sectPr>
          <w:type w:val="continuous"/>
          <w:pgSz w:w="11900" w:h="16840"/>
          <w:pgMar w:header="971" w:footer="0" w:top="1160" w:bottom="280" w:left="1275" w:right="1275"/>
          <w:cols w:num="2" w:equalWidth="0">
            <w:col w:w="478" w:space="63"/>
            <w:col w:w="8809"/>
          </w:cols>
        </w:sectPr>
      </w:pPr>
    </w:p>
    <w:p>
      <w:pPr>
        <w:pStyle w:val="BodyText"/>
      </w:pPr>
    </w:p>
    <w:p>
      <w:pPr>
        <w:tabs>
          <w:tab w:pos="705" w:val="left" w:leader="none"/>
        </w:tabs>
        <w:spacing w:before="0"/>
        <w:ind w:left="165" w:right="0" w:firstLine="0"/>
        <w:jc w:val="left"/>
        <w:rPr>
          <w:sz w:val="20"/>
        </w:rPr>
      </w:pPr>
      <w:bookmarkStart w:name="_bookmark377" w:id="379"/>
      <w:bookmarkEnd w:id="379"/>
      <w:r>
        <w:rPr/>
      </w:r>
      <w:hyperlink w:history="true" w:anchor="_bookmark299">
        <w:r>
          <w:rPr>
            <w:color w:val="005DA1"/>
            <w:spacing w:val="-4"/>
            <w:position w:val="5"/>
            <w:sz w:val="14"/>
            <w:u w:val="single" w:color="005DA1"/>
          </w:rPr>
          <w:t>163</w:t>
        </w:r>
      </w:hyperlink>
      <w:r>
        <w:rPr>
          <w:spacing w:val="-4"/>
          <w:position w:val="5"/>
          <w:sz w:val="14"/>
        </w:rPr>
        <w:t>.</w:t>
      </w:r>
      <w:r>
        <w:rPr>
          <w:position w:val="5"/>
          <w:sz w:val="14"/>
        </w:rPr>
        <w:tab/>
      </w:r>
      <w:r>
        <w:rPr>
          <w:rFonts w:ascii="Arial"/>
          <w:i/>
          <w:sz w:val="20"/>
        </w:rPr>
        <w:t>[1970]</w:t>
      </w:r>
      <w:r>
        <w:rPr>
          <w:rFonts w:ascii="Arial"/>
          <w:i/>
          <w:spacing w:val="-2"/>
          <w:sz w:val="20"/>
        </w:rPr>
        <w:t> </w:t>
      </w:r>
      <w:r>
        <w:rPr>
          <w:rFonts w:ascii="Arial"/>
          <w:i/>
          <w:sz w:val="20"/>
        </w:rPr>
        <w:t>Ch. 445, </w:t>
      </w:r>
      <w:r>
        <w:rPr>
          <w:rFonts w:ascii="Arial"/>
          <w:i/>
          <w:spacing w:val="-4"/>
          <w:sz w:val="20"/>
        </w:rPr>
        <w:t>460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78" w:id="380"/>
      <w:bookmarkEnd w:id="380"/>
      <w:r>
        <w:rPr/>
      </w:r>
      <w:hyperlink w:history="true" w:anchor="_bookmark300">
        <w:r>
          <w:rPr>
            <w:color w:val="005DA1"/>
            <w:spacing w:val="-4"/>
            <w:position w:val="5"/>
            <w:sz w:val="14"/>
            <w:u w:val="single" w:color="005DA1"/>
          </w:rPr>
          <w:t>164</w:t>
        </w:r>
      </w:hyperlink>
      <w:r>
        <w:rPr>
          <w:spacing w:val="-4"/>
          <w:position w:val="5"/>
          <w:sz w:val="14"/>
        </w:rPr>
        <w:t>.</w:t>
      </w:r>
      <w:r>
        <w:rPr>
          <w:position w:val="5"/>
          <w:sz w:val="14"/>
        </w:rPr>
        <w:tab/>
      </w:r>
      <w:r>
        <w:rPr>
          <w:sz w:val="20"/>
        </w:rPr>
        <w:t>See, e.g. </w:t>
      </w:r>
      <w:r>
        <w:rPr>
          <w:rFonts w:ascii="Arial"/>
          <w:i/>
          <w:sz w:val="20"/>
        </w:rPr>
        <w:t>Brown, Jenkinson &amp; Co Ltd v Percy Dalton (London) Ltd [1957] 2 Q.B. </w:t>
      </w:r>
      <w:r>
        <w:rPr>
          <w:rFonts w:ascii="Arial"/>
          <w:i/>
          <w:spacing w:val="-4"/>
          <w:sz w:val="20"/>
        </w:rPr>
        <w:t>621</w:t>
      </w:r>
      <w:r>
        <w:rPr>
          <w:spacing w:val="-4"/>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379" w:id="381"/>
      <w:bookmarkEnd w:id="381"/>
      <w:r>
        <w:rPr/>
      </w:r>
      <w:hyperlink w:history="true" w:anchor="_bookmark301">
        <w:r>
          <w:rPr>
            <w:color w:val="005DA1"/>
            <w:spacing w:val="-4"/>
            <w:position w:val="5"/>
            <w:sz w:val="14"/>
            <w:u w:val="single" w:color="005DA1"/>
          </w:rPr>
          <w:t>165</w:t>
        </w:r>
      </w:hyperlink>
      <w:r>
        <w:rPr>
          <w:spacing w:val="-4"/>
          <w:position w:val="5"/>
          <w:sz w:val="14"/>
        </w:rPr>
        <w:t>.</w:t>
      </w:r>
      <w:r>
        <w:rPr>
          <w:position w:val="5"/>
          <w:sz w:val="14"/>
        </w:rPr>
        <w:tab/>
      </w:r>
      <w:r>
        <w:rPr>
          <w:rFonts w:ascii="Arial"/>
          <w:i/>
          <w:sz w:val="20"/>
        </w:rPr>
        <w:t>Gross v Hillman Ltd [1970] Ch. 445, 461</w:t>
      </w:r>
      <w:r>
        <w:rPr>
          <w:sz w:val="20"/>
        </w:rPr>
        <w:t>. This paragraph was quoted in </w:t>
      </w:r>
      <w:r>
        <w:rPr>
          <w:rFonts w:ascii="Arial"/>
          <w:i/>
          <w:sz w:val="20"/>
        </w:rPr>
        <w:t>Brown v </w:t>
      </w:r>
      <w:r>
        <w:rPr>
          <w:rFonts w:ascii="Arial"/>
          <w:i/>
          <w:sz w:val="20"/>
        </w:rPr>
        <w:t>InnovatorOne Plc [2012] EWHC 1321 (Comm) </w:t>
      </w:r>
      <w:r>
        <w:rPr>
          <w:sz w:val="20"/>
        </w:rPr>
        <w:t>at [883].</w:t>
      </w:r>
    </w:p>
    <w:p>
      <w:pPr>
        <w:pStyle w:val="BodyText"/>
        <w:spacing w:before="5"/>
      </w:pPr>
    </w:p>
    <w:p>
      <w:pPr>
        <w:tabs>
          <w:tab w:pos="705" w:val="left" w:leader="none"/>
        </w:tabs>
        <w:spacing w:before="0"/>
        <w:ind w:left="165" w:right="0" w:firstLine="0"/>
        <w:jc w:val="left"/>
        <w:rPr>
          <w:sz w:val="20"/>
        </w:rPr>
      </w:pPr>
      <w:bookmarkStart w:name="_bookmark380" w:id="382"/>
      <w:bookmarkEnd w:id="382"/>
      <w:r>
        <w:rPr/>
      </w:r>
      <w:hyperlink w:history="true" w:anchor="_bookmark302">
        <w:r>
          <w:rPr>
            <w:color w:val="005DA1"/>
            <w:spacing w:val="-4"/>
            <w:position w:val="5"/>
            <w:sz w:val="14"/>
            <w:u w:val="single" w:color="005DA1"/>
          </w:rPr>
          <w:t>166</w:t>
        </w:r>
      </w:hyperlink>
      <w:r>
        <w:rPr>
          <w:spacing w:val="-4"/>
          <w:position w:val="5"/>
          <w:sz w:val="14"/>
        </w:rPr>
        <w:t>.</w:t>
      </w:r>
      <w:r>
        <w:rPr>
          <w:position w:val="5"/>
          <w:sz w:val="14"/>
        </w:rPr>
        <w:tab/>
      </w:r>
      <w:r>
        <w:rPr>
          <w:rFonts w:ascii="Arial"/>
          <w:i/>
          <w:sz w:val="20"/>
        </w:rPr>
        <w:t>[1964]</w:t>
      </w:r>
      <w:r>
        <w:rPr>
          <w:rFonts w:ascii="Arial"/>
          <w:i/>
          <w:spacing w:val="-2"/>
          <w:sz w:val="20"/>
        </w:rPr>
        <w:t> </w:t>
      </w:r>
      <w:r>
        <w:rPr>
          <w:rFonts w:ascii="Arial"/>
          <w:i/>
          <w:sz w:val="20"/>
        </w:rPr>
        <w:t>A.C. </w:t>
      </w:r>
      <w:r>
        <w:rPr>
          <w:rFonts w:ascii="Arial"/>
          <w:i/>
          <w:spacing w:val="-4"/>
          <w:sz w:val="20"/>
        </w:rPr>
        <w:t>465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81" w:id="383"/>
      <w:bookmarkEnd w:id="383"/>
      <w:r>
        <w:rPr/>
      </w:r>
      <w:hyperlink w:history="true" w:anchor="_bookmark303">
        <w:r>
          <w:rPr>
            <w:color w:val="005DA1"/>
            <w:spacing w:val="-4"/>
            <w:position w:val="5"/>
            <w:sz w:val="14"/>
            <w:u w:val="single" w:color="005DA1"/>
          </w:rPr>
          <w:t>167</w:t>
        </w:r>
      </w:hyperlink>
      <w:r>
        <w:rPr>
          <w:spacing w:val="-4"/>
          <w:position w:val="5"/>
          <w:sz w:val="14"/>
        </w:rPr>
        <w:t>.</w:t>
      </w:r>
      <w:r>
        <w:rPr>
          <w:position w:val="5"/>
          <w:sz w:val="14"/>
        </w:rPr>
        <w:tab/>
      </w:r>
      <w:r>
        <w:rPr>
          <w:rFonts w:ascii="Arial"/>
          <w:i/>
          <w:sz w:val="20"/>
        </w:rPr>
        <w:t>Commercial Banking Co of Sydney Ltd v R.H. Brown &amp; Co (1972) 126 C.L.R. </w:t>
      </w:r>
      <w:r>
        <w:rPr>
          <w:rFonts w:ascii="Arial"/>
          <w:i/>
          <w:spacing w:val="-5"/>
          <w:sz w:val="20"/>
        </w:rPr>
        <w:t>13</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382" w:id="384"/>
      <w:bookmarkEnd w:id="384"/>
      <w:r>
        <w:rPr/>
      </w:r>
      <w:hyperlink w:history="true" w:anchor="_bookmark303">
        <w:r>
          <w:rPr>
            <w:color w:val="005DA1"/>
            <w:spacing w:val="-4"/>
            <w:position w:val="5"/>
            <w:sz w:val="14"/>
            <w:u w:val="single" w:color="005DA1"/>
          </w:rPr>
          <w:t>168</w:t>
        </w:r>
      </w:hyperlink>
      <w:r>
        <w:rPr>
          <w:spacing w:val="-4"/>
          <w:position w:val="5"/>
          <w:sz w:val="14"/>
        </w:rPr>
        <w:t>.</w:t>
      </w:r>
      <w:r>
        <w:rPr>
          <w:position w:val="5"/>
          <w:sz w:val="14"/>
        </w:rPr>
        <w:tab/>
      </w:r>
      <w:r>
        <w:rPr>
          <w:rFonts w:ascii="Arial"/>
          <w:i/>
          <w:sz w:val="20"/>
        </w:rPr>
        <w:t>[1990]</w:t>
      </w:r>
      <w:r>
        <w:rPr>
          <w:rFonts w:ascii="Arial"/>
          <w:i/>
          <w:spacing w:val="-2"/>
          <w:sz w:val="20"/>
        </w:rPr>
        <w:t> </w:t>
      </w:r>
      <w:r>
        <w:rPr>
          <w:rFonts w:ascii="Arial"/>
          <w:i/>
          <w:sz w:val="20"/>
        </w:rPr>
        <w:t>1 A.C. </w:t>
      </w:r>
      <w:r>
        <w:rPr>
          <w:rFonts w:ascii="Arial"/>
          <w:i/>
          <w:spacing w:val="-4"/>
          <w:sz w:val="20"/>
        </w:rPr>
        <w:t>831</w:t>
      </w:r>
      <w:r>
        <w:rPr>
          <w:spacing w:val="-4"/>
          <w:sz w:val="20"/>
        </w:rPr>
        <w:t>.</w:t>
      </w:r>
    </w:p>
    <w:p>
      <w:pPr>
        <w:pStyle w:val="BodyText"/>
        <w:spacing w:before="5"/>
      </w:pPr>
    </w:p>
    <w:p>
      <w:pPr>
        <w:pStyle w:val="BodyText"/>
        <w:tabs>
          <w:tab w:pos="705" w:val="left" w:leader="none"/>
        </w:tabs>
        <w:ind w:left="165"/>
      </w:pPr>
      <w:bookmarkStart w:name="_bookmark383" w:id="385"/>
      <w:bookmarkEnd w:id="385"/>
      <w:r>
        <w:rPr/>
      </w:r>
      <w:hyperlink w:history="true" w:anchor="_bookmark304">
        <w:r>
          <w:rPr>
            <w:color w:val="005DA1"/>
            <w:spacing w:val="-4"/>
            <w:position w:val="5"/>
            <w:sz w:val="14"/>
            <w:u w:val="single" w:color="005DA1"/>
          </w:rPr>
          <w:t>169</w:t>
        </w:r>
      </w:hyperlink>
      <w:r>
        <w:rPr>
          <w:spacing w:val="-4"/>
          <w:position w:val="5"/>
          <w:sz w:val="14"/>
        </w:rPr>
        <w:t>.</w:t>
      </w:r>
      <w:r>
        <w:rPr>
          <w:position w:val="5"/>
          <w:sz w:val="14"/>
        </w:rPr>
        <w:tab/>
      </w:r>
      <w:r>
        <w:rPr/>
        <w:t>s.2(2); see below, para.15-</w:t>
      </w:r>
      <w:r>
        <w:rPr>
          <w:spacing w:val="-4"/>
        </w:rPr>
        <w:t>128.</w:t>
      </w:r>
    </w:p>
    <w:p>
      <w:pPr>
        <w:pStyle w:val="BodyText"/>
        <w:spacing w:before="9"/>
      </w:pPr>
    </w:p>
    <w:p>
      <w:pPr>
        <w:spacing w:line="235" w:lineRule="auto" w:before="0"/>
        <w:ind w:left="705" w:right="167" w:hanging="541"/>
        <w:jc w:val="both"/>
        <w:rPr>
          <w:sz w:val="20"/>
        </w:rPr>
      </w:pPr>
      <w:bookmarkStart w:name="_bookmark384" w:id="386"/>
      <w:bookmarkEnd w:id="386"/>
      <w:r>
        <w:rPr/>
      </w:r>
      <w:hyperlink w:history="true" w:anchor="_bookmark305">
        <w:r>
          <w:rPr>
            <w:color w:val="005DA1"/>
            <w:position w:val="5"/>
            <w:sz w:val="14"/>
            <w:u w:val="single" w:color="005DA1"/>
          </w:rPr>
          <w:t>170</w:t>
        </w:r>
      </w:hyperlink>
      <w:r>
        <w:rPr>
          <w:position w:val="5"/>
          <w:sz w:val="14"/>
        </w:rPr>
        <w:t>.</w:t>
      </w:r>
      <w:r>
        <w:rPr>
          <w:spacing w:val="80"/>
          <w:w w:val="150"/>
          <w:position w:val="5"/>
          <w:sz w:val="14"/>
        </w:rPr>
        <w:t> </w:t>
      </w:r>
      <w:r>
        <w:rPr>
          <w:sz w:val="20"/>
        </w:rPr>
        <w:t>cf. </w:t>
      </w:r>
      <w:r>
        <w:rPr>
          <w:rFonts w:ascii="Arial"/>
          <w:i/>
          <w:sz w:val="20"/>
        </w:rPr>
        <w:t>McCullagh v Lane Fox and Partners Ltd [1996] 1 E.G.L.R. 35</w:t>
      </w:r>
      <w:r>
        <w:rPr>
          <w:sz w:val="20"/>
        </w:rPr>
        <w:t>, where at the time </w:t>
      </w:r>
      <w:r>
        <w:rPr>
          <w:sz w:val="20"/>
        </w:rPr>
        <w:t>the information was given the surveyor did not know that the purchaser would act without getting</w:t>
      </w:r>
      <w:r>
        <w:rPr>
          <w:spacing w:val="40"/>
          <w:sz w:val="20"/>
        </w:rPr>
        <w:t> </w:t>
      </w:r>
      <w:r>
        <w:rPr>
          <w:sz w:val="20"/>
        </w:rPr>
        <w:t>his own survey, and by the time the surveyor did know he had issued a disclaimer.</w:t>
      </w:r>
    </w:p>
    <w:p>
      <w:pPr>
        <w:pStyle w:val="BodyText"/>
        <w:spacing w:before="5"/>
      </w:pPr>
    </w:p>
    <w:p>
      <w:pPr>
        <w:tabs>
          <w:tab w:pos="705" w:val="left" w:leader="none"/>
        </w:tabs>
        <w:spacing w:before="0"/>
        <w:ind w:left="165" w:right="0" w:firstLine="0"/>
        <w:jc w:val="left"/>
        <w:rPr>
          <w:sz w:val="20"/>
        </w:rPr>
      </w:pPr>
      <w:bookmarkStart w:name="_bookmark385" w:id="387"/>
      <w:bookmarkEnd w:id="387"/>
      <w:r>
        <w:rPr/>
      </w:r>
      <w:hyperlink w:history="true" w:anchor="_bookmark306">
        <w:r>
          <w:rPr>
            <w:color w:val="005DA1"/>
            <w:spacing w:val="-4"/>
            <w:position w:val="5"/>
            <w:sz w:val="14"/>
            <w:u w:val="single" w:color="005DA1"/>
          </w:rPr>
          <w:t>171</w:t>
        </w:r>
      </w:hyperlink>
      <w:r>
        <w:rPr>
          <w:spacing w:val="-4"/>
          <w:position w:val="5"/>
          <w:sz w:val="14"/>
        </w:rPr>
        <w:t>.</w:t>
      </w:r>
      <w:r>
        <w:rPr>
          <w:position w:val="5"/>
          <w:sz w:val="14"/>
        </w:rPr>
        <w:tab/>
      </w:r>
      <w:r>
        <w:rPr>
          <w:rFonts w:ascii="Arial"/>
          <w:i/>
          <w:sz w:val="20"/>
        </w:rPr>
        <w:t>[1990]</w:t>
      </w:r>
      <w:r>
        <w:rPr>
          <w:rFonts w:ascii="Arial"/>
          <w:i/>
          <w:spacing w:val="-1"/>
          <w:sz w:val="20"/>
        </w:rPr>
        <w:t> </w:t>
      </w:r>
      <w:r>
        <w:rPr>
          <w:rFonts w:ascii="Arial"/>
          <w:i/>
          <w:sz w:val="20"/>
        </w:rPr>
        <w:t>2 A.C. 605</w:t>
      </w:r>
      <w:r>
        <w:rPr>
          <w:sz w:val="20"/>
        </w:rPr>
        <w:t>, below, para.7-</w:t>
      </w:r>
      <w:r>
        <w:rPr>
          <w:spacing w:val="-4"/>
          <w:sz w:val="20"/>
        </w:rPr>
        <w:t>090.</w:t>
      </w:r>
    </w:p>
    <w:p>
      <w:pPr>
        <w:pStyle w:val="BodyText"/>
        <w:spacing w:before="5"/>
      </w:pPr>
    </w:p>
    <w:p>
      <w:pPr>
        <w:tabs>
          <w:tab w:pos="705" w:val="left" w:leader="none"/>
        </w:tabs>
        <w:spacing w:before="0"/>
        <w:ind w:left="165" w:right="0" w:firstLine="0"/>
        <w:jc w:val="left"/>
        <w:rPr>
          <w:rFonts w:ascii="Arial"/>
          <w:i/>
          <w:sz w:val="20"/>
        </w:rPr>
      </w:pPr>
      <w:bookmarkStart w:name="_bookmark386" w:id="388"/>
      <w:bookmarkEnd w:id="388"/>
      <w:r>
        <w:rPr/>
      </w:r>
      <w:hyperlink w:history="true" w:anchor="_bookmark307">
        <w:r>
          <w:rPr>
            <w:color w:val="005DA1"/>
            <w:spacing w:val="-4"/>
            <w:position w:val="5"/>
            <w:sz w:val="14"/>
            <w:u w:val="single" w:color="005DA1"/>
          </w:rPr>
          <w:t>172</w:t>
        </w:r>
      </w:hyperlink>
      <w:r>
        <w:rPr>
          <w:spacing w:val="-4"/>
          <w:position w:val="5"/>
          <w:sz w:val="14"/>
        </w:rPr>
        <w:t>.</w:t>
      </w:r>
      <w:r>
        <w:rPr>
          <w:position w:val="5"/>
          <w:sz w:val="14"/>
        </w:rPr>
        <w:tab/>
      </w:r>
      <w:r>
        <w:rPr>
          <w:sz w:val="20"/>
        </w:rPr>
        <w:t>cf.</w:t>
      </w:r>
      <w:r>
        <w:rPr>
          <w:spacing w:val="7"/>
          <w:sz w:val="20"/>
        </w:rPr>
        <w:t> </w:t>
      </w:r>
      <w:r>
        <w:rPr>
          <w:rFonts w:ascii="Arial"/>
          <w:i/>
          <w:sz w:val="20"/>
        </w:rPr>
        <w:t>Morgan</w:t>
      </w:r>
      <w:r>
        <w:rPr>
          <w:rFonts w:ascii="Arial"/>
          <w:i/>
          <w:spacing w:val="8"/>
          <w:sz w:val="20"/>
        </w:rPr>
        <w:t> </w:t>
      </w:r>
      <w:r>
        <w:rPr>
          <w:rFonts w:ascii="Arial"/>
          <w:i/>
          <w:sz w:val="20"/>
        </w:rPr>
        <w:t>Crucible</w:t>
      </w:r>
      <w:r>
        <w:rPr>
          <w:rFonts w:ascii="Arial"/>
          <w:i/>
          <w:spacing w:val="8"/>
          <w:sz w:val="20"/>
        </w:rPr>
        <w:t> </w:t>
      </w:r>
      <w:r>
        <w:rPr>
          <w:rFonts w:ascii="Arial"/>
          <w:i/>
          <w:sz w:val="20"/>
        </w:rPr>
        <w:t>Co</w:t>
      </w:r>
      <w:r>
        <w:rPr>
          <w:rFonts w:ascii="Arial"/>
          <w:i/>
          <w:spacing w:val="8"/>
          <w:sz w:val="20"/>
        </w:rPr>
        <w:t> </w:t>
      </w:r>
      <w:r>
        <w:rPr>
          <w:rFonts w:ascii="Arial"/>
          <w:i/>
          <w:sz w:val="20"/>
        </w:rPr>
        <w:t>Plc</w:t>
      </w:r>
      <w:r>
        <w:rPr>
          <w:rFonts w:ascii="Arial"/>
          <w:i/>
          <w:spacing w:val="8"/>
          <w:sz w:val="20"/>
        </w:rPr>
        <w:t> </w:t>
      </w:r>
      <w:r>
        <w:rPr>
          <w:rFonts w:ascii="Arial"/>
          <w:i/>
          <w:sz w:val="20"/>
        </w:rPr>
        <w:t>v</w:t>
      </w:r>
      <w:r>
        <w:rPr>
          <w:rFonts w:ascii="Arial"/>
          <w:i/>
          <w:spacing w:val="8"/>
          <w:sz w:val="20"/>
        </w:rPr>
        <w:t> </w:t>
      </w:r>
      <w:r>
        <w:rPr>
          <w:rFonts w:ascii="Arial"/>
          <w:i/>
          <w:sz w:val="20"/>
        </w:rPr>
        <w:t>Hill</w:t>
      </w:r>
      <w:r>
        <w:rPr>
          <w:rFonts w:ascii="Arial"/>
          <w:i/>
          <w:spacing w:val="8"/>
          <w:sz w:val="20"/>
        </w:rPr>
        <w:t> </w:t>
      </w:r>
      <w:r>
        <w:rPr>
          <w:rFonts w:ascii="Arial"/>
          <w:i/>
          <w:sz w:val="20"/>
        </w:rPr>
        <w:t>Samuel</w:t>
      </w:r>
      <w:r>
        <w:rPr>
          <w:rFonts w:ascii="Arial"/>
          <w:i/>
          <w:spacing w:val="8"/>
          <w:sz w:val="20"/>
        </w:rPr>
        <w:t> </w:t>
      </w:r>
      <w:r>
        <w:rPr>
          <w:rFonts w:ascii="Arial"/>
          <w:i/>
          <w:sz w:val="20"/>
        </w:rPr>
        <w:t>Bank</w:t>
      </w:r>
      <w:r>
        <w:rPr>
          <w:rFonts w:ascii="Arial"/>
          <w:i/>
          <w:spacing w:val="8"/>
          <w:sz w:val="20"/>
        </w:rPr>
        <w:t> </w:t>
      </w:r>
      <w:r>
        <w:rPr>
          <w:rFonts w:ascii="Arial"/>
          <w:i/>
          <w:sz w:val="20"/>
        </w:rPr>
        <w:t>Ltd</w:t>
      </w:r>
      <w:r>
        <w:rPr>
          <w:rFonts w:ascii="Arial"/>
          <w:i/>
          <w:spacing w:val="8"/>
          <w:sz w:val="20"/>
        </w:rPr>
        <w:t> </w:t>
      </w:r>
      <w:r>
        <w:rPr>
          <w:rFonts w:ascii="Arial"/>
          <w:i/>
          <w:sz w:val="20"/>
        </w:rPr>
        <w:t>[1991]</w:t>
      </w:r>
      <w:r>
        <w:rPr>
          <w:rFonts w:ascii="Arial"/>
          <w:i/>
          <w:spacing w:val="8"/>
          <w:sz w:val="20"/>
        </w:rPr>
        <w:t> </w:t>
      </w:r>
      <w:r>
        <w:rPr>
          <w:rFonts w:ascii="Arial"/>
          <w:i/>
          <w:sz w:val="20"/>
        </w:rPr>
        <w:t>Ch.</w:t>
      </w:r>
      <w:r>
        <w:rPr>
          <w:rFonts w:ascii="Arial"/>
          <w:i/>
          <w:spacing w:val="8"/>
          <w:sz w:val="20"/>
        </w:rPr>
        <w:t> </w:t>
      </w:r>
      <w:r>
        <w:rPr>
          <w:rFonts w:ascii="Arial"/>
          <w:i/>
          <w:sz w:val="20"/>
        </w:rPr>
        <w:t>295</w:t>
      </w:r>
      <w:r>
        <w:rPr>
          <w:sz w:val="20"/>
        </w:rPr>
        <w:t>;</w:t>
      </w:r>
      <w:r>
        <w:rPr>
          <w:spacing w:val="8"/>
          <w:sz w:val="20"/>
        </w:rPr>
        <w:t> </w:t>
      </w:r>
      <w:r>
        <w:rPr>
          <w:rFonts w:ascii="Arial"/>
          <w:i/>
          <w:sz w:val="20"/>
        </w:rPr>
        <w:t>Galoo</w:t>
      </w:r>
      <w:r>
        <w:rPr>
          <w:rFonts w:ascii="Arial"/>
          <w:i/>
          <w:spacing w:val="8"/>
          <w:sz w:val="20"/>
        </w:rPr>
        <w:t> </w:t>
      </w:r>
      <w:r>
        <w:rPr>
          <w:rFonts w:ascii="Arial"/>
          <w:i/>
          <w:sz w:val="20"/>
        </w:rPr>
        <w:t>Ltd</w:t>
      </w:r>
      <w:r>
        <w:rPr>
          <w:rFonts w:ascii="Arial"/>
          <w:i/>
          <w:spacing w:val="8"/>
          <w:sz w:val="20"/>
        </w:rPr>
        <w:t> </w:t>
      </w:r>
      <w:r>
        <w:rPr>
          <w:rFonts w:ascii="Arial"/>
          <w:i/>
          <w:sz w:val="20"/>
        </w:rPr>
        <w:t>(In</w:t>
      </w:r>
      <w:r>
        <w:rPr>
          <w:rFonts w:ascii="Arial"/>
          <w:i/>
          <w:spacing w:val="8"/>
          <w:sz w:val="20"/>
        </w:rPr>
        <w:t> </w:t>
      </w:r>
      <w:r>
        <w:rPr>
          <w:rFonts w:ascii="Arial"/>
          <w:i/>
          <w:sz w:val="20"/>
        </w:rPr>
        <w:t>Liquidation)</w:t>
      </w:r>
      <w:r>
        <w:rPr>
          <w:rFonts w:ascii="Arial"/>
          <w:i/>
          <w:spacing w:val="8"/>
          <w:sz w:val="20"/>
        </w:rPr>
        <w:t> </w:t>
      </w:r>
      <w:r>
        <w:rPr>
          <w:rFonts w:ascii="Arial"/>
          <w:i/>
          <w:spacing w:val="-10"/>
          <w:sz w:val="20"/>
        </w:rPr>
        <w:t>v</w:t>
      </w:r>
    </w:p>
    <w:p>
      <w:pPr>
        <w:spacing w:after="0"/>
        <w:jc w:val="left"/>
        <w:rPr>
          <w:rFonts w:ascii="Arial"/>
          <w:i/>
          <w:sz w:val="20"/>
        </w:rPr>
        <w:sectPr>
          <w:type w:val="continuous"/>
          <w:pgSz w:w="11900" w:h="16840"/>
          <w:pgMar w:header="971" w:footer="0" w:top="1160" w:bottom="280" w:left="1275" w:right="1275"/>
        </w:sectPr>
      </w:pPr>
    </w:p>
    <w:p>
      <w:pPr>
        <w:pStyle w:val="BodyText"/>
        <w:spacing w:before="21"/>
        <w:rPr>
          <w:rFonts w:ascii="Arial"/>
          <w:i/>
        </w:rPr>
      </w:pPr>
    </w:p>
    <w:p>
      <w:pPr>
        <w:spacing w:before="0"/>
        <w:ind w:left="705" w:right="0" w:firstLine="0"/>
        <w:jc w:val="left"/>
        <w:rPr>
          <w:sz w:val="20"/>
        </w:rPr>
      </w:pPr>
      <w:r>
        <w:rPr>
          <w:rFonts w:ascii="Arial"/>
          <w:i/>
          <w:sz w:val="20"/>
        </w:rPr>
        <w:t>Bright Grahame Murray [1994] 1 W.L.R. </w:t>
      </w:r>
      <w:r>
        <w:rPr>
          <w:rFonts w:ascii="Arial"/>
          <w:i/>
          <w:spacing w:val="-2"/>
          <w:sz w:val="20"/>
        </w:rPr>
        <w:t>1360</w:t>
      </w:r>
      <w:r>
        <w:rPr>
          <w:spacing w:val="-2"/>
          <w:sz w:val="20"/>
        </w:rPr>
        <w:t>.</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9632">
            <wp:simplePos x="0" y="0"/>
            <wp:positionH relativeFrom="page">
              <wp:posOffset>1257846</wp:posOffset>
            </wp:positionH>
            <wp:positionV relativeFrom="paragraph">
              <wp:posOffset>160187</wp:posOffset>
            </wp:positionV>
            <wp:extent cx="107988" cy="107988"/>
            <wp:effectExtent l="0" t="0" r="0" b="0"/>
            <wp:wrapNone/>
            <wp:docPr id="90" name="Image 90"/>
            <wp:cNvGraphicFramePr>
              <a:graphicFrameLocks/>
            </wp:cNvGraphicFramePr>
            <a:graphic>
              <a:graphicData uri="http://schemas.openxmlformats.org/drawingml/2006/picture">
                <pic:pic>
                  <pic:nvPicPr>
                    <pic:cNvPr id="90" name="Image 9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87" w:id="389"/>
      <w:bookmarkEnd w:id="389"/>
      <w:r>
        <w:rPr/>
      </w:r>
      <w:hyperlink w:history="true" w:anchor="_bookmark308">
        <w:r>
          <w:rPr>
            <w:color w:val="005DA1"/>
            <w:spacing w:val="-4"/>
            <w:sz w:val="14"/>
            <w:u w:val="single" w:color="005DA1"/>
          </w:rPr>
          <w:t>173</w:t>
        </w:r>
      </w:hyperlink>
      <w:r>
        <w:rPr>
          <w:spacing w:val="-4"/>
          <w:sz w:val="14"/>
        </w:rPr>
        <w:t>.</w:t>
      </w:r>
    </w:p>
    <w:p>
      <w:pPr>
        <w:spacing w:line="235" w:lineRule="auto" w:before="212"/>
        <w:ind w:left="165" w:right="0" w:firstLine="170"/>
        <w:jc w:val="left"/>
        <w:rPr>
          <w:sz w:val="20"/>
        </w:rPr>
      </w:pPr>
      <w:r>
        <w:rPr/>
        <w:br w:type="column"/>
      </w:r>
      <w:r>
        <w:rPr>
          <w:sz w:val="20"/>
        </w:rPr>
        <w:t>Cartwright,</w:t>
      </w:r>
      <w:r>
        <w:rPr>
          <w:spacing w:val="79"/>
          <w:sz w:val="20"/>
        </w:rPr>
        <w:t> </w:t>
      </w:r>
      <w:r>
        <w:rPr>
          <w:rFonts w:ascii="Arial"/>
          <w:i/>
          <w:sz w:val="20"/>
        </w:rPr>
        <w:t>Misrepresentation,</w:t>
      </w:r>
      <w:r>
        <w:rPr>
          <w:rFonts w:ascii="Arial"/>
          <w:i/>
          <w:spacing w:val="79"/>
          <w:sz w:val="20"/>
        </w:rPr>
        <w:t> </w:t>
      </w:r>
      <w:r>
        <w:rPr>
          <w:rFonts w:ascii="Arial"/>
          <w:i/>
          <w:sz w:val="20"/>
        </w:rPr>
        <w:t>Mistake</w:t>
      </w:r>
      <w:r>
        <w:rPr>
          <w:rFonts w:ascii="Arial"/>
          <w:i/>
          <w:spacing w:val="79"/>
          <w:sz w:val="20"/>
        </w:rPr>
        <w:t> </w:t>
      </w:r>
      <w:r>
        <w:rPr>
          <w:rFonts w:ascii="Arial"/>
          <w:i/>
          <w:sz w:val="20"/>
        </w:rPr>
        <w:t>and</w:t>
      </w:r>
      <w:r>
        <w:rPr>
          <w:rFonts w:ascii="Arial"/>
          <w:i/>
          <w:spacing w:val="79"/>
          <w:sz w:val="20"/>
        </w:rPr>
        <w:t> </w:t>
      </w:r>
      <w:r>
        <w:rPr>
          <w:rFonts w:ascii="Arial"/>
          <w:i/>
          <w:sz w:val="20"/>
        </w:rPr>
        <w:t>Non-disclosure</w:t>
      </w:r>
      <w:r>
        <w:rPr>
          <w:sz w:val="20"/>
        </w:rPr>
        <w:t>,</w:t>
      </w:r>
      <w:r>
        <w:rPr>
          <w:spacing w:val="79"/>
          <w:sz w:val="20"/>
        </w:rPr>
        <w:t> </w:t>
      </w:r>
      <w:r>
        <w:rPr>
          <w:sz w:val="20"/>
        </w:rPr>
        <w:t>4th</w:t>
      </w:r>
      <w:r>
        <w:rPr>
          <w:spacing w:val="79"/>
          <w:sz w:val="20"/>
        </w:rPr>
        <w:t> </w:t>
      </w:r>
      <w:r>
        <w:rPr>
          <w:sz w:val="20"/>
        </w:rPr>
        <w:t>edn</w:t>
      </w:r>
      <w:r>
        <w:rPr>
          <w:spacing w:val="79"/>
          <w:sz w:val="20"/>
        </w:rPr>
        <w:t> </w:t>
      </w:r>
      <w:r>
        <w:rPr>
          <w:sz w:val="20"/>
        </w:rPr>
        <w:t>(2016),</w:t>
      </w:r>
      <w:r>
        <w:rPr>
          <w:spacing w:val="79"/>
          <w:sz w:val="20"/>
        </w:rPr>
        <w:t> </w:t>
      </w:r>
      <w:r>
        <w:rPr>
          <w:sz w:val="20"/>
        </w:rPr>
        <w:t>para.5-</w:t>
      </w:r>
      <w:r>
        <w:rPr>
          <w:sz w:val="20"/>
        </w:rPr>
        <w:t>19; Compare Clerk &amp; Lindsell on Torts, 21st edn (2014), para.18-30.</w:t>
      </w:r>
    </w:p>
    <w:p>
      <w:pPr>
        <w:spacing w:after="0" w:line="235" w:lineRule="auto"/>
        <w:jc w:val="left"/>
        <w:rPr>
          <w:sz w:val="20"/>
        </w:rPr>
        <w:sectPr>
          <w:type w:val="continuous"/>
          <w:pgSz w:w="11900" w:h="16840"/>
          <w:pgMar w:header="971" w:footer="0" w:top="1160" w:bottom="280" w:left="1275" w:right="1275"/>
          <w:cols w:num="2" w:equalWidth="0">
            <w:col w:w="478" w:space="63"/>
            <w:col w:w="8809"/>
          </w:cols>
        </w:sectPr>
      </w:pPr>
    </w:p>
    <w:p>
      <w:pPr>
        <w:pStyle w:val="BodyText"/>
        <w:spacing w:before="5"/>
      </w:pPr>
    </w:p>
    <w:p>
      <w:pPr>
        <w:pStyle w:val="BodyText"/>
        <w:tabs>
          <w:tab w:pos="705" w:val="left" w:leader="none"/>
        </w:tabs>
        <w:ind w:left="165"/>
      </w:pPr>
      <w:bookmarkStart w:name="_bookmark388" w:id="390"/>
      <w:bookmarkEnd w:id="390"/>
      <w:r>
        <w:rPr/>
      </w:r>
      <w:hyperlink w:history="true" w:anchor="_bookmark309">
        <w:r>
          <w:rPr>
            <w:color w:val="005DA1"/>
            <w:spacing w:val="-4"/>
            <w:position w:val="5"/>
            <w:sz w:val="14"/>
            <w:u w:val="single" w:color="005DA1"/>
          </w:rPr>
          <w:t>174</w:t>
        </w:r>
      </w:hyperlink>
      <w:r>
        <w:rPr>
          <w:spacing w:val="-4"/>
          <w:position w:val="5"/>
          <w:sz w:val="14"/>
        </w:rPr>
        <w:t>.</w:t>
      </w:r>
      <w:r>
        <w:rPr>
          <w:position w:val="5"/>
          <w:sz w:val="14"/>
        </w:rPr>
        <w:tab/>
      </w:r>
      <w:r>
        <w:rPr/>
        <w:t>See</w:t>
      </w:r>
      <w:r>
        <w:rPr>
          <w:spacing w:val="-2"/>
        </w:rPr>
        <w:t> </w:t>
      </w:r>
      <w:r>
        <w:rPr/>
        <w:t>above, para.7-</w:t>
      </w:r>
      <w:r>
        <w:rPr>
          <w:spacing w:val="-4"/>
        </w:rPr>
        <w:t>031.</w:t>
      </w: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0144">
            <wp:simplePos x="0" y="0"/>
            <wp:positionH relativeFrom="page">
              <wp:posOffset>1257846</wp:posOffset>
            </wp:positionH>
            <wp:positionV relativeFrom="paragraph">
              <wp:posOffset>160371</wp:posOffset>
            </wp:positionV>
            <wp:extent cx="107988" cy="107988"/>
            <wp:effectExtent l="0" t="0" r="0" b="0"/>
            <wp:wrapNone/>
            <wp:docPr id="91" name="Image 91"/>
            <wp:cNvGraphicFramePr>
              <a:graphicFrameLocks/>
            </wp:cNvGraphicFramePr>
            <a:graphic>
              <a:graphicData uri="http://schemas.openxmlformats.org/drawingml/2006/picture">
                <pic:pic>
                  <pic:nvPicPr>
                    <pic:cNvPr id="91" name="Image 9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89" w:id="391"/>
      <w:bookmarkEnd w:id="391"/>
      <w:r>
        <w:rPr/>
      </w:r>
      <w:hyperlink w:history="true" w:anchor="_bookmark310">
        <w:r>
          <w:rPr>
            <w:color w:val="005DA1"/>
            <w:spacing w:val="-4"/>
            <w:sz w:val="14"/>
            <w:u w:val="single" w:color="005DA1"/>
          </w:rPr>
          <w:t>175</w:t>
        </w:r>
      </w:hyperlink>
      <w:r>
        <w:rPr>
          <w:spacing w:val="-4"/>
          <w:sz w:val="14"/>
        </w:rPr>
        <w:t>.</w:t>
      </w:r>
    </w:p>
    <w:p>
      <w:pPr>
        <w:spacing w:line="235" w:lineRule="auto" w:before="212"/>
        <w:ind w:left="165" w:right="167" w:firstLine="170"/>
        <w:jc w:val="both"/>
        <w:rPr>
          <w:sz w:val="20"/>
        </w:rPr>
      </w:pPr>
      <w:r>
        <w:rPr/>
        <w:br w:type="column"/>
      </w:r>
      <w:r>
        <w:rPr>
          <w:sz w:val="20"/>
        </w:rPr>
        <w:t>Cartwright, </w:t>
      </w:r>
      <w:r>
        <w:rPr>
          <w:rFonts w:ascii="Arial"/>
          <w:i/>
          <w:sz w:val="20"/>
        </w:rPr>
        <w:t>Misrepresentation, Mistake and Non-disclosure</w:t>
      </w:r>
      <w:r>
        <w:rPr>
          <w:sz w:val="20"/>
        </w:rPr>
        <w:t>, 4th edn (2016), para.3-49. In </w:t>
      </w:r>
      <w:r>
        <w:rPr>
          <w:sz w:val="20"/>
        </w:rPr>
        <w:t>a case of fraud it is necessary only that the representor intended the representation to be acted on:</w:t>
      </w:r>
      <w:r>
        <w:rPr>
          <w:spacing w:val="-1"/>
          <w:sz w:val="20"/>
        </w:rPr>
        <w:t> </w:t>
      </w:r>
      <w:r>
        <w:rPr>
          <w:rFonts w:ascii="Arial"/>
          <w:i/>
          <w:sz w:val="20"/>
        </w:rPr>
        <w:t>Goose</w:t>
      </w:r>
      <w:r>
        <w:rPr>
          <w:rFonts w:ascii="Arial"/>
          <w:i/>
          <w:spacing w:val="-1"/>
          <w:sz w:val="20"/>
        </w:rPr>
        <w:t> </w:t>
      </w:r>
      <w:r>
        <w:rPr>
          <w:rFonts w:ascii="Arial"/>
          <w:i/>
          <w:sz w:val="20"/>
        </w:rPr>
        <w:t>v</w:t>
      </w:r>
      <w:r>
        <w:rPr>
          <w:rFonts w:ascii="Arial"/>
          <w:i/>
          <w:spacing w:val="-1"/>
          <w:sz w:val="20"/>
        </w:rPr>
        <w:t> </w:t>
      </w:r>
      <w:r>
        <w:rPr>
          <w:rFonts w:ascii="Arial"/>
          <w:i/>
          <w:sz w:val="20"/>
        </w:rPr>
        <w:t>Wilson</w:t>
      </w:r>
      <w:r>
        <w:rPr>
          <w:rFonts w:ascii="Arial"/>
          <w:i/>
          <w:spacing w:val="-1"/>
          <w:sz w:val="20"/>
        </w:rPr>
        <w:t> </w:t>
      </w:r>
      <w:r>
        <w:rPr>
          <w:rFonts w:ascii="Arial"/>
          <w:i/>
          <w:sz w:val="20"/>
        </w:rPr>
        <w:t>Sandford</w:t>
      </w:r>
      <w:r>
        <w:rPr>
          <w:rFonts w:ascii="Arial"/>
          <w:i/>
          <w:spacing w:val="-1"/>
          <w:sz w:val="20"/>
        </w:rPr>
        <w:t> </w:t>
      </w:r>
      <w:r>
        <w:rPr>
          <w:rFonts w:ascii="Arial"/>
          <w:i/>
          <w:sz w:val="20"/>
        </w:rPr>
        <w:t>(No.2)</w:t>
      </w:r>
      <w:r>
        <w:rPr>
          <w:rFonts w:ascii="Arial"/>
          <w:i/>
          <w:spacing w:val="-1"/>
          <w:sz w:val="20"/>
        </w:rPr>
        <w:t> </w:t>
      </w:r>
      <w:r>
        <w:rPr>
          <w:rFonts w:ascii="Arial"/>
          <w:i/>
          <w:sz w:val="20"/>
        </w:rPr>
        <w:t>[2000]</w:t>
      </w:r>
      <w:r>
        <w:rPr>
          <w:rFonts w:ascii="Arial"/>
          <w:i/>
          <w:spacing w:val="-1"/>
          <w:sz w:val="20"/>
        </w:rPr>
        <w:t> </w:t>
      </w:r>
      <w:r>
        <w:rPr>
          <w:rFonts w:ascii="Arial"/>
          <w:i/>
          <w:sz w:val="20"/>
        </w:rPr>
        <w:t>All</w:t>
      </w:r>
      <w:r>
        <w:rPr>
          <w:rFonts w:ascii="Arial"/>
          <w:i/>
          <w:spacing w:val="-1"/>
          <w:sz w:val="20"/>
        </w:rPr>
        <w:t> </w:t>
      </w:r>
      <w:r>
        <w:rPr>
          <w:rFonts w:ascii="Arial"/>
          <w:i/>
          <w:sz w:val="20"/>
        </w:rPr>
        <w:t>E.R.</w:t>
      </w:r>
      <w:r>
        <w:rPr>
          <w:rFonts w:ascii="Arial"/>
          <w:i/>
          <w:spacing w:val="-1"/>
          <w:sz w:val="20"/>
        </w:rPr>
        <w:t> </w:t>
      </w:r>
      <w:r>
        <w:rPr>
          <w:rFonts w:ascii="Arial"/>
          <w:i/>
          <w:sz w:val="20"/>
        </w:rPr>
        <w:t>(D)</w:t>
      </w:r>
      <w:r>
        <w:rPr>
          <w:rFonts w:ascii="Arial"/>
          <w:i/>
          <w:spacing w:val="-1"/>
          <w:sz w:val="20"/>
        </w:rPr>
        <w:t> </w:t>
      </w:r>
      <w:r>
        <w:rPr>
          <w:rFonts w:ascii="Arial"/>
          <w:i/>
          <w:sz w:val="20"/>
        </w:rPr>
        <w:t>324</w:t>
      </w:r>
      <w:r>
        <w:rPr>
          <w:rFonts w:ascii="Arial"/>
          <w:i/>
          <w:spacing w:val="-1"/>
          <w:sz w:val="20"/>
        </w:rPr>
        <w:t> </w:t>
      </w:r>
      <w:r>
        <w:rPr>
          <w:sz w:val="20"/>
        </w:rPr>
        <w:t>at</w:t>
      </w:r>
      <w:r>
        <w:rPr>
          <w:spacing w:val="-1"/>
          <w:sz w:val="20"/>
        </w:rPr>
        <w:t> </w:t>
      </w:r>
      <w:r>
        <w:rPr>
          <w:sz w:val="20"/>
        </w:rPr>
        <w:t>[48];</w:t>
      </w:r>
      <w:r>
        <w:rPr>
          <w:spacing w:val="-1"/>
          <w:sz w:val="20"/>
        </w:rPr>
        <w:t> </w:t>
      </w:r>
      <w:r>
        <w:rPr>
          <w:rFonts w:ascii="Arial"/>
          <w:i/>
          <w:sz w:val="20"/>
        </w:rPr>
        <w:t>Mead</w:t>
      </w:r>
      <w:r>
        <w:rPr>
          <w:rFonts w:ascii="Arial"/>
          <w:i/>
          <w:spacing w:val="-1"/>
          <w:sz w:val="20"/>
        </w:rPr>
        <w:t> </w:t>
      </w:r>
      <w:r>
        <w:rPr>
          <w:rFonts w:ascii="Arial"/>
          <w:i/>
          <w:sz w:val="20"/>
        </w:rPr>
        <w:t>v</w:t>
      </w:r>
      <w:r>
        <w:rPr>
          <w:rFonts w:ascii="Arial"/>
          <w:i/>
          <w:spacing w:val="-1"/>
          <w:sz w:val="20"/>
        </w:rPr>
        <w:t> </w:t>
      </w:r>
      <w:r>
        <w:rPr>
          <w:rFonts w:ascii="Arial"/>
          <w:i/>
          <w:sz w:val="20"/>
        </w:rPr>
        <w:t>Babington</w:t>
      </w:r>
      <w:r>
        <w:rPr>
          <w:rFonts w:ascii="Arial"/>
          <w:i/>
          <w:spacing w:val="-1"/>
          <w:sz w:val="20"/>
        </w:rPr>
        <w:t> </w:t>
      </w:r>
      <w:r>
        <w:rPr>
          <w:rFonts w:ascii="Arial"/>
          <w:i/>
          <w:sz w:val="20"/>
        </w:rPr>
        <w:t>(formerly t/a Babington Estate Agents) [2007] EWCA Civ 518 </w:t>
      </w:r>
      <w:r>
        <w:rPr>
          <w:sz w:val="20"/>
        </w:rPr>
        <w:t>at [16].</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8"/>
      </w:pPr>
    </w:p>
    <w:p>
      <w:pPr>
        <w:tabs>
          <w:tab w:pos="705" w:val="left" w:leader="none"/>
        </w:tabs>
        <w:spacing w:line="235" w:lineRule="auto" w:before="1"/>
        <w:ind w:left="705" w:right="168" w:hanging="541"/>
        <w:jc w:val="left"/>
        <w:rPr>
          <w:sz w:val="20"/>
        </w:rPr>
      </w:pPr>
      <w:bookmarkStart w:name="_bookmark390" w:id="392"/>
      <w:bookmarkEnd w:id="392"/>
      <w:r>
        <w:rPr/>
      </w:r>
      <w:hyperlink w:history="true" w:anchor="_bookmark311">
        <w:r>
          <w:rPr>
            <w:color w:val="005DA1"/>
            <w:spacing w:val="-4"/>
            <w:position w:val="5"/>
            <w:sz w:val="14"/>
            <w:u w:val="single" w:color="005DA1"/>
          </w:rPr>
          <w:t>176</w:t>
        </w:r>
      </w:hyperlink>
      <w:r>
        <w:rPr>
          <w:spacing w:val="-4"/>
          <w:position w:val="5"/>
          <w:sz w:val="14"/>
        </w:rPr>
        <w:t>.</w:t>
      </w:r>
      <w:r>
        <w:rPr>
          <w:position w:val="5"/>
          <w:sz w:val="14"/>
        </w:rPr>
        <w:tab/>
      </w:r>
      <w:r>
        <w:rPr>
          <w:sz w:val="20"/>
        </w:rPr>
        <w:t>See below, para.7-078; </w:t>
      </w:r>
      <w:r>
        <w:rPr>
          <w:rFonts w:ascii="Arial"/>
          <w:i/>
          <w:sz w:val="20"/>
        </w:rPr>
        <w:t>Banque Keyser Ullman SA v Skandia (UK) Insurance Ltd [1990] 1 Q.B. 665, 790 (affirmed on other grounds [1991] 2 A.C. 249)</w:t>
      </w:r>
      <w:r>
        <w:rPr>
          <w:sz w:val="20"/>
        </w:rPr>
        <w:t>.</w:t>
      </w:r>
    </w:p>
    <w:p>
      <w:pPr>
        <w:pStyle w:val="BodyText"/>
        <w:spacing w:before="5"/>
      </w:pPr>
    </w:p>
    <w:p>
      <w:pPr>
        <w:pStyle w:val="BodyText"/>
        <w:tabs>
          <w:tab w:pos="705" w:val="left" w:leader="none"/>
        </w:tabs>
        <w:ind w:left="165"/>
      </w:pPr>
      <w:bookmarkStart w:name="_bookmark391" w:id="393"/>
      <w:bookmarkEnd w:id="393"/>
      <w:r>
        <w:rPr/>
      </w:r>
      <w:hyperlink w:history="true" w:anchor="_bookmark312">
        <w:r>
          <w:rPr>
            <w:color w:val="005DA1"/>
            <w:spacing w:val="-4"/>
            <w:position w:val="5"/>
            <w:sz w:val="14"/>
            <w:u w:val="single" w:color="005DA1"/>
          </w:rPr>
          <w:t>177</w:t>
        </w:r>
      </w:hyperlink>
      <w:r>
        <w:rPr>
          <w:spacing w:val="-4"/>
          <w:position w:val="5"/>
          <w:sz w:val="14"/>
        </w:rPr>
        <w:t>.</w:t>
      </w:r>
      <w:r>
        <w:rPr>
          <w:position w:val="5"/>
          <w:sz w:val="14"/>
        </w:rPr>
        <w:tab/>
      </w:r>
      <w:r>
        <w:rPr/>
        <w:t>See</w:t>
      </w:r>
      <w:r>
        <w:rPr>
          <w:spacing w:val="-2"/>
        </w:rPr>
        <w:t> </w:t>
      </w:r>
      <w:r>
        <w:rPr/>
        <w:t>above, para.7-</w:t>
      </w:r>
      <w:r>
        <w:rPr>
          <w:spacing w:val="-4"/>
        </w:rPr>
        <w:t>032.</w:t>
      </w:r>
    </w:p>
    <w:p>
      <w:pPr>
        <w:pStyle w:val="BodyText"/>
        <w:spacing w:before="5"/>
      </w:pPr>
    </w:p>
    <w:p>
      <w:pPr>
        <w:pStyle w:val="BodyText"/>
        <w:tabs>
          <w:tab w:pos="705" w:val="left" w:leader="none"/>
        </w:tabs>
        <w:ind w:left="165"/>
      </w:pPr>
      <w:bookmarkStart w:name="_bookmark392" w:id="394"/>
      <w:bookmarkEnd w:id="394"/>
      <w:r>
        <w:rPr/>
      </w:r>
      <w:hyperlink w:history="true" w:anchor="_bookmark313">
        <w:r>
          <w:rPr>
            <w:color w:val="005DA1"/>
            <w:spacing w:val="-4"/>
            <w:position w:val="5"/>
            <w:sz w:val="14"/>
            <w:u w:val="single" w:color="005DA1"/>
          </w:rPr>
          <w:t>178</w:t>
        </w:r>
      </w:hyperlink>
      <w:r>
        <w:rPr>
          <w:spacing w:val="-4"/>
          <w:position w:val="5"/>
          <w:sz w:val="14"/>
        </w:rPr>
        <w:t>.</w:t>
      </w:r>
      <w:r>
        <w:rPr>
          <w:position w:val="5"/>
          <w:sz w:val="14"/>
        </w:rPr>
        <w:tab/>
      </w:r>
      <w:r>
        <w:rPr/>
        <w:t>See</w:t>
      </w:r>
      <w:r>
        <w:rPr>
          <w:spacing w:val="-2"/>
        </w:rPr>
        <w:t> </w:t>
      </w:r>
      <w:r>
        <w:rPr/>
        <w:t>above, para.7-</w:t>
      </w:r>
      <w:r>
        <w:rPr>
          <w:spacing w:val="-4"/>
        </w:rPr>
        <w:t>006.</w:t>
      </w:r>
    </w:p>
    <w:p>
      <w:pPr>
        <w:pStyle w:val="BodyText"/>
        <w:spacing w:before="5"/>
      </w:pPr>
    </w:p>
    <w:p>
      <w:pPr>
        <w:tabs>
          <w:tab w:pos="705" w:val="left" w:leader="none"/>
        </w:tabs>
        <w:spacing w:before="0"/>
        <w:ind w:left="165" w:right="0" w:firstLine="0"/>
        <w:jc w:val="left"/>
        <w:rPr>
          <w:sz w:val="20"/>
        </w:rPr>
      </w:pPr>
      <w:bookmarkStart w:name="_bookmark393" w:id="395"/>
      <w:bookmarkEnd w:id="395"/>
      <w:r>
        <w:rPr/>
      </w:r>
      <w:hyperlink w:history="true" w:anchor="_bookmark314">
        <w:r>
          <w:rPr>
            <w:color w:val="005DA1"/>
            <w:spacing w:val="-4"/>
            <w:position w:val="5"/>
            <w:sz w:val="14"/>
            <w:u w:val="single" w:color="005DA1"/>
          </w:rPr>
          <w:t>179</w:t>
        </w:r>
      </w:hyperlink>
      <w:r>
        <w:rPr>
          <w:spacing w:val="-4"/>
          <w:position w:val="5"/>
          <w:sz w:val="14"/>
        </w:rPr>
        <w:t>.</w:t>
      </w:r>
      <w:r>
        <w:rPr>
          <w:position w:val="5"/>
          <w:sz w:val="14"/>
        </w:rPr>
        <w:tab/>
      </w:r>
      <w:r>
        <w:rPr>
          <w:rFonts w:ascii="Arial"/>
          <w:i/>
          <w:sz w:val="20"/>
        </w:rPr>
        <w:t>(1862)</w:t>
      </w:r>
      <w:r>
        <w:rPr>
          <w:rFonts w:ascii="Arial"/>
          <w:i/>
          <w:spacing w:val="-2"/>
          <w:sz w:val="20"/>
        </w:rPr>
        <w:t> </w:t>
      </w:r>
      <w:r>
        <w:rPr>
          <w:rFonts w:ascii="Arial"/>
          <w:i/>
          <w:sz w:val="20"/>
        </w:rPr>
        <w:t>6 L.T. </w:t>
      </w:r>
      <w:r>
        <w:rPr>
          <w:rFonts w:ascii="Arial"/>
          <w:i/>
          <w:spacing w:val="-4"/>
          <w:sz w:val="20"/>
        </w:rPr>
        <w:t>870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94" w:id="396"/>
      <w:bookmarkEnd w:id="396"/>
      <w:r>
        <w:rPr/>
      </w:r>
      <w:hyperlink w:history="true" w:anchor="_bookmark315">
        <w:r>
          <w:rPr>
            <w:color w:val="005DA1"/>
            <w:spacing w:val="-4"/>
            <w:position w:val="5"/>
            <w:sz w:val="14"/>
            <w:u w:val="single" w:color="005DA1"/>
          </w:rPr>
          <w:t>180</w:t>
        </w:r>
      </w:hyperlink>
      <w:r>
        <w:rPr>
          <w:spacing w:val="-4"/>
          <w:position w:val="5"/>
          <w:sz w:val="14"/>
        </w:rPr>
        <w:t>.</w:t>
      </w:r>
      <w:r>
        <w:rPr>
          <w:position w:val="5"/>
          <w:sz w:val="14"/>
        </w:rPr>
        <w:tab/>
      </w:r>
      <w:r>
        <w:rPr>
          <w:rFonts w:ascii="Arial"/>
          <w:i/>
          <w:sz w:val="20"/>
        </w:rPr>
        <w:t>(1862)</w:t>
      </w:r>
      <w:r>
        <w:rPr>
          <w:rFonts w:ascii="Arial"/>
          <w:i/>
          <w:spacing w:val="-2"/>
          <w:sz w:val="20"/>
        </w:rPr>
        <w:t> </w:t>
      </w:r>
      <w:r>
        <w:rPr>
          <w:rFonts w:ascii="Arial"/>
          <w:i/>
          <w:sz w:val="20"/>
        </w:rPr>
        <w:t>6 L.T. 870, </w:t>
      </w:r>
      <w:r>
        <w:rPr>
          <w:rFonts w:ascii="Arial"/>
          <w:i/>
          <w:spacing w:val="-4"/>
          <w:sz w:val="20"/>
        </w:rPr>
        <w:t>874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95" w:id="397"/>
      <w:bookmarkEnd w:id="397"/>
      <w:r>
        <w:rPr/>
      </w:r>
      <w:hyperlink w:history="true" w:anchor="_bookmark316">
        <w:r>
          <w:rPr>
            <w:color w:val="005DA1"/>
            <w:spacing w:val="-4"/>
            <w:position w:val="5"/>
            <w:sz w:val="14"/>
            <w:u w:val="single" w:color="005DA1"/>
          </w:rPr>
          <w:t>181</w:t>
        </w:r>
      </w:hyperlink>
      <w:r>
        <w:rPr>
          <w:spacing w:val="-4"/>
          <w:position w:val="5"/>
          <w:sz w:val="14"/>
        </w:rPr>
        <w:t>.</w:t>
      </w:r>
      <w:r>
        <w:rPr>
          <w:position w:val="5"/>
          <w:sz w:val="14"/>
        </w:rPr>
        <w:tab/>
      </w:r>
      <w:r>
        <w:rPr>
          <w:rFonts w:ascii="Arial"/>
          <w:i/>
          <w:sz w:val="20"/>
        </w:rPr>
        <w:t>[1912] A.C. 186 </w:t>
      </w:r>
      <w:r>
        <w:rPr>
          <w:rFonts w:ascii="Arial"/>
          <w:i/>
          <w:spacing w:val="-5"/>
          <w:sz w:val="20"/>
        </w:rPr>
        <w:t>PC</w:t>
      </w:r>
      <w:r>
        <w:rPr>
          <w:spacing w:val="-5"/>
          <w:sz w:val="20"/>
        </w:rPr>
        <w:t>.</w:t>
      </w:r>
    </w:p>
    <w:p>
      <w:pPr>
        <w:pStyle w:val="BodyText"/>
        <w:spacing w:before="9"/>
      </w:pPr>
    </w:p>
    <w:p>
      <w:pPr>
        <w:spacing w:line="235" w:lineRule="auto" w:before="0"/>
        <w:ind w:left="705" w:right="167" w:hanging="541"/>
        <w:jc w:val="both"/>
        <w:rPr>
          <w:sz w:val="20"/>
        </w:rPr>
      </w:pPr>
      <w:bookmarkStart w:name="_bookmark396" w:id="398"/>
      <w:bookmarkEnd w:id="398"/>
      <w:r>
        <w:rPr/>
      </w:r>
      <w:hyperlink w:history="true" w:anchor="_bookmark317">
        <w:r>
          <w:rPr>
            <w:color w:val="005DA1"/>
            <w:position w:val="5"/>
            <w:sz w:val="14"/>
            <w:u w:val="single" w:color="005DA1"/>
          </w:rPr>
          <w:t>182</w:t>
        </w:r>
      </w:hyperlink>
      <w:r>
        <w:rPr>
          <w:position w:val="5"/>
          <w:sz w:val="14"/>
        </w:rPr>
        <w:t>.</w:t>
      </w:r>
      <w:r>
        <w:rPr>
          <w:spacing w:val="80"/>
          <w:w w:val="150"/>
          <w:position w:val="5"/>
          <w:sz w:val="14"/>
        </w:rPr>
        <w:t> </w:t>
      </w:r>
      <w:r>
        <w:rPr>
          <w:sz w:val="20"/>
        </w:rPr>
        <w:t>See also </w:t>
      </w:r>
      <w:r>
        <w:rPr>
          <w:rFonts w:ascii="Arial" w:hAnsi="Arial"/>
          <w:i/>
          <w:sz w:val="20"/>
        </w:rPr>
        <w:t>Banque Keyser Ullman SA v Skandia (UK) Insurance Ltd [1990] 1 Q.B. 665, </w:t>
      </w:r>
      <w:r>
        <w:rPr>
          <w:rFonts w:ascii="Arial" w:hAnsi="Arial"/>
          <w:i/>
          <w:sz w:val="20"/>
        </w:rPr>
        <w:t>790 (affirmed on other grounds [1991] 2 A.C. 249)</w:t>
      </w:r>
      <w:r>
        <w:rPr>
          <w:sz w:val="20"/>
        </w:rPr>
        <w:t>. In </w:t>
      </w:r>
      <w:r>
        <w:rPr>
          <w:rFonts w:ascii="Arial" w:hAnsi="Arial"/>
          <w:i/>
          <w:sz w:val="20"/>
        </w:rPr>
        <w:t>Gabriel v Little [2013] EWCA Civ 1513 </w:t>
      </w:r>
      <w:r>
        <w:rPr>
          <w:sz w:val="20"/>
        </w:rPr>
        <w:t>it was held that “whilst the motive of the representor is irrelevant, an intention to influence the mind of the representee must be shown if the requisite dishonest intention is to be established” (at </w:t>
      </w:r>
      <w:r>
        <w:rPr>
          <w:spacing w:val="-2"/>
          <w:sz w:val="20"/>
        </w:rPr>
        <w:t>[33]).</w:t>
      </w:r>
    </w:p>
    <w:p>
      <w:pPr>
        <w:pStyle w:val="BodyText"/>
        <w:spacing w:before="5"/>
      </w:pPr>
    </w:p>
    <w:p>
      <w:pPr>
        <w:tabs>
          <w:tab w:pos="705" w:val="left" w:leader="none"/>
        </w:tabs>
        <w:spacing w:before="0"/>
        <w:ind w:left="165" w:right="0" w:firstLine="0"/>
        <w:jc w:val="left"/>
        <w:rPr>
          <w:sz w:val="20"/>
        </w:rPr>
      </w:pPr>
      <w:bookmarkStart w:name="_bookmark397" w:id="399"/>
      <w:bookmarkEnd w:id="399"/>
      <w:r>
        <w:rPr/>
      </w:r>
      <w:hyperlink w:history="true" w:anchor="_bookmark318">
        <w:r>
          <w:rPr>
            <w:color w:val="005DA1"/>
            <w:spacing w:val="-4"/>
            <w:position w:val="5"/>
            <w:sz w:val="14"/>
            <w:u w:val="single" w:color="005DA1"/>
          </w:rPr>
          <w:t>183</w:t>
        </w:r>
      </w:hyperlink>
      <w:r>
        <w:rPr>
          <w:spacing w:val="-4"/>
          <w:position w:val="5"/>
          <w:sz w:val="14"/>
        </w:rPr>
        <w:t>.</w:t>
      </w:r>
      <w:r>
        <w:rPr>
          <w:position w:val="5"/>
          <w:sz w:val="14"/>
        </w:rPr>
        <w:tab/>
      </w:r>
      <w:r>
        <w:rPr>
          <w:sz w:val="20"/>
        </w:rPr>
        <w:t>Below, para.7-</w:t>
      </w:r>
      <w:r>
        <w:rPr>
          <w:spacing w:val="-4"/>
          <w:sz w:val="20"/>
        </w:rPr>
        <w:t>039.</w:t>
      </w:r>
    </w:p>
    <w:p>
      <w:pPr>
        <w:pStyle w:val="BodyText"/>
        <w:spacing w:before="8"/>
      </w:pPr>
    </w:p>
    <w:p>
      <w:pPr>
        <w:pStyle w:val="BodyText"/>
        <w:tabs>
          <w:tab w:pos="705" w:val="left" w:leader="none"/>
        </w:tabs>
        <w:spacing w:line="235" w:lineRule="auto"/>
        <w:ind w:left="705" w:right="168" w:hanging="541"/>
      </w:pPr>
      <w:bookmarkStart w:name="_bookmark398" w:id="400"/>
      <w:bookmarkEnd w:id="400"/>
      <w:r>
        <w:rPr/>
      </w:r>
      <w:hyperlink w:history="true" w:anchor="_bookmark319">
        <w:r>
          <w:rPr>
            <w:color w:val="005DA1"/>
            <w:spacing w:val="-4"/>
            <w:position w:val="5"/>
            <w:sz w:val="14"/>
            <w:u w:val="single" w:color="005DA1"/>
          </w:rPr>
          <w:t>184</w:t>
        </w:r>
      </w:hyperlink>
      <w:r>
        <w:rPr>
          <w:spacing w:val="-4"/>
          <w:position w:val="5"/>
          <w:sz w:val="14"/>
        </w:rPr>
        <w:t>.</w:t>
      </w:r>
      <w:r>
        <w:rPr>
          <w:position w:val="5"/>
          <w:sz w:val="14"/>
        </w:rPr>
        <w:tab/>
      </w:r>
      <w:r>
        <w:rPr/>
        <w:t>It</w:t>
      </w:r>
      <w:r>
        <w:rPr>
          <w:spacing w:val="30"/>
        </w:rPr>
        <w:t> </w:t>
      </w:r>
      <w:r>
        <w:rPr/>
        <w:t>may</w:t>
      </w:r>
      <w:r>
        <w:rPr>
          <w:spacing w:val="30"/>
        </w:rPr>
        <w:t> </w:t>
      </w:r>
      <w:r>
        <w:rPr/>
        <w:t>matter</w:t>
      </w:r>
      <w:r>
        <w:rPr>
          <w:spacing w:val="30"/>
        </w:rPr>
        <w:t> </w:t>
      </w:r>
      <w:r>
        <w:rPr/>
        <w:t>whether</w:t>
      </w:r>
      <w:r>
        <w:rPr>
          <w:spacing w:val="30"/>
        </w:rPr>
        <w:t> </w:t>
      </w:r>
      <w:r>
        <w:rPr/>
        <w:t>the</w:t>
      </w:r>
      <w:r>
        <w:rPr>
          <w:spacing w:val="30"/>
        </w:rPr>
        <w:t> </w:t>
      </w:r>
      <w:r>
        <w:rPr/>
        <w:t>misrepresentation</w:t>
      </w:r>
      <w:r>
        <w:rPr>
          <w:spacing w:val="30"/>
        </w:rPr>
        <w:t> </w:t>
      </w:r>
      <w:r>
        <w:rPr/>
        <w:t>was</w:t>
      </w:r>
      <w:r>
        <w:rPr>
          <w:spacing w:val="30"/>
        </w:rPr>
        <w:t> </w:t>
      </w:r>
      <w:r>
        <w:rPr/>
        <w:t>fraudulent</w:t>
      </w:r>
      <w:r>
        <w:rPr>
          <w:spacing w:val="30"/>
        </w:rPr>
        <w:t> </w:t>
      </w:r>
      <w:r>
        <w:rPr/>
        <w:t>or</w:t>
      </w:r>
      <w:r>
        <w:rPr>
          <w:spacing w:val="30"/>
        </w:rPr>
        <w:t> </w:t>
      </w:r>
      <w:r>
        <w:rPr/>
        <w:t>innocent</w:t>
      </w:r>
      <w:r>
        <w:rPr>
          <w:spacing w:val="30"/>
        </w:rPr>
        <w:t> </w:t>
      </w:r>
      <w:r>
        <w:rPr/>
        <w:t>for</w:t>
      </w:r>
      <w:r>
        <w:rPr>
          <w:spacing w:val="30"/>
        </w:rPr>
        <w:t> </w:t>
      </w:r>
      <w:r>
        <w:rPr/>
        <w:t>the</w:t>
      </w:r>
      <w:r>
        <w:rPr>
          <w:spacing w:val="30"/>
        </w:rPr>
        <w:t> </w:t>
      </w:r>
      <w:r>
        <w:rPr/>
        <w:t>purposes</w:t>
      </w:r>
      <w:r>
        <w:rPr>
          <w:spacing w:val="30"/>
        </w:rPr>
        <w:t> </w:t>
      </w:r>
      <w:r>
        <w:rPr/>
        <w:t>of Misrepresentation Act 1967 s.2(2): below, para.7-104.</w:t>
      </w:r>
    </w:p>
    <w:p>
      <w:pPr>
        <w:pStyle w:val="BodyText"/>
        <w:spacing w:before="6"/>
      </w:pPr>
    </w:p>
    <w:p>
      <w:pPr>
        <w:pStyle w:val="BodyText"/>
        <w:tabs>
          <w:tab w:pos="705" w:val="left" w:leader="none"/>
        </w:tabs>
        <w:ind w:left="165"/>
      </w:pPr>
      <w:bookmarkStart w:name="_bookmark399" w:id="401"/>
      <w:bookmarkEnd w:id="401"/>
      <w:r>
        <w:rPr/>
      </w:r>
      <w:hyperlink w:history="true" w:anchor="_bookmark320">
        <w:r>
          <w:rPr>
            <w:color w:val="005DA1"/>
            <w:spacing w:val="-4"/>
            <w:position w:val="5"/>
            <w:sz w:val="14"/>
            <w:u w:val="single" w:color="005DA1"/>
          </w:rPr>
          <w:t>185</w:t>
        </w:r>
      </w:hyperlink>
      <w:r>
        <w:rPr>
          <w:spacing w:val="-4"/>
          <w:position w:val="5"/>
          <w:sz w:val="14"/>
        </w:rPr>
        <w:t>.</w:t>
      </w:r>
      <w:r>
        <w:rPr>
          <w:position w:val="5"/>
          <w:sz w:val="14"/>
        </w:rPr>
        <w:tab/>
      </w:r>
      <w:r>
        <w:rPr/>
        <w:t>See generally Handley, “Causation in misrepresentation” (2015) 131 L.Q.R. </w:t>
      </w:r>
      <w:r>
        <w:rPr>
          <w:spacing w:val="-4"/>
        </w:rPr>
        <w:t>274.</w:t>
      </w:r>
    </w:p>
    <w:p>
      <w:pPr>
        <w:pStyle w:val="BodyText"/>
        <w:spacing w:before="5"/>
      </w:pPr>
    </w:p>
    <w:p>
      <w:pPr>
        <w:tabs>
          <w:tab w:pos="705" w:val="left" w:leader="none"/>
        </w:tabs>
        <w:spacing w:before="0"/>
        <w:ind w:left="165" w:right="0" w:firstLine="0"/>
        <w:jc w:val="left"/>
        <w:rPr>
          <w:sz w:val="20"/>
        </w:rPr>
      </w:pPr>
      <w:bookmarkStart w:name="_bookmark400" w:id="402"/>
      <w:bookmarkEnd w:id="402"/>
      <w:r>
        <w:rPr/>
      </w:r>
      <w:hyperlink w:history="true" w:anchor="_bookmark321">
        <w:r>
          <w:rPr>
            <w:color w:val="005DA1"/>
            <w:spacing w:val="-4"/>
            <w:position w:val="5"/>
            <w:sz w:val="14"/>
            <w:u w:val="single" w:color="005DA1"/>
          </w:rPr>
          <w:t>186</w:t>
        </w:r>
      </w:hyperlink>
      <w:r>
        <w:rPr>
          <w:spacing w:val="-4"/>
          <w:position w:val="5"/>
          <w:sz w:val="14"/>
        </w:rPr>
        <w:t>.</w:t>
      </w:r>
      <w:r>
        <w:rPr>
          <w:position w:val="5"/>
          <w:sz w:val="14"/>
        </w:rPr>
        <w:tab/>
      </w:r>
      <w:r>
        <w:rPr>
          <w:rFonts w:ascii="Arial"/>
          <w:i/>
          <w:sz w:val="20"/>
        </w:rPr>
        <w:t>Horsfall v Thomas (1862) 1 H. &amp; C. </w:t>
      </w:r>
      <w:r>
        <w:rPr>
          <w:rFonts w:ascii="Arial"/>
          <w:i/>
          <w:spacing w:val="-5"/>
          <w:sz w:val="20"/>
        </w:rPr>
        <w:t>90</w:t>
      </w:r>
      <w:r>
        <w:rPr>
          <w:spacing w:val="-5"/>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401" w:id="403"/>
      <w:bookmarkEnd w:id="403"/>
      <w:r>
        <w:rPr/>
      </w:r>
      <w:hyperlink w:history="true" w:anchor="_bookmark321">
        <w:r>
          <w:rPr>
            <w:color w:val="005DA1"/>
            <w:spacing w:val="-4"/>
            <w:position w:val="5"/>
            <w:sz w:val="14"/>
            <w:u w:val="single" w:color="005DA1"/>
          </w:rPr>
          <w:t>187</w:t>
        </w:r>
      </w:hyperlink>
      <w:r>
        <w:rPr>
          <w:spacing w:val="-4"/>
          <w:position w:val="5"/>
          <w:sz w:val="14"/>
        </w:rPr>
        <w:t>.</w:t>
      </w:r>
      <w:r>
        <w:rPr>
          <w:position w:val="5"/>
          <w:sz w:val="14"/>
        </w:rPr>
        <w:tab/>
      </w:r>
      <w:r>
        <w:rPr>
          <w:rFonts w:ascii="Arial"/>
          <w:i/>
          <w:sz w:val="20"/>
        </w:rPr>
        <w:t>Attwood</w:t>
      </w:r>
      <w:r>
        <w:rPr>
          <w:rFonts w:ascii="Arial"/>
          <w:i/>
          <w:spacing w:val="-1"/>
          <w:sz w:val="20"/>
        </w:rPr>
        <w:t> </w:t>
      </w:r>
      <w:r>
        <w:rPr>
          <w:rFonts w:ascii="Arial"/>
          <w:i/>
          <w:sz w:val="20"/>
        </w:rPr>
        <w:t>v Small (1838) 6 Cl. &amp; F. 232</w:t>
      </w:r>
      <w:r>
        <w:rPr>
          <w:sz w:val="20"/>
        </w:rPr>
        <w:t>; </w:t>
      </w:r>
      <w:r>
        <w:rPr>
          <w:rFonts w:ascii="Arial"/>
          <w:i/>
          <w:sz w:val="20"/>
        </w:rPr>
        <w:t>Jennings</w:t>
      </w:r>
      <w:r>
        <w:rPr>
          <w:rFonts w:ascii="Arial"/>
          <w:i/>
          <w:spacing w:val="-1"/>
          <w:sz w:val="20"/>
        </w:rPr>
        <w:t> </w:t>
      </w:r>
      <w:r>
        <w:rPr>
          <w:rFonts w:ascii="Arial"/>
          <w:i/>
          <w:sz w:val="20"/>
        </w:rPr>
        <w:t>v Broughton (1853) 5 De G.M. &amp; G. 126</w:t>
      </w:r>
      <w:r>
        <w:rPr>
          <w:sz w:val="20"/>
        </w:rPr>
        <w:t>; </w:t>
      </w:r>
      <w:r>
        <w:rPr>
          <w:rFonts w:ascii="Arial"/>
          <w:i/>
          <w:spacing w:val="-2"/>
          <w:sz w:val="20"/>
        </w:rPr>
        <w:t>Smith</w:t>
      </w:r>
    </w:p>
    <w:p>
      <w:pPr>
        <w:spacing w:line="227" w:lineRule="exact" w:before="0"/>
        <w:ind w:left="705" w:right="0" w:firstLine="0"/>
        <w:jc w:val="left"/>
        <w:rPr>
          <w:sz w:val="20"/>
        </w:rPr>
      </w:pPr>
      <w:r>
        <w:rPr>
          <w:rFonts w:ascii="Arial"/>
          <w:i/>
          <w:sz w:val="20"/>
        </w:rPr>
        <w:t>v</w:t>
      </w:r>
      <w:r>
        <w:rPr>
          <w:rFonts w:ascii="Arial"/>
          <w:i/>
          <w:spacing w:val="-3"/>
          <w:sz w:val="20"/>
        </w:rPr>
        <w:t> </w:t>
      </w:r>
      <w:r>
        <w:rPr>
          <w:rFonts w:ascii="Arial"/>
          <w:i/>
          <w:sz w:val="20"/>
        </w:rPr>
        <w:t>Chadwick (1884) 9 App. Cas. 187</w:t>
      </w:r>
      <w:r>
        <w:rPr>
          <w:sz w:val="20"/>
        </w:rPr>
        <w:t>; </w:t>
      </w:r>
      <w:r>
        <w:rPr>
          <w:rFonts w:ascii="Arial"/>
          <w:i/>
          <w:sz w:val="20"/>
        </w:rPr>
        <w:t>Holmes v Jones (1907) 4 C.L.R. </w:t>
      </w:r>
      <w:r>
        <w:rPr>
          <w:rFonts w:ascii="Arial"/>
          <w:i/>
          <w:spacing w:val="-2"/>
          <w:sz w:val="20"/>
        </w:rPr>
        <w:t>1692</w:t>
      </w:r>
      <w:r>
        <w:rPr>
          <w:spacing w:val="-2"/>
          <w:sz w:val="20"/>
        </w:rPr>
        <w:t>.</w:t>
      </w: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0656">
            <wp:simplePos x="0" y="0"/>
            <wp:positionH relativeFrom="page">
              <wp:posOffset>1257846</wp:posOffset>
            </wp:positionH>
            <wp:positionV relativeFrom="paragraph">
              <wp:posOffset>160277</wp:posOffset>
            </wp:positionV>
            <wp:extent cx="107988" cy="107988"/>
            <wp:effectExtent l="0" t="0" r="0" b="0"/>
            <wp:wrapNone/>
            <wp:docPr id="92" name="Image 92"/>
            <wp:cNvGraphicFramePr>
              <a:graphicFrameLocks/>
            </wp:cNvGraphicFramePr>
            <a:graphic>
              <a:graphicData uri="http://schemas.openxmlformats.org/drawingml/2006/picture">
                <pic:pic>
                  <pic:nvPicPr>
                    <pic:cNvPr id="92" name="Image 9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02" w:id="404"/>
      <w:bookmarkEnd w:id="404"/>
      <w:r>
        <w:rPr/>
      </w:r>
      <w:hyperlink w:history="true" w:anchor="_bookmark322">
        <w:r>
          <w:rPr>
            <w:color w:val="005DA1"/>
            <w:spacing w:val="-4"/>
            <w:sz w:val="14"/>
            <w:u w:val="single" w:color="005DA1"/>
          </w:rPr>
          <w:t>188</w:t>
        </w:r>
      </w:hyperlink>
      <w:r>
        <w:rPr>
          <w:spacing w:val="-4"/>
          <w:sz w:val="14"/>
        </w:rPr>
        <w:t>.</w:t>
      </w:r>
    </w:p>
    <w:p>
      <w:pPr>
        <w:pStyle w:val="BodyText"/>
        <w:spacing w:line="235" w:lineRule="auto" w:before="212"/>
        <w:ind w:left="165" w:right="167" w:firstLine="170"/>
        <w:jc w:val="both"/>
      </w:pPr>
      <w:r>
        <w:rPr/>
        <w:br w:type="column"/>
      </w:r>
      <w:r>
        <w:rPr>
          <w:rFonts w:ascii="Arial"/>
          <w:i/>
        </w:rPr>
        <w:t>Cooper v Tamms [1988] 1 E.G.L.R. 257</w:t>
      </w:r>
      <w:r>
        <w:rPr/>
        <w:t>. In </w:t>
      </w:r>
      <w:r>
        <w:rPr>
          <w:rFonts w:ascii="Arial"/>
          <w:i/>
        </w:rPr>
        <w:t>Hayward v Zurich Insurance Co Plc [2016] UKSC 48 </w:t>
      </w:r>
      <w:r>
        <w:rPr/>
        <w:t>the Supreme Court, reversing the decision of the Court of Appeal (</w:t>
      </w:r>
      <w:r>
        <w:rPr>
          <w:rFonts w:ascii="Arial"/>
          <w:i/>
        </w:rPr>
        <w:t>[2015] EWCA Civ 327</w:t>
      </w:r>
      <w:r>
        <w:rPr/>
        <w:t>) held that a settlement of an insurance claim could be avoided by the insurer when it </w:t>
      </w:r>
      <w:r>
        <w:rPr/>
        <w:t>discovered that the amount of loss had been exaggerated fraudulently, even though at the time the insurer had doubts over the extent of the claim. It was sufficient that the false claim influenced the insurer in the sum offered in settlement. It is not necessary that the insurer believed that the claim made was true.</w:t>
      </w:r>
    </w:p>
    <w:p>
      <w:pPr>
        <w:pStyle w:val="BodyText"/>
        <w:spacing w:after="0" w:line="235" w:lineRule="auto"/>
        <w:jc w:val="both"/>
        <w:sectPr>
          <w:type w:val="continuous"/>
          <w:pgSz w:w="11900" w:h="16840"/>
          <w:pgMar w:header="971" w:footer="0" w:top="1160" w:bottom="280" w:left="1275" w:right="1275"/>
          <w:cols w:num="2" w:equalWidth="0">
            <w:col w:w="478" w:space="63"/>
            <w:col w:w="8809"/>
          </w:cols>
        </w:sectPr>
      </w:pPr>
    </w:p>
    <w:p>
      <w:pPr>
        <w:pStyle w:val="BodyText"/>
        <w:spacing w:before="7"/>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1168">
            <wp:simplePos x="0" y="0"/>
            <wp:positionH relativeFrom="page">
              <wp:posOffset>1257846</wp:posOffset>
            </wp:positionH>
            <wp:positionV relativeFrom="paragraph">
              <wp:posOffset>160496</wp:posOffset>
            </wp:positionV>
            <wp:extent cx="107988" cy="107988"/>
            <wp:effectExtent l="0" t="0" r="0" b="0"/>
            <wp:wrapNone/>
            <wp:docPr id="93" name="Image 93"/>
            <wp:cNvGraphicFramePr>
              <a:graphicFrameLocks/>
            </wp:cNvGraphicFramePr>
            <a:graphic>
              <a:graphicData uri="http://schemas.openxmlformats.org/drawingml/2006/picture">
                <pic:pic>
                  <pic:nvPicPr>
                    <pic:cNvPr id="93" name="Image 9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03" w:id="405"/>
      <w:bookmarkEnd w:id="405"/>
      <w:r>
        <w:rPr/>
      </w:r>
      <w:hyperlink w:history="true" w:anchor="_bookmark323">
        <w:r>
          <w:rPr>
            <w:color w:val="005DA1"/>
            <w:spacing w:val="-4"/>
            <w:sz w:val="14"/>
            <w:u w:val="single" w:color="005DA1"/>
          </w:rPr>
          <w:t>189</w:t>
        </w:r>
      </w:hyperlink>
      <w:r>
        <w:rPr>
          <w:spacing w:val="-4"/>
          <w:sz w:val="14"/>
        </w:rPr>
        <w:t>.</w:t>
      </w:r>
    </w:p>
    <w:p>
      <w:pPr>
        <w:spacing w:line="235" w:lineRule="auto" w:before="212"/>
        <w:ind w:left="165" w:right="167" w:firstLine="170"/>
        <w:jc w:val="both"/>
        <w:rPr>
          <w:sz w:val="20"/>
        </w:rPr>
      </w:pPr>
      <w:r>
        <w:rPr/>
        <w:br w:type="column"/>
      </w:r>
      <w:r>
        <w:rPr>
          <w:sz w:val="20"/>
        </w:rPr>
        <w:t>Cited with approval, </w:t>
      </w:r>
      <w:r>
        <w:rPr>
          <w:rFonts w:ascii="Arial"/>
          <w:i/>
          <w:sz w:val="20"/>
        </w:rPr>
        <w:t>Brown v InnovatorOne Plc [2012] EWHC 1321 (Comm) </w:t>
      </w:r>
      <w:r>
        <w:rPr>
          <w:sz w:val="20"/>
        </w:rPr>
        <w:t>at [883]. If it would have been unreasonable of the representee to rely upon the representation, that may </w:t>
      </w:r>
      <w:r>
        <w:rPr>
          <w:sz w:val="20"/>
        </w:rPr>
        <w:t>go to show that the representee did not in fact rely on it: </w:t>
      </w:r>
      <w:r>
        <w:rPr>
          <w:rFonts w:ascii="Arial"/>
          <w:i/>
          <w:sz w:val="20"/>
        </w:rPr>
        <w:t>Monde Petroleum SA v WesternZagros</w:t>
      </w:r>
      <w:r>
        <w:rPr>
          <w:rFonts w:ascii="Arial"/>
          <w:i/>
          <w:spacing w:val="40"/>
          <w:sz w:val="20"/>
        </w:rPr>
        <w:t> </w:t>
      </w:r>
      <w:r>
        <w:rPr>
          <w:rFonts w:ascii="Arial"/>
          <w:i/>
          <w:sz w:val="20"/>
        </w:rPr>
        <w:t>Ltd [2016] EWHC 1472 (Comm) </w:t>
      </w:r>
      <w:r>
        <w:rPr>
          <w:sz w:val="20"/>
        </w:rPr>
        <w:t>at [219].</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9"/>
      </w:pPr>
    </w:p>
    <w:p>
      <w:pPr>
        <w:tabs>
          <w:tab w:pos="705" w:val="left" w:leader="none"/>
        </w:tabs>
        <w:spacing w:line="235" w:lineRule="auto" w:before="0"/>
        <w:ind w:left="705" w:right="168" w:hanging="541"/>
        <w:jc w:val="left"/>
        <w:rPr>
          <w:sz w:val="20"/>
        </w:rPr>
      </w:pPr>
      <w:bookmarkStart w:name="_bookmark404" w:id="406"/>
      <w:bookmarkEnd w:id="406"/>
      <w:r>
        <w:rPr/>
      </w:r>
      <w:hyperlink w:history="true" w:anchor="_bookmark324">
        <w:r>
          <w:rPr>
            <w:color w:val="005DA1"/>
            <w:spacing w:val="-4"/>
            <w:position w:val="5"/>
            <w:sz w:val="14"/>
            <w:u w:val="single" w:color="005DA1"/>
          </w:rPr>
          <w:t>190</w:t>
        </w:r>
      </w:hyperlink>
      <w:r>
        <w:rPr>
          <w:spacing w:val="-4"/>
          <w:position w:val="5"/>
          <w:sz w:val="14"/>
        </w:rPr>
        <w:t>.</w:t>
      </w:r>
      <w:r>
        <w:rPr>
          <w:position w:val="5"/>
          <w:sz w:val="14"/>
        </w:rPr>
        <w:tab/>
      </w:r>
      <w:r>
        <w:rPr>
          <w:rFonts w:ascii="Arial"/>
          <w:i/>
          <w:sz w:val="20"/>
        </w:rPr>
        <w:t>(1862) 1 H. &amp; C. 90</w:t>
      </w:r>
      <w:r>
        <w:rPr>
          <w:sz w:val="20"/>
        </w:rPr>
        <w:t>. The judgment of Bramwell B. was criticised in </w:t>
      </w:r>
      <w:r>
        <w:rPr>
          <w:rFonts w:ascii="Arial"/>
          <w:i/>
          <w:sz w:val="20"/>
        </w:rPr>
        <w:t>Smith v Hughes (1871) </w:t>
      </w:r>
      <w:r>
        <w:rPr>
          <w:rFonts w:ascii="Arial"/>
          <w:i/>
          <w:sz w:val="20"/>
        </w:rPr>
        <w:t>L.R. 6 Q.B. 597, 605 </w:t>
      </w:r>
      <w:r>
        <w:rPr>
          <w:sz w:val="20"/>
        </w:rPr>
        <w:t>by Cockburn C.J.</w:t>
      </w:r>
    </w:p>
    <w:p>
      <w:pPr>
        <w:spacing w:after="0" w:line="235" w:lineRule="auto"/>
        <w:jc w:val="left"/>
        <w:rPr>
          <w:sz w:val="20"/>
        </w:rPr>
        <w:sectPr>
          <w:type w:val="continuous"/>
          <w:pgSz w:w="11900" w:h="16840"/>
          <w:pgMar w:header="971" w:footer="0" w:top="1160" w:bottom="280" w:left="1275" w:right="1275"/>
        </w:sectPr>
      </w:pPr>
    </w:p>
    <w:p>
      <w:pPr>
        <w:pStyle w:val="BodyText"/>
        <w:spacing w:before="84"/>
      </w:pPr>
    </w:p>
    <w:p>
      <w:pPr>
        <w:pStyle w:val="BodyText"/>
        <w:tabs>
          <w:tab w:pos="705" w:val="left" w:leader="none"/>
        </w:tabs>
        <w:spacing w:line="235" w:lineRule="auto" w:before="1"/>
        <w:ind w:left="705" w:right="168" w:hanging="541"/>
      </w:pPr>
      <w:hyperlink w:history="true" w:anchor="_bookmark325">
        <w:r>
          <w:rPr>
            <w:color w:val="005DA1"/>
            <w:spacing w:val="-4"/>
            <w:position w:val="5"/>
            <w:sz w:val="14"/>
            <w:u w:val="single" w:color="005DA1"/>
          </w:rPr>
          <w:t>191</w:t>
        </w:r>
      </w:hyperlink>
      <w:r>
        <w:rPr>
          <w:spacing w:val="-4"/>
          <w:position w:val="5"/>
          <w:sz w:val="14"/>
        </w:rPr>
        <w:t>.</w:t>
      </w:r>
      <w:r>
        <w:rPr>
          <w:position w:val="5"/>
          <w:sz w:val="14"/>
        </w:rPr>
        <w:tab/>
      </w:r>
      <w:r>
        <w:rPr/>
        <w:t>An</w:t>
      </w:r>
      <w:r>
        <w:rPr>
          <w:spacing w:val="20"/>
        </w:rPr>
        <w:t> </w:t>
      </w:r>
      <w:r>
        <w:rPr/>
        <w:t>action</w:t>
      </w:r>
      <w:r>
        <w:rPr>
          <w:spacing w:val="20"/>
        </w:rPr>
        <w:t> </w:t>
      </w:r>
      <w:r>
        <w:rPr/>
        <w:t>for</w:t>
      </w:r>
      <w:r>
        <w:rPr>
          <w:spacing w:val="20"/>
        </w:rPr>
        <w:t> </w:t>
      </w:r>
      <w:r>
        <w:rPr/>
        <w:t>breach</w:t>
      </w:r>
      <w:r>
        <w:rPr>
          <w:spacing w:val="20"/>
        </w:rPr>
        <w:t> </w:t>
      </w:r>
      <w:r>
        <w:rPr/>
        <w:t>of</w:t>
      </w:r>
      <w:r>
        <w:rPr>
          <w:spacing w:val="20"/>
        </w:rPr>
        <w:t> </w:t>
      </w:r>
      <w:r>
        <w:rPr/>
        <w:t>the</w:t>
      </w:r>
      <w:r>
        <w:rPr>
          <w:spacing w:val="20"/>
        </w:rPr>
        <w:t> </w:t>
      </w:r>
      <w:r>
        <w:rPr/>
        <w:t>implied</w:t>
      </w:r>
      <w:r>
        <w:rPr>
          <w:spacing w:val="20"/>
        </w:rPr>
        <w:t> </w:t>
      </w:r>
      <w:r>
        <w:rPr/>
        <w:t>terms</w:t>
      </w:r>
      <w:r>
        <w:rPr>
          <w:spacing w:val="20"/>
        </w:rPr>
        <w:t> </w:t>
      </w:r>
      <w:r>
        <w:rPr/>
        <w:t>as</w:t>
      </w:r>
      <w:r>
        <w:rPr>
          <w:spacing w:val="20"/>
        </w:rPr>
        <w:t> </w:t>
      </w:r>
      <w:r>
        <w:rPr/>
        <w:t>to</w:t>
      </w:r>
      <w:r>
        <w:rPr>
          <w:spacing w:val="20"/>
        </w:rPr>
        <w:t> </w:t>
      </w:r>
      <w:r>
        <w:rPr/>
        <w:t>quality</w:t>
      </w:r>
      <w:r>
        <w:rPr>
          <w:spacing w:val="20"/>
        </w:rPr>
        <w:t> </w:t>
      </w:r>
      <w:r>
        <w:rPr/>
        <w:t>and</w:t>
      </w:r>
      <w:r>
        <w:rPr>
          <w:spacing w:val="20"/>
        </w:rPr>
        <w:t> </w:t>
      </w:r>
      <w:r>
        <w:rPr/>
        <w:t>fitness</w:t>
      </w:r>
      <w:r>
        <w:rPr>
          <w:spacing w:val="20"/>
        </w:rPr>
        <w:t> </w:t>
      </w:r>
      <w:r>
        <w:rPr/>
        <w:t>would</w:t>
      </w:r>
      <w:r>
        <w:rPr>
          <w:spacing w:val="20"/>
        </w:rPr>
        <w:t> </w:t>
      </w:r>
      <w:r>
        <w:rPr/>
        <w:t>probably</w:t>
      </w:r>
      <w:r>
        <w:rPr>
          <w:spacing w:val="20"/>
        </w:rPr>
        <w:t> </w:t>
      </w:r>
      <w:r>
        <w:rPr/>
        <w:t>lie</w:t>
      </w:r>
      <w:r>
        <w:rPr>
          <w:spacing w:val="20"/>
        </w:rPr>
        <w:t> </w:t>
      </w:r>
      <w:r>
        <w:rPr/>
        <w:t>in</w:t>
      </w:r>
      <w:r>
        <w:rPr>
          <w:spacing w:val="20"/>
        </w:rPr>
        <w:t> </w:t>
      </w:r>
      <w:r>
        <w:rPr/>
        <w:t>such circumstances today. See Vol.II, paras 44-094—44-112.</w:t>
      </w:r>
    </w:p>
    <w:p>
      <w:pPr>
        <w:pStyle w:val="BodyText"/>
        <w:spacing w:before="5"/>
      </w:pPr>
    </w:p>
    <w:p>
      <w:pPr>
        <w:tabs>
          <w:tab w:pos="705" w:val="left" w:leader="none"/>
        </w:tabs>
        <w:spacing w:before="0"/>
        <w:ind w:left="165" w:right="0" w:firstLine="0"/>
        <w:jc w:val="left"/>
        <w:rPr>
          <w:sz w:val="20"/>
        </w:rPr>
      </w:pPr>
      <w:bookmarkStart w:name="_bookmark405" w:id="407"/>
      <w:bookmarkEnd w:id="407"/>
      <w:r>
        <w:rPr/>
      </w:r>
      <w:hyperlink w:history="true" w:anchor="_bookmark326">
        <w:r>
          <w:rPr>
            <w:color w:val="005DA1"/>
            <w:spacing w:val="-4"/>
            <w:position w:val="5"/>
            <w:sz w:val="14"/>
            <w:u w:val="single" w:color="005DA1"/>
          </w:rPr>
          <w:t>192</w:t>
        </w:r>
      </w:hyperlink>
      <w:r>
        <w:rPr>
          <w:spacing w:val="-4"/>
          <w:position w:val="5"/>
          <w:sz w:val="14"/>
        </w:rPr>
        <w:t>.</w:t>
      </w:r>
      <w:r>
        <w:rPr>
          <w:position w:val="5"/>
          <w:sz w:val="14"/>
        </w:rPr>
        <w:tab/>
      </w:r>
      <w:r>
        <w:rPr>
          <w:rFonts w:ascii="Arial"/>
          <w:i/>
          <w:sz w:val="20"/>
        </w:rPr>
        <w:t>Hartlelid v Sawyer &amp; McClockin Real Estate Ltd [1977] 5 W.W.R. </w:t>
      </w:r>
      <w:r>
        <w:rPr>
          <w:rFonts w:ascii="Arial"/>
          <w:i/>
          <w:spacing w:val="-4"/>
          <w:sz w:val="20"/>
        </w:rPr>
        <w:t>481</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406" w:id="408"/>
      <w:bookmarkEnd w:id="408"/>
      <w:r>
        <w:rPr/>
      </w:r>
      <w:hyperlink w:history="true" w:anchor="_bookmark327">
        <w:r>
          <w:rPr>
            <w:color w:val="005DA1"/>
            <w:spacing w:val="-4"/>
            <w:position w:val="5"/>
            <w:sz w:val="14"/>
            <w:u w:val="single" w:color="005DA1"/>
          </w:rPr>
          <w:t>193</w:t>
        </w:r>
      </w:hyperlink>
      <w:r>
        <w:rPr>
          <w:spacing w:val="-4"/>
          <w:position w:val="5"/>
          <w:sz w:val="14"/>
        </w:rPr>
        <w:t>.</w:t>
      </w:r>
      <w:r>
        <w:rPr>
          <w:position w:val="5"/>
          <w:sz w:val="14"/>
        </w:rPr>
        <w:tab/>
      </w:r>
      <w:r>
        <w:rPr>
          <w:rFonts w:ascii="Arial"/>
          <w:i/>
          <w:sz w:val="20"/>
        </w:rPr>
        <w:t>Dyer</w:t>
      </w:r>
      <w:r>
        <w:rPr>
          <w:rFonts w:ascii="Arial"/>
          <w:i/>
          <w:spacing w:val="25"/>
          <w:sz w:val="20"/>
        </w:rPr>
        <w:t> </w:t>
      </w:r>
      <w:r>
        <w:rPr>
          <w:rFonts w:ascii="Arial"/>
          <w:i/>
          <w:sz w:val="20"/>
        </w:rPr>
        <w:t>v</w:t>
      </w:r>
      <w:r>
        <w:rPr>
          <w:rFonts w:ascii="Arial"/>
          <w:i/>
          <w:spacing w:val="28"/>
          <w:sz w:val="20"/>
        </w:rPr>
        <w:t> </w:t>
      </w:r>
      <w:r>
        <w:rPr>
          <w:rFonts w:ascii="Arial"/>
          <w:i/>
          <w:sz w:val="20"/>
        </w:rPr>
        <w:t>Hargrave</w:t>
      </w:r>
      <w:r>
        <w:rPr>
          <w:rFonts w:ascii="Arial"/>
          <w:i/>
          <w:spacing w:val="28"/>
          <w:sz w:val="20"/>
        </w:rPr>
        <w:t> </w:t>
      </w:r>
      <w:r>
        <w:rPr>
          <w:rFonts w:ascii="Arial"/>
          <w:i/>
          <w:sz w:val="20"/>
        </w:rPr>
        <w:t>(1805)</w:t>
      </w:r>
      <w:r>
        <w:rPr>
          <w:rFonts w:ascii="Arial"/>
          <w:i/>
          <w:spacing w:val="28"/>
          <w:sz w:val="20"/>
        </w:rPr>
        <w:t> </w:t>
      </w:r>
      <w:r>
        <w:rPr>
          <w:rFonts w:ascii="Arial"/>
          <w:i/>
          <w:sz w:val="20"/>
        </w:rPr>
        <w:t>10</w:t>
      </w:r>
      <w:r>
        <w:rPr>
          <w:rFonts w:ascii="Arial"/>
          <w:i/>
          <w:spacing w:val="28"/>
          <w:sz w:val="20"/>
        </w:rPr>
        <w:t> </w:t>
      </w:r>
      <w:r>
        <w:rPr>
          <w:rFonts w:ascii="Arial"/>
          <w:i/>
          <w:sz w:val="20"/>
        </w:rPr>
        <w:t>Ves.</w:t>
      </w:r>
      <w:r>
        <w:rPr>
          <w:rFonts w:ascii="Arial"/>
          <w:i/>
          <w:spacing w:val="28"/>
          <w:sz w:val="20"/>
        </w:rPr>
        <w:t> </w:t>
      </w:r>
      <w:r>
        <w:rPr>
          <w:rFonts w:ascii="Arial"/>
          <w:i/>
          <w:sz w:val="20"/>
        </w:rPr>
        <w:t>505</w:t>
      </w:r>
      <w:r>
        <w:rPr>
          <w:sz w:val="20"/>
        </w:rPr>
        <w:t>;</w:t>
      </w:r>
      <w:r>
        <w:rPr>
          <w:spacing w:val="28"/>
          <w:sz w:val="20"/>
        </w:rPr>
        <w:t> </w:t>
      </w:r>
      <w:r>
        <w:rPr>
          <w:rFonts w:ascii="Arial"/>
          <w:i/>
          <w:sz w:val="20"/>
        </w:rPr>
        <w:t>Attwood</w:t>
      </w:r>
      <w:r>
        <w:rPr>
          <w:rFonts w:ascii="Arial"/>
          <w:i/>
          <w:spacing w:val="28"/>
          <w:sz w:val="20"/>
        </w:rPr>
        <w:t> </w:t>
      </w:r>
      <w:r>
        <w:rPr>
          <w:rFonts w:ascii="Arial"/>
          <w:i/>
          <w:sz w:val="20"/>
        </w:rPr>
        <w:t>v</w:t>
      </w:r>
      <w:r>
        <w:rPr>
          <w:rFonts w:ascii="Arial"/>
          <w:i/>
          <w:spacing w:val="28"/>
          <w:sz w:val="20"/>
        </w:rPr>
        <w:t> </w:t>
      </w:r>
      <w:r>
        <w:rPr>
          <w:rFonts w:ascii="Arial"/>
          <w:i/>
          <w:sz w:val="20"/>
        </w:rPr>
        <w:t>Small</w:t>
      </w:r>
      <w:r>
        <w:rPr>
          <w:rFonts w:ascii="Arial"/>
          <w:i/>
          <w:spacing w:val="27"/>
          <w:sz w:val="20"/>
        </w:rPr>
        <w:t> </w:t>
      </w:r>
      <w:r>
        <w:rPr>
          <w:rFonts w:ascii="Arial"/>
          <w:i/>
          <w:sz w:val="20"/>
        </w:rPr>
        <w:t>(1838)</w:t>
      </w:r>
      <w:r>
        <w:rPr>
          <w:rFonts w:ascii="Arial"/>
          <w:i/>
          <w:spacing w:val="28"/>
          <w:sz w:val="20"/>
        </w:rPr>
        <w:t> </w:t>
      </w:r>
      <w:r>
        <w:rPr>
          <w:rFonts w:ascii="Arial"/>
          <w:i/>
          <w:sz w:val="20"/>
        </w:rPr>
        <w:t>6</w:t>
      </w:r>
      <w:r>
        <w:rPr>
          <w:rFonts w:ascii="Arial"/>
          <w:i/>
          <w:spacing w:val="28"/>
          <w:sz w:val="20"/>
        </w:rPr>
        <w:t> </w:t>
      </w:r>
      <w:r>
        <w:rPr>
          <w:rFonts w:ascii="Arial"/>
          <w:i/>
          <w:sz w:val="20"/>
        </w:rPr>
        <w:t>Cl.</w:t>
      </w:r>
      <w:r>
        <w:rPr>
          <w:rFonts w:ascii="Arial"/>
          <w:i/>
          <w:spacing w:val="28"/>
          <w:sz w:val="20"/>
        </w:rPr>
        <w:t> </w:t>
      </w:r>
      <w:r>
        <w:rPr>
          <w:rFonts w:ascii="Arial"/>
          <w:i/>
          <w:sz w:val="20"/>
        </w:rPr>
        <w:t>&amp;</w:t>
      </w:r>
      <w:r>
        <w:rPr>
          <w:rFonts w:ascii="Arial"/>
          <w:i/>
          <w:spacing w:val="28"/>
          <w:sz w:val="20"/>
        </w:rPr>
        <w:t> </w:t>
      </w:r>
      <w:r>
        <w:rPr>
          <w:rFonts w:ascii="Arial"/>
          <w:i/>
          <w:sz w:val="20"/>
        </w:rPr>
        <w:t>F.</w:t>
      </w:r>
      <w:r>
        <w:rPr>
          <w:rFonts w:ascii="Arial"/>
          <w:i/>
          <w:spacing w:val="28"/>
          <w:sz w:val="20"/>
        </w:rPr>
        <w:t> </w:t>
      </w:r>
      <w:r>
        <w:rPr>
          <w:rFonts w:ascii="Arial"/>
          <w:i/>
          <w:sz w:val="20"/>
        </w:rPr>
        <w:t>232</w:t>
      </w:r>
      <w:r>
        <w:rPr>
          <w:sz w:val="20"/>
        </w:rPr>
        <w:t>;</w:t>
      </w:r>
      <w:r>
        <w:rPr>
          <w:spacing w:val="28"/>
          <w:sz w:val="20"/>
        </w:rPr>
        <w:t> </w:t>
      </w:r>
      <w:r>
        <w:rPr>
          <w:rFonts w:ascii="Arial"/>
          <w:i/>
          <w:sz w:val="20"/>
        </w:rPr>
        <w:t>Vigers</w:t>
      </w:r>
      <w:r>
        <w:rPr>
          <w:rFonts w:ascii="Arial"/>
          <w:i/>
          <w:spacing w:val="28"/>
          <w:sz w:val="20"/>
        </w:rPr>
        <w:t> </w:t>
      </w:r>
      <w:r>
        <w:rPr>
          <w:rFonts w:ascii="Arial"/>
          <w:i/>
          <w:sz w:val="20"/>
        </w:rPr>
        <w:t>v</w:t>
      </w:r>
      <w:r>
        <w:rPr>
          <w:rFonts w:ascii="Arial"/>
          <w:i/>
          <w:spacing w:val="28"/>
          <w:sz w:val="20"/>
        </w:rPr>
        <w:t> </w:t>
      </w:r>
      <w:r>
        <w:rPr>
          <w:rFonts w:ascii="Arial"/>
          <w:i/>
          <w:spacing w:val="-4"/>
          <w:sz w:val="20"/>
        </w:rPr>
        <w:t>Pike</w:t>
      </w:r>
    </w:p>
    <w:p>
      <w:pPr>
        <w:spacing w:line="227" w:lineRule="exact" w:before="0"/>
        <w:ind w:left="705" w:right="0" w:firstLine="0"/>
        <w:jc w:val="left"/>
        <w:rPr>
          <w:sz w:val="20"/>
        </w:rPr>
      </w:pPr>
      <w:r>
        <w:rPr>
          <w:rFonts w:ascii="Arial"/>
          <w:i/>
          <w:sz w:val="20"/>
        </w:rPr>
        <w:t>(1842)</w:t>
      </w:r>
      <w:r>
        <w:rPr>
          <w:rFonts w:ascii="Arial"/>
          <w:i/>
          <w:spacing w:val="-2"/>
          <w:sz w:val="20"/>
        </w:rPr>
        <w:t> </w:t>
      </w:r>
      <w:r>
        <w:rPr>
          <w:rFonts w:ascii="Arial"/>
          <w:i/>
          <w:sz w:val="20"/>
        </w:rPr>
        <w:t>8 Cl. &amp; F. 562, </w:t>
      </w:r>
      <w:r>
        <w:rPr>
          <w:rFonts w:ascii="Arial"/>
          <w:i/>
          <w:spacing w:val="-4"/>
          <w:sz w:val="20"/>
        </w:rPr>
        <w:t>650</w:t>
      </w:r>
      <w:r>
        <w:rPr>
          <w:spacing w:val="-4"/>
          <w:sz w:val="20"/>
        </w:rPr>
        <w:t>.</w:t>
      </w:r>
    </w:p>
    <w:p>
      <w:pPr>
        <w:pStyle w:val="BodyText"/>
        <w:spacing w:before="9"/>
      </w:pPr>
    </w:p>
    <w:p>
      <w:pPr>
        <w:spacing w:line="235" w:lineRule="auto" w:before="0"/>
        <w:ind w:left="705" w:right="167" w:hanging="541"/>
        <w:jc w:val="both"/>
        <w:rPr>
          <w:sz w:val="20"/>
        </w:rPr>
      </w:pPr>
      <w:bookmarkStart w:name="_bookmark407" w:id="409"/>
      <w:bookmarkEnd w:id="409"/>
      <w:r>
        <w:rPr/>
      </w:r>
      <w:hyperlink w:history="true" w:anchor="_bookmark328">
        <w:r>
          <w:rPr>
            <w:color w:val="005DA1"/>
            <w:position w:val="5"/>
            <w:sz w:val="14"/>
            <w:u w:val="single" w:color="005DA1"/>
          </w:rPr>
          <w:t>194</w:t>
        </w:r>
      </w:hyperlink>
      <w:r>
        <w:rPr>
          <w:position w:val="5"/>
          <w:sz w:val="14"/>
        </w:rPr>
        <w:t>.</w:t>
      </w:r>
      <w:r>
        <w:rPr>
          <w:spacing w:val="80"/>
          <w:w w:val="150"/>
          <w:position w:val="5"/>
          <w:sz w:val="14"/>
        </w:rPr>
        <w:t> </w:t>
      </w:r>
      <w:r>
        <w:rPr>
          <w:rFonts w:ascii="Arial" w:hAnsi="Arial"/>
          <w:i/>
          <w:sz w:val="20"/>
        </w:rPr>
        <w:t>Strover v Harrington [1988] Ch. 390</w:t>
      </w:r>
      <w:r>
        <w:rPr>
          <w:sz w:val="20"/>
        </w:rPr>
        <w:t>; compare </w:t>
      </w:r>
      <w:r>
        <w:rPr>
          <w:rFonts w:ascii="Arial" w:hAnsi="Arial"/>
          <w:i/>
          <w:sz w:val="20"/>
        </w:rPr>
        <w:t>Markappa Inc v N.W. Spratt &amp; Son Ltd [1985] 1 Lloyd’s Rep. 534</w:t>
      </w:r>
      <w:r>
        <w:rPr>
          <w:sz w:val="20"/>
        </w:rPr>
        <w:t>. However, the information must be received by a person authorised and </w:t>
      </w:r>
      <w:r>
        <w:rPr>
          <w:sz w:val="20"/>
        </w:rPr>
        <w:t>able to appreciate its significance: </w:t>
      </w:r>
      <w:r>
        <w:rPr>
          <w:rFonts w:ascii="Arial" w:hAnsi="Arial"/>
          <w:i/>
          <w:sz w:val="20"/>
        </w:rPr>
        <w:t>Malhi v Abbey Life Assurance Co Ltd [1996] L.R.L.R. 237</w:t>
      </w:r>
      <w:r>
        <w:rPr>
          <w:sz w:val="20"/>
        </w:rPr>
        <w:t>.</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1680">
            <wp:simplePos x="0" y="0"/>
            <wp:positionH relativeFrom="page">
              <wp:posOffset>1257846</wp:posOffset>
            </wp:positionH>
            <wp:positionV relativeFrom="paragraph">
              <wp:posOffset>160298</wp:posOffset>
            </wp:positionV>
            <wp:extent cx="107988" cy="107988"/>
            <wp:effectExtent l="0" t="0" r="0" b="0"/>
            <wp:wrapNone/>
            <wp:docPr id="94" name="Image 94"/>
            <wp:cNvGraphicFramePr>
              <a:graphicFrameLocks/>
            </wp:cNvGraphicFramePr>
            <a:graphic>
              <a:graphicData uri="http://schemas.openxmlformats.org/drawingml/2006/picture">
                <pic:pic>
                  <pic:nvPicPr>
                    <pic:cNvPr id="94" name="Image 9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08" w:id="410"/>
      <w:bookmarkEnd w:id="410"/>
      <w:r>
        <w:rPr/>
      </w:r>
      <w:hyperlink w:history="true" w:anchor="_bookmark329">
        <w:r>
          <w:rPr>
            <w:color w:val="005DA1"/>
            <w:spacing w:val="-4"/>
            <w:sz w:val="14"/>
            <w:u w:val="single" w:color="005DA1"/>
          </w:rPr>
          <w:t>195</w:t>
        </w:r>
      </w:hyperlink>
      <w:r>
        <w:rPr>
          <w:spacing w:val="-4"/>
          <w:sz w:val="14"/>
        </w:rPr>
        <w:t>.</w:t>
      </w:r>
    </w:p>
    <w:p>
      <w:pPr>
        <w:spacing w:line="235" w:lineRule="auto" w:before="212"/>
        <w:ind w:left="165" w:right="168" w:firstLine="170"/>
        <w:jc w:val="both"/>
        <w:rPr>
          <w:sz w:val="20"/>
        </w:rPr>
      </w:pPr>
      <w:r>
        <w:rPr/>
        <w:br w:type="column"/>
      </w:r>
      <w:r>
        <w:rPr>
          <w:rFonts w:ascii="Arial"/>
          <w:i/>
          <w:sz w:val="20"/>
        </w:rPr>
        <w:t>Western Bank of Scotland v Addie (1867) L.R. 1 Sc. &amp; Div. 145, 158</w:t>
      </w:r>
      <w:r>
        <w:rPr>
          <w:sz w:val="20"/>
        </w:rPr>
        <w:t>; </w:t>
      </w:r>
      <w:r>
        <w:rPr>
          <w:rFonts w:ascii="Arial"/>
          <w:i/>
          <w:sz w:val="20"/>
        </w:rPr>
        <w:t>Geest Plc v Fyffes Plc [1999] 1 All E.R. (Comm) 672</w:t>
      </w:r>
      <w:r>
        <w:rPr>
          <w:sz w:val="20"/>
        </w:rPr>
        <w:t>; </w:t>
      </w:r>
      <w:r>
        <w:rPr>
          <w:rFonts w:ascii="Arial"/>
          <w:i/>
          <w:sz w:val="20"/>
        </w:rPr>
        <w:t>Brown v InnovatorOne Plc [2012] EWHC 1321 (Comm) </w:t>
      </w:r>
      <w:r>
        <w:rPr>
          <w:sz w:val="20"/>
        </w:rPr>
        <w:t>at </w:t>
      </w:r>
      <w:r>
        <w:rPr>
          <w:sz w:val="20"/>
        </w:rPr>
        <w:t>[883]; </w:t>
      </w:r>
      <w:r>
        <w:rPr>
          <w:rFonts w:ascii="Arial"/>
          <w:i/>
          <w:sz w:val="20"/>
        </w:rPr>
        <w:t>Taberna Europe CDO II Plc v Selskabet [2015] EWHC 871 (Comm) </w:t>
      </w:r>
      <w:r>
        <w:rPr>
          <w:sz w:val="20"/>
        </w:rPr>
        <w:t>at [153], citing this paragraph in the 31st edn (reversed on other grounds </w:t>
      </w:r>
      <w:r>
        <w:rPr>
          <w:rFonts w:ascii="Arial"/>
          <w:i/>
          <w:sz w:val="20"/>
        </w:rPr>
        <w:t>[2016] EWCA Civ 1262</w:t>
      </w:r>
      <w:r>
        <w:rPr>
          <w:sz w:val="20"/>
        </w:rPr>
        <w:t>).</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4"/>
      </w:pPr>
    </w:p>
    <w:p>
      <w:pPr>
        <w:tabs>
          <w:tab w:pos="705" w:val="left" w:leader="none"/>
        </w:tabs>
        <w:spacing w:before="1"/>
        <w:ind w:left="165" w:right="0" w:firstLine="0"/>
        <w:jc w:val="left"/>
        <w:rPr>
          <w:sz w:val="20"/>
        </w:rPr>
      </w:pPr>
      <w:bookmarkStart w:name="_bookmark409" w:id="411"/>
      <w:bookmarkEnd w:id="411"/>
      <w:r>
        <w:rPr/>
      </w:r>
      <w:hyperlink w:history="true" w:anchor="_bookmark330">
        <w:r>
          <w:rPr>
            <w:color w:val="005DA1"/>
            <w:spacing w:val="-4"/>
            <w:position w:val="5"/>
            <w:sz w:val="14"/>
            <w:u w:val="single" w:color="005DA1"/>
          </w:rPr>
          <w:t>196</w:t>
        </w:r>
      </w:hyperlink>
      <w:r>
        <w:rPr>
          <w:spacing w:val="-4"/>
          <w:position w:val="5"/>
          <w:sz w:val="14"/>
        </w:rPr>
        <w:t>.</w:t>
      </w:r>
      <w:r>
        <w:rPr>
          <w:position w:val="5"/>
          <w:sz w:val="14"/>
        </w:rPr>
        <w:tab/>
      </w:r>
      <w:r>
        <w:rPr>
          <w:rFonts w:ascii="Arial"/>
          <w:i/>
          <w:sz w:val="20"/>
        </w:rPr>
        <w:t>(1885)</w:t>
      </w:r>
      <w:r>
        <w:rPr>
          <w:rFonts w:ascii="Arial"/>
          <w:i/>
          <w:spacing w:val="-2"/>
          <w:sz w:val="20"/>
        </w:rPr>
        <w:t> </w:t>
      </w:r>
      <w:r>
        <w:rPr>
          <w:rFonts w:ascii="Arial"/>
          <w:i/>
          <w:sz w:val="20"/>
        </w:rPr>
        <w:t>29 Ch. D. </w:t>
      </w:r>
      <w:r>
        <w:rPr>
          <w:rFonts w:ascii="Arial"/>
          <w:i/>
          <w:spacing w:val="-4"/>
          <w:sz w:val="20"/>
        </w:rPr>
        <w:t>459</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410" w:id="412"/>
      <w:bookmarkEnd w:id="412"/>
      <w:r>
        <w:rPr/>
      </w:r>
      <w:hyperlink w:history="true" w:anchor="_bookmark331">
        <w:r>
          <w:rPr>
            <w:color w:val="005DA1"/>
            <w:spacing w:val="-4"/>
            <w:position w:val="5"/>
            <w:sz w:val="14"/>
            <w:u w:val="single" w:color="005DA1"/>
          </w:rPr>
          <w:t>197</w:t>
        </w:r>
      </w:hyperlink>
      <w:r>
        <w:rPr>
          <w:spacing w:val="-4"/>
          <w:position w:val="5"/>
          <w:sz w:val="14"/>
        </w:rPr>
        <w:t>.</w:t>
      </w:r>
      <w:r>
        <w:rPr>
          <w:position w:val="5"/>
          <w:sz w:val="14"/>
        </w:rPr>
        <w:tab/>
      </w:r>
      <w:r>
        <w:rPr>
          <w:rFonts w:ascii="Arial"/>
          <w:i/>
          <w:sz w:val="20"/>
        </w:rPr>
        <w:t>(1885) 29 Ch. D. 459, </w:t>
      </w:r>
      <w:r>
        <w:rPr>
          <w:rFonts w:ascii="Arial"/>
          <w:i/>
          <w:spacing w:val="-4"/>
          <w:sz w:val="20"/>
        </w:rPr>
        <w:t>481</w:t>
      </w:r>
      <w:r>
        <w:rPr>
          <w:spacing w:val="-4"/>
          <w:sz w:val="20"/>
        </w:rPr>
        <w:t>.</w:t>
      </w:r>
    </w:p>
    <w:p>
      <w:pPr>
        <w:pStyle w:val="BodyText"/>
        <w:spacing w:before="8"/>
      </w:pPr>
    </w:p>
    <w:p>
      <w:pPr>
        <w:pStyle w:val="BodyText"/>
        <w:tabs>
          <w:tab w:pos="705" w:val="left" w:leader="none"/>
        </w:tabs>
        <w:spacing w:line="235" w:lineRule="auto"/>
        <w:ind w:left="705" w:right="168" w:hanging="541"/>
      </w:pPr>
      <w:bookmarkStart w:name="_bookmark411" w:id="413"/>
      <w:bookmarkEnd w:id="413"/>
      <w:r>
        <w:rPr/>
      </w:r>
      <w:hyperlink w:history="true" w:anchor="_bookmark332">
        <w:r>
          <w:rPr>
            <w:color w:val="005DA1"/>
            <w:spacing w:val="-4"/>
            <w:position w:val="5"/>
            <w:sz w:val="14"/>
            <w:u w:val="single" w:color="005DA1"/>
          </w:rPr>
          <w:t>198</w:t>
        </w:r>
      </w:hyperlink>
      <w:r>
        <w:rPr>
          <w:spacing w:val="-4"/>
          <w:position w:val="5"/>
          <w:sz w:val="14"/>
        </w:rPr>
        <w:t>.</w:t>
      </w:r>
      <w:r>
        <w:rPr>
          <w:position w:val="5"/>
          <w:sz w:val="14"/>
        </w:rPr>
        <w:tab/>
      </w:r>
      <w:r>
        <w:rPr/>
        <w:t>See the judgment of Fry L.J. at 483. Bowen L.J. seems to have applied a slightly different test; see n.203 below.</w:t>
      </w:r>
    </w:p>
    <w:p>
      <w:pPr>
        <w:pStyle w:val="BodyText"/>
        <w:spacing w:before="6"/>
      </w:pPr>
    </w:p>
    <w:p>
      <w:pPr>
        <w:tabs>
          <w:tab w:pos="705" w:val="left" w:leader="none"/>
        </w:tabs>
        <w:spacing w:before="0"/>
        <w:ind w:left="165" w:right="0" w:firstLine="0"/>
        <w:jc w:val="left"/>
        <w:rPr>
          <w:sz w:val="20"/>
        </w:rPr>
      </w:pPr>
      <w:bookmarkStart w:name="_bookmark412" w:id="414"/>
      <w:bookmarkEnd w:id="414"/>
      <w:r>
        <w:rPr/>
      </w:r>
      <w:hyperlink w:history="true" w:anchor="_bookmark333">
        <w:r>
          <w:rPr>
            <w:color w:val="005DA1"/>
            <w:spacing w:val="-4"/>
            <w:position w:val="5"/>
            <w:sz w:val="14"/>
            <w:u w:val="single" w:color="005DA1"/>
          </w:rPr>
          <w:t>199</w:t>
        </w:r>
      </w:hyperlink>
      <w:r>
        <w:rPr>
          <w:spacing w:val="-4"/>
          <w:position w:val="5"/>
          <w:sz w:val="14"/>
        </w:rPr>
        <w:t>.</w:t>
      </w:r>
      <w:r>
        <w:rPr>
          <w:position w:val="5"/>
          <w:sz w:val="14"/>
        </w:rPr>
        <w:tab/>
      </w:r>
      <w:r>
        <w:rPr>
          <w:sz w:val="20"/>
        </w:rPr>
        <w:t>See next </w:t>
      </w:r>
      <w:r>
        <w:rPr>
          <w:spacing w:val="-2"/>
          <w:sz w:val="20"/>
        </w:rPr>
        <w:t>paragraph.</w:t>
      </w:r>
    </w:p>
    <w:p>
      <w:pPr>
        <w:pStyle w:val="BodyText"/>
        <w:spacing w:before="9"/>
      </w:pPr>
    </w:p>
    <w:p>
      <w:pPr>
        <w:pStyle w:val="BodyText"/>
        <w:tabs>
          <w:tab w:pos="705" w:val="left" w:leader="none"/>
        </w:tabs>
        <w:spacing w:line="235" w:lineRule="auto"/>
        <w:ind w:left="705" w:right="168" w:hanging="541"/>
      </w:pPr>
      <w:bookmarkStart w:name="_bookmark413" w:id="415"/>
      <w:bookmarkEnd w:id="415"/>
      <w:r>
        <w:rPr/>
      </w:r>
      <w:hyperlink w:history="true" w:anchor="_bookmark334">
        <w:r>
          <w:rPr>
            <w:color w:val="005DA1"/>
            <w:spacing w:val="-4"/>
            <w:position w:val="5"/>
            <w:sz w:val="14"/>
            <w:u w:val="single" w:color="005DA1"/>
          </w:rPr>
          <w:t>200</w:t>
        </w:r>
      </w:hyperlink>
      <w:r>
        <w:rPr>
          <w:spacing w:val="-4"/>
          <w:position w:val="5"/>
          <w:sz w:val="14"/>
        </w:rPr>
        <w:t>.</w:t>
      </w:r>
      <w:r>
        <w:rPr>
          <w:position w:val="5"/>
          <w:sz w:val="14"/>
        </w:rPr>
        <w:tab/>
      </w:r>
      <w:r>
        <w:rPr/>
        <w:t>Except</w:t>
      </w:r>
      <w:r>
        <w:rPr>
          <w:spacing w:val="80"/>
          <w:w w:val="150"/>
        </w:rPr>
        <w:t> </w:t>
      </w:r>
      <w:r>
        <w:rPr/>
        <w:t>where</w:t>
      </w:r>
      <w:r>
        <w:rPr>
          <w:spacing w:val="80"/>
          <w:w w:val="150"/>
        </w:rPr>
        <w:t> </w:t>
      </w:r>
      <w:r>
        <w:rPr/>
        <w:t>the</w:t>
      </w:r>
      <w:r>
        <w:rPr>
          <w:spacing w:val="80"/>
          <w:w w:val="150"/>
        </w:rPr>
        <w:t> </w:t>
      </w:r>
      <w:r>
        <w:rPr/>
        <w:t>misrepresentee</w:t>
      </w:r>
      <w:r>
        <w:rPr>
          <w:spacing w:val="80"/>
          <w:w w:val="150"/>
        </w:rPr>
        <w:t> </w:t>
      </w:r>
      <w:r>
        <w:rPr/>
        <w:t>seeks</w:t>
      </w:r>
      <w:r>
        <w:rPr>
          <w:spacing w:val="80"/>
          <w:w w:val="150"/>
        </w:rPr>
        <w:t> </w:t>
      </w:r>
      <w:r>
        <w:rPr/>
        <w:t>to</w:t>
      </w:r>
      <w:r>
        <w:rPr>
          <w:spacing w:val="80"/>
          <w:w w:val="150"/>
        </w:rPr>
        <w:t> </w:t>
      </w:r>
      <w:r>
        <w:rPr/>
        <w:t>rescind</w:t>
      </w:r>
      <w:r>
        <w:rPr>
          <w:spacing w:val="80"/>
          <w:w w:val="150"/>
        </w:rPr>
        <w:t> </w:t>
      </w:r>
      <w:r>
        <w:rPr/>
        <w:t>on</w:t>
      </w:r>
      <w:r>
        <w:rPr>
          <w:spacing w:val="80"/>
          <w:w w:val="150"/>
        </w:rPr>
        <w:t> </w:t>
      </w:r>
      <w:r>
        <w:rPr/>
        <w:t>the</w:t>
      </w:r>
      <w:r>
        <w:rPr>
          <w:spacing w:val="80"/>
          <w:w w:val="150"/>
        </w:rPr>
        <w:t> </w:t>
      </w:r>
      <w:r>
        <w:rPr/>
        <w:t>basis</w:t>
      </w:r>
      <w:r>
        <w:rPr>
          <w:spacing w:val="80"/>
          <w:w w:val="150"/>
        </w:rPr>
        <w:t> </w:t>
      </w:r>
      <w:r>
        <w:rPr/>
        <w:t>of</w:t>
      </w:r>
      <w:r>
        <w:rPr>
          <w:spacing w:val="80"/>
          <w:w w:val="150"/>
        </w:rPr>
        <w:t> </w:t>
      </w:r>
      <w:r>
        <w:rPr/>
        <w:t>a</w:t>
      </w:r>
      <w:r>
        <w:rPr>
          <w:spacing w:val="80"/>
          <w:w w:val="150"/>
        </w:rPr>
        <w:t> </w:t>
      </w:r>
      <w:r>
        <w:rPr/>
        <w:t>fraudulent</w:t>
      </w:r>
      <w:r>
        <w:rPr>
          <w:spacing w:val="40"/>
        </w:rPr>
        <w:t> </w:t>
      </w:r>
      <w:r>
        <w:rPr/>
        <w:t>misrepresentation: see next paragraph.</w:t>
      </w: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2192">
            <wp:simplePos x="0" y="0"/>
            <wp:positionH relativeFrom="page">
              <wp:posOffset>1257846</wp:posOffset>
            </wp:positionH>
            <wp:positionV relativeFrom="paragraph">
              <wp:posOffset>160375</wp:posOffset>
            </wp:positionV>
            <wp:extent cx="107988" cy="107988"/>
            <wp:effectExtent l="0" t="0" r="0" b="0"/>
            <wp:wrapNone/>
            <wp:docPr id="95" name="Image 95"/>
            <wp:cNvGraphicFramePr>
              <a:graphicFrameLocks/>
            </wp:cNvGraphicFramePr>
            <a:graphic>
              <a:graphicData uri="http://schemas.openxmlformats.org/drawingml/2006/picture">
                <pic:pic>
                  <pic:nvPicPr>
                    <pic:cNvPr id="95" name="Image 9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14" w:id="416"/>
      <w:bookmarkEnd w:id="416"/>
      <w:r>
        <w:rPr/>
      </w:r>
      <w:hyperlink w:history="true" w:anchor="_bookmark335">
        <w:r>
          <w:rPr>
            <w:color w:val="005DA1"/>
            <w:spacing w:val="-4"/>
            <w:sz w:val="14"/>
            <w:u w:val="single" w:color="005DA1"/>
          </w:rPr>
          <w:t>201</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Assicurazioni Generali SpA v Arab Insurance Group [2003] 1 All E.R. (Comm) 140</w:t>
      </w:r>
      <w:r>
        <w:rPr>
          <w:sz w:val="20"/>
        </w:rPr>
        <w:t>; </w:t>
      </w:r>
      <w:r>
        <w:rPr>
          <w:rFonts w:ascii="Arial" w:hAnsi="Arial"/>
          <w:i/>
          <w:sz w:val="20"/>
        </w:rPr>
        <w:t>Taberna Europe CDO II Plc v Selskabet [2015] EWHC 871 (Comm) </w:t>
      </w:r>
      <w:r>
        <w:rPr>
          <w:sz w:val="20"/>
        </w:rPr>
        <w:t>at [153], citing this paragraph in </w:t>
      </w:r>
      <w:r>
        <w:rPr>
          <w:sz w:val="20"/>
        </w:rPr>
        <w:t>the 31st edn (reversed on other grounds </w:t>
      </w:r>
      <w:r>
        <w:rPr>
          <w:rFonts w:ascii="Arial" w:hAnsi="Arial"/>
          <w:i/>
          <w:sz w:val="20"/>
        </w:rPr>
        <w:t>[2016] EWCA Civ 1262</w:t>
      </w:r>
      <w:r>
        <w:rPr>
          <w:sz w:val="20"/>
        </w:rPr>
        <w:t>). This is consistent with the decision of the House of Lords in </w:t>
      </w:r>
      <w:r>
        <w:rPr>
          <w:rFonts w:ascii="Arial" w:hAnsi="Arial"/>
          <w:i/>
          <w:sz w:val="20"/>
        </w:rPr>
        <w:t>Pan Atlantic Insurance Co Ltd v Pine Top Insurance Co Ltd [1995] 1 A.C. 501 </w:t>
      </w:r>
      <w:r>
        <w:rPr>
          <w:sz w:val="20"/>
        </w:rPr>
        <w:t>(see n.201 below) and</w:t>
      </w:r>
      <w:r>
        <w:rPr>
          <w:spacing w:val="-1"/>
          <w:sz w:val="20"/>
        </w:rPr>
        <w:t> </w:t>
      </w:r>
      <w:r>
        <w:rPr>
          <w:rFonts w:ascii="Arial" w:hAnsi="Arial"/>
          <w:i/>
          <w:sz w:val="20"/>
        </w:rPr>
        <w:t>Raiffeisen Zentralbank Osterreich AG v Royal Bank of Scotland Plc [2010] EWHC 1392 (Comm), [2011] 1 Lloyd’s Rep. 123 </w:t>
      </w:r>
      <w:r>
        <w:rPr>
          <w:sz w:val="20"/>
        </w:rPr>
        <w:t>at [163]–[173]. The test is whether the misrepresentee would have entered the contract had the representation not been made, rather than what he would have done had he known the truth: </w:t>
      </w:r>
      <w:r>
        <w:rPr>
          <w:rFonts w:ascii="Arial" w:hAnsi="Arial"/>
          <w:i/>
          <w:sz w:val="20"/>
        </w:rPr>
        <w:t>[2010] EWHC 1392 (Comm) </w:t>
      </w:r>
      <w:r>
        <w:rPr>
          <w:sz w:val="20"/>
        </w:rPr>
        <w:t>at [174]–[191].</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6"/>
      </w:pPr>
    </w:p>
    <w:p>
      <w:pPr>
        <w:spacing w:line="235" w:lineRule="auto" w:before="1"/>
        <w:ind w:left="705" w:right="167" w:hanging="541"/>
        <w:jc w:val="both"/>
        <w:rPr>
          <w:rFonts w:ascii="Arial" w:hAnsi="Arial"/>
          <w:i/>
          <w:sz w:val="20"/>
        </w:rPr>
      </w:pPr>
      <w:bookmarkStart w:name="_bookmark415" w:id="417"/>
      <w:bookmarkEnd w:id="417"/>
      <w:r>
        <w:rPr/>
      </w:r>
      <w:hyperlink w:history="true" w:anchor="_bookmark336">
        <w:r>
          <w:rPr>
            <w:color w:val="005DA1"/>
            <w:position w:val="5"/>
            <w:sz w:val="14"/>
            <w:u w:val="single" w:color="005DA1"/>
          </w:rPr>
          <w:t>202</w:t>
        </w:r>
      </w:hyperlink>
      <w:r>
        <w:rPr>
          <w:position w:val="5"/>
          <w:sz w:val="14"/>
        </w:rPr>
        <w:t>.</w:t>
      </w:r>
      <w:r>
        <w:rPr>
          <w:spacing w:val="80"/>
          <w:position w:val="5"/>
          <w:sz w:val="14"/>
        </w:rPr>
        <w:t>  </w:t>
      </w:r>
      <w:r>
        <w:rPr>
          <w:rFonts w:ascii="Arial" w:hAnsi="Arial"/>
          <w:i/>
          <w:sz w:val="20"/>
        </w:rPr>
        <w:t>Barings</w:t>
      </w:r>
      <w:r>
        <w:rPr>
          <w:rFonts w:ascii="Arial" w:hAnsi="Arial"/>
          <w:i/>
          <w:spacing w:val="-2"/>
          <w:sz w:val="20"/>
        </w:rPr>
        <w:t> </w:t>
      </w:r>
      <w:r>
        <w:rPr>
          <w:rFonts w:ascii="Arial" w:hAnsi="Arial"/>
          <w:i/>
          <w:sz w:val="20"/>
        </w:rPr>
        <w:t>Plc</w:t>
      </w:r>
      <w:r>
        <w:rPr>
          <w:rFonts w:ascii="Arial" w:hAnsi="Arial"/>
          <w:i/>
          <w:spacing w:val="-2"/>
          <w:sz w:val="20"/>
        </w:rPr>
        <w:t> </w:t>
      </w:r>
      <w:r>
        <w:rPr>
          <w:rFonts w:ascii="Arial" w:hAnsi="Arial"/>
          <w:i/>
          <w:sz w:val="20"/>
        </w:rPr>
        <w:t>(In</w:t>
      </w:r>
      <w:r>
        <w:rPr>
          <w:rFonts w:ascii="Arial" w:hAnsi="Arial"/>
          <w:i/>
          <w:spacing w:val="-2"/>
          <w:sz w:val="20"/>
        </w:rPr>
        <w:t> </w:t>
      </w:r>
      <w:r>
        <w:rPr>
          <w:rFonts w:ascii="Arial" w:hAnsi="Arial"/>
          <w:i/>
          <w:sz w:val="20"/>
        </w:rPr>
        <w:t>Liquidation)</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Coopers</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Lybrand</w:t>
      </w:r>
      <w:r>
        <w:rPr>
          <w:rFonts w:ascii="Arial" w:hAnsi="Arial"/>
          <w:i/>
          <w:spacing w:val="-2"/>
          <w:sz w:val="20"/>
        </w:rPr>
        <w:t> </w:t>
      </w:r>
      <w:r>
        <w:rPr>
          <w:rFonts w:ascii="Arial" w:hAnsi="Arial"/>
          <w:i/>
          <w:sz w:val="20"/>
        </w:rPr>
        <w:t>[2002]</w:t>
      </w:r>
      <w:r>
        <w:rPr>
          <w:rFonts w:ascii="Arial" w:hAnsi="Arial"/>
          <w:i/>
          <w:spacing w:val="-2"/>
          <w:sz w:val="20"/>
        </w:rPr>
        <w:t> </w:t>
      </w:r>
      <w:r>
        <w:rPr>
          <w:rFonts w:ascii="Arial" w:hAnsi="Arial"/>
          <w:i/>
          <w:sz w:val="20"/>
        </w:rPr>
        <w:t>EWHC</w:t>
      </w:r>
      <w:r>
        <w:rPr>
          <w:rFonts w:ascii="Arial" w:hAnsi="Arial"/>
          <w:i/>
          <w:spacing w:val="-2"/>
          <w:sz w:val="20"/>
        </w:rPr>
        <w:t> </w:t>
      </w:r>
      <w:r>
        <w:rPr>
          <w:rFonts w:ascii="Arial" w:hAnsi="Arial"/>
          <w:i/>
          <w:sz w:val="20"/>
        </w:rPr>
        <w:t>461</w:t>
      </w:r>
      <w:r>
        <w:rPr>
          <w:rFonts w:ascii="Arial" w:hAnsi="Arial"/>
          <w:i/>
          <w:spacing w:val="-2"/>
          <w:sz w:val="20"/>
        </w:rPr>
        <w:t> </w:t>
      </w:r>
      <w:r>
        <w:rPr>
          <w:rFonts w:ascii="Arial" w:hAnsi="Arial"/>
          <w:i/>
          <w:sz w:val="20"/>
        </w:rPr>
        <w:t>(Ch),</w:t>
      </w:r>
      <w:r>
        <w:rPr>
          <w:rFonts w:ascii="Arial" w:hAnsi="Arial"/>
          <w:i/>
          <w:spacing w:val="-2"/>
          <w:sz w:val="20"/>
        </w:rPr>
        <w:t> </w:t>
      </w:r>
      <w:r>
        <w:rPr>
          <w:rFonts w:ascii="Arial" w:hAnsi="Arial"/>
          <w:i/>
          <w:sz w:val="20"/>
        </w:rPr>
        <w:t>[2002]</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B.C.L.C.</w:t>
      </w:r>
      <w:r>
        <w:rPr>
          <w:rFonts w:ascii="Arial" w:hAnsi="Arial"/>
          <w:i/>
          <w:spacing w:val="-2"/>
          <w:sz w:val="20"/>
        </w:rPr>
        <w:t> </w:t>
      </w:r>
      <w:r>
        <w:rPr>
          <w:rFonts w:ascii="Arial" w:hAnsi="Arial"/>
          <w:i/>
          <w:sz w:val="20"/>
        </w:rPr>
        <w:t>410 </w:t>
      </w:r>
      <w:r>
        <w:rPr>
          <w:sz w:val="20"/>
        </w:rPr>
        <w:t>at [127]–[130], relying on statements from the speech of Lord Steyn in </w:t>
      </w:r>
      <w:r>
        <w:rPr>
          <w:rFonts w:ascii="Arial" w:hAnsi="Arial"/>
          <w:i/>
          <w:sz w:val="20"/>
        </w:rPr>
        <w:t>Smith New Court v Scrimgeour Vickers (Asset Management) Ltd [1997] A.C. 254, 284</w:t>
      </w:r>
      <w:r>
        <w:rPr>
          <w:sz w:val="20"/>
        </w:rPr>
        <w:t>. (For the Smith New Court case see below, para.7-062.) Thus there would be no inducement if the representee would</w:t>
      </w:r>
      <w:r>
        <w:rPr>
          <w:spacing w:val="40"/>
          <w:sz w:val="20"/>
        </w:rPr>
        <w:t> </w:t>
      </w:r>
      <w:r>
        <w:rPr>
          <w:sz w:val="20"/>
        </w:rPr>
        <w:t>have gone ahead even if he had been told the truth: </w:t>
      </w:r>
      <w:r>
        <w:rPr>
          <w:rFonts w:ascii="Arial" w:hAnsi="Arial"/>
          <w:i/>
          <w:sz w:val="20"/>
        </w:rPr>
        <w:t>Dadourian Group International v Simms [2006]</w:t>
      </w:r>
      <w:r>
        <w:rPr>
          <w:rFonts w:ascii="Arial" w:hAnsi="Arial"/>
          <w:i/>
          <w:spacing w:val="2"/>
          <w:sz w:val="20"/>
        </w:rPr>
        <w:t> </w:t>
      </w:r>
      <w:r>
        <w:rPr>
          <w:rFonts w:ascii="Arial" w:hAnsi="Arial"/>
          <w:i/>
          <w:sz w:val="20"/>
        </w:rPr>
        <w:t>EWHC</w:t>
      </w:r>
      <w:r>
        <w:rPr>
          <w:rFonts w:ascii="Arial" w:hAnsi="Arial"/>
          <w:i/>
          <w:spacing w:val="2"/>
          <w:sz w:val="20"/>
        </w:rPr>
        <w:t> </w:t>
      </w:r>
      <w:r>
        <w:rPr>
          <w:rFonts w:ascii="Arial" w:hAnsi="Arial"/>
          <w:i/>
          <w:sz w:val="20"/>
        </w:rPr>
        <w:t>2973</w:t>
      </w:r>
      <w:r>
        <w:rPr>
          <w:rFonts w:ascii="Arial" w:hAnsi="Arial"/>
          <w:i/>
          <w:spacing w:val="2"/>
          <w:sz w:val="20"/>
        </w:rPr>
        <w:t> </w:t>
      </w:r>
      <w:r>
        <w:rPr>
          <w:rFonts w:ascii="Arial" w:hAnsi="Arial"/>
          <w:i/>
          <w:sz w:val="20"/>
        </w:rPr>
        <w:t>(Ch),</w:t>
      </w:r>
      <w:r>
        <w:rPr>
          <w:rFonts w:ascii="Arial" w:hAnsi="Arial"/>
          <w:i/>
          <w:spacing w:val="2"/>
          <w:sz w:val="20"/>
        </w:rPr>
        <w:t> </w:t>
      </w:r>
      <w:r>
        <w:rPr>
          <w:rFonts w:ascii="Arial" w:hAnsi="Arial"/>
          <w:i/>
          <w:sz w:val="20"/>
        </w:rPr>
        <w:t>[2006]</w:t>
      </w:r>
      <w:r>
        <w:rPr>
          <w:rFonts w:ascii="Arial" w:hAnsi="Arial"/>
          <w:i/>
          <w:spacing w:val="2"/>
          <w:sz w:val="20"/>
        </w:rPr>
        <w:t> </w:t>
      </w:r>
      <w:r>
        <w:rPr>
          <w:rFonts w:ascii="Arial" w:hAnsi="Arial"/>
          <w:i/>
          <w:sz w:val="20"/>
        </w:rPr>
        <w:t>All</w:t>
      </w:r>
      <w:r>
        <w:rPr>
          <w:rFonts w:ascii="Arial" w:hAnsi="Arial"/>
          <w:i/>
          <w:spacing w:val="2"/>
          <w:sz w:val="20"/>
        </w:rPr>
        <w:t> </w:t>
      </w:r>
      <w:r>
        <w:rPr>
          <w:rFonts w:ascii="Arial" w:hAnsi="Arial"/>
          <w:i/>
          <w:sz w:val="20"/>
        </w:rPr>
        <w:t>E.R.</w:t>
      </w:r>
      <w:r>
        <w:rPr>
          <w:rFonts w:ascii="Arial" w:hAnsi="Arial"/>
          <w:i/>
          <w:spacing w:val="2"/>
          <w:sz w:val="20"/>
        </w:rPr>
        <w:t> </w:t>
      </w:r>
      <w:r>
        <w:rPr>
          <w:rFonts w:ascii="Arial" w:hAnsi="Arial"/>
          <w:i/>
          <w:sz w:val="20"/>
        </w:rPr>
        <w:t>(D)</w:t>
      </w:r>
      <w:r>
        <w:rPr>
          <w:rFonts w:ascii="Arial" w:hAnsi="Arial"/>
          <w:i/>
          <w:spacing w:val="2"/>
          <w:sz w:val="20"/>
        </w:rPr>
        <w:t> </w:t>
      </w:r>
      <w:r>
        <w:rPr>
          <w:rFonts w:ascii="Arial" w:hAnsi="Arial"/>
          <w:i/>
          <w:sz w:val="20"/>
        </w:rPr>
        <w:t>351</w:t>
      </w:r>
      <w:r>
        <w:rPr>
          <w:rFonts w:ascii="Arial" w:hAnsi="Arial"/>
          <w:i/>
          <w:spacing w:val="2"/>
          <w:sz w:val="20"/>
        </w:rPr>
        <w:t> </w:t>
      </w:r>
      <w:r>
        <w:rPr>
          <w:rFonts w:ascii="Arial" w:hAnsi="Arial"/>
          <w:i/>
          <w:sz w:val="20"/>
        </w:rPr>
        <w:t>(Nov)</w:t>
      </w:r>
      <w:r>
        <w:rPr>
          <w:rFonts w:ascii="Arial" w:hAnsi="Arial"/>
          <w:i/>
          <w:spacing w:val="2"/>
          <w:sz w:val="20"/>
        </w:rPr>
        <w:t> </w:t>
      </w:r>
      <w:r>
        <w:rPr>
          <w:rFonts w:ascii="Arial" w:hAnsi="Arial"/>
          <w:i/>
          <w:sz w:val="20"/>
        </w:rPr>
        <w:t>at</w:t>
      </w:r>
      <w:r>
        <w:rPr>
          <w:rFonts w:ascii="Arial" w:hAnsi="Arial"/>
          <w:i/>
          <w:spacing w:val="2"/>
          <w:sz w:val="20"/>
        </w:rPr>
        <w:t> </w:t>
      </w:r>
      <w:r>
        <w:rPr>
          <w:rFonts w:ascii="Arial" w:hAnsi="Arial"/>
          <w:i/>
          <w:sz w:val="20"/>
        </w:rPr>
        <w:t>[548];</w:t>
      </w:r>
      <w:r>
        <w:rPr>
          <w:rFonts w:ascii="Arial" w:hAnsi="Arial"/>
          <w:i/>
          <w:spacing w:val="2"/>
          <w:sz w:val="20"/>
        </w:rPr>
        <w:t> </w:t>
      </w:r>
      <w:r>
        <w:rPr>
          <w:rFonts w:ascii="Arial" w:hAnsi="Arial"/>
          <w:i/>
          <w:sz w:val="20"/>
        </w:rPr>
        <w:t>affirmed</w:t>
      </w:r>
      <w:r>
        <w:rPr>
          <w:rFonts w:ascii="Arial" w:hAnsi="Arial"/>
          <w:i/>
          <w:spacing w:val="2"/>
          <w:sz w:val="20"/>
        </w:rPr>
        <w:t> </w:t>
      </w:r>
      <w:r>
        <w:rPr>
          <w:rFonts w:ascii="Arial" w:hAnsi="Arial"/>
          <w:i/>
          <w:sz w:val="20"/>
        </w:rPr>
        <w:t>[2009]</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pacing w:val="-4"/>
          <w:sz w:val="20"/>
        </w:rPr>
        <w:t>169,</w:t>
      </w:r>
    </w:p>
    <w:p>
      <w:pPr>
        <w:pStyle w:val="BodyText"/>
        <w:spacing w:line="235" w:lineRule="auto"/>
        <w:ind w:left="705" w:right="167"/>
        <w:jc w:val="both"/>
      </w:pPr>
      <w:r>
        <w:rPr>
          <w:rFonts w:ascii="Arial" w:hAnsi="Arial"/>
          <w:i/>
        </w:rPr>
        <w:t>[2009] 1 Lloyd’s Rep. 601</w:t>
      </w:r>
      <w:r>
        <w:rPr/>
        <w:t>, including the trial judge’s statement that “the presumption </w:t>
      </w:r>
      <w:r>
        <w:rPr/>
        <w:t>of inducement is rebutted by the representor showing that the misrepresentation did not play a</w:t>
      </w:r>
      <w:r>
        <w:rPr>
          <w:spacing w:val="40"/>
        </w:rPr>
        <w:t> </w:t>
      </w:r>
      <w:r>
        <w:rPr/>
        <w:t>real and substantial part in the representee’s decision to enter into the transaction; the representor does not have to go so far as to show that the misrepresentation played no part at all”: see at [99]–[101]. On the last point, compare the test when the representee seeks to rescind on the ground of fraud: below, text at n.202.</w:t>
      </w:r>
    </w:p>
    <w:p>
      <w:pPr>
        <w:pStyle w:val="BodyText"/>
        <w:spacing w:before="5"/>
      </w:pPr>
    </w:p>
    <w:p>
      <w:pPr>
        <w:pStyle w:val="BodyText"/>
        <w:spacing w:line="235" w:lineRule="auto"/>
        <w:ind w:left="705" w:right="167" w:hanging="541"/>
        <w:jc w:val="both"/>
      </w:pPr>
      <w:bookmarkStart w:name="_bookmark416" w:id="418"/>
      <w:bookmarkEnd w:id="418"/>
      <w:r>
        <w:rPr/>
      </w:r>
      <w:hyperlink w:history="true" w:anchor="_bookmark337">
        <w:r>
          <w:rPr>
            <w:color w:val="005DA1"/>
            <w:position w:val="5"/>
            <w:sz w:val="14"/>
            <w:u w:val="single" w:color="005DA1"/>
          </w:rPr>
          <w:t>203</w:t>
        </w:r>
      </w:hyperlink>
      <w:r>
        <w:rPr>
          <w:position w:val="5"/>
          <w:sz w:val="14"/>
        </w:rPr>
        <w:t>.</w:t>
      </w:r>
      <w:r>
        <w:rPr>
          <w:spacing w:val="80"/>
          <w:w w:val="150"/>
          <w:position w:val="5"/>
          <w:sz w:val="14"/>
        </w:rPr>
        <w:t> </w:t>
      </w:r>
      <w:r>
        <w:rPr/>
        <w:t>In </w:t>
      </w:r>
      <w:r>
        <w:rPr>
          <w:rFonts w:ascii="Arial" w:hAnsi="Arial"/>
          <w:i/>
        </w:rPr>
        <w:t>Pan Atlantic Insurance Co Ltd v Pine Top Insurance Co Ltd [1995] 1 A.C. 501</w:t>
      </w:r>
      <w:r>
        <w:rPr/>
        <w:t>, a case of nondisclosure in insurance (see below, para.7-157), Lord Mustill spoke of inducement both </w:t>
      </w:r>
      <w:r>
        <w:rPr/>
        <w:t>“in the sense in which that expression is used in the general law of misrepresentation” and (549)</w:t>
      </w:r>
      <w:r>
        <w:rPr>
          <w:spacing w:val="40"/>
        </w:rPr>
        <w:t> </w:t>
      </w:r>
      <w:r>
        <w:rPr/>
        <w:t>“in the sense in which it is used in the general law of contract” without apparently seeing any difference between the two. As the “but for” test is applied generally to breach of contract, his statements and an overall reading of his speech suggest that he thought that the insurer’s decision</w:t>
      </w:r>
      <w:r>
        <w:rPr>
          <w:spacing w:val="10"/>
        </w:rPr>
        <w:t> </w:t>
      </w:r>
      <w:r>
        <w:rPr/>
        <w:t>as</w:t>
      </w:r>
      <w:r>
        <w:rPr>
          <w:spacing w:val="10"/>
        </w:rPr>
        <w:t> </w:t>
      </w:r>
      <w:r>
        <w:rPr/>
        <w:t>to</w:t>
      </w:r>
      <w:r>
        <w:rPr>
          <w:spacing w:val="10"/>
        </w:rPr>
        <w:t> </w:t>
      </w:r>
      <w:r>
        <w:rPr/>
        <w:t>whether</w:t>
      </w:r>
      <w:r>
        <w:rPr>
          <w:spacing w:val="10"/>
        </w:rPr>
        <w:t> </w:t>
      </w:r>
      <w:r>
        <w:rPr/>
        <w:t>to</w:t>
      </w:r>
      <w:r>
        <w:rPr>
          <w:spacing w:val="10"/>
        </w:rPr>
        <w:t> </w:t>
      </w:r>
      <w:r>
        <w:rPr/>
        <w:t>enter</w:t>
      </w:r>
      <w:r>
        <w:rPr>
          <w:spacing w:val="10"/>
        </w:rPr>
        <w:t> </w:t>
      </w:r>
      <w:r>
        <w:rPr/>
        <w:t>the</w:t>
      </w:r>
      <w:r>
        <w:rPr>
          <w:spacing w:val="10"/>
        </w:rPr>
        <w:t> </w:t>
      </w:r>
      <w:r>
        <w:rPr/>
        <w:t>contract</w:t>
      </w:r>
      <w:r>
        <w:rPr>
          <w:spacing w:val="10"/>
        </w:rPr>
        <w:t> </w:t>
      </w:r>
      <w:r>
        <w:rPr/>
        <w:t>or</w:t>
      </w:r>
      <w:r>
        <w:rPr>
          <w:spacing w:val="10"/>
        </w:rPr>
        <w:t> </w:t>
      </w:r>
      <w:r>
        <w:rPr/>
        <w:t>at</w:t>
      </w:r>
      <w:r>
        <w:rPr>
          <w:spacing w:val="10"/>
        </w:rPr>
        <w:t> </w:t>
      </w:r>
      <w:r>
        <w:rPr/>
        <w:t>what</w:t>
      </w:r>
      <w:r>
        <w:rPr>
          <w:spacing w:val="10"/>
        </w:rPr>
        <w:t> </w:t>
      </w:r>
      <w:r>
        <w:rPr/>
        <w:t>premium</w:t>
      </w:r>
      <w:r>
        <w:rPr>
          <w:spacing w:val="10"/>
        </w:rPr>
        <w:t> </w:t>
      </w:r>
      <w:r>
        <w:rPr/>
        <w:t>must</w:t>
      </w:r>
      <w:r>
        <w:rPr>
          <w:spacing w:val="10"/>
        </w:rPr>
        <w:t> </w:t>
      </w:r>
      <w:r>
        <w:rPr/>
        <w:t>have</w:t>
      </w:r>
      <w:r>
        <w:rPr>
          <w:spacing w:val="10"/>
        </w:rPr>
        <w:t> </w:t>
      </w:r>
      <w:r>
        <w:rPr/>
        <w:t>been</w:t>
      </w:r>
      <w:r>
        <w:rPr>
          <w:spacing w:val="10"/>
        </w:rPr>
        <w:t> </w:t>
      </w:r>
      <w:r>
        <w:rPr/>
        <w:t>influenced</w:t>
      </w:r>
      <w:r>
        <w:rPr>
          <w:spacing w:val="10"/>
        </w:rPr>
        <w:t> </w:t>
      </w:r>
      <w:r>
        <w:rPr>
          <w:spacing w:val="-5"/>
        </w:rPr>
        <w:t>by</w:t>
      </w:r>
    </w:p>
    <w:p>
      <w:pPr>
        <w:pStyle w:val="BodyText"/>
        <w:spacing w:after="0" w:line="235" w:lineRule="auto"/>
        <w:jc w:val="both"/>
        <w:sectPr>
          <w:type w:val="continuous"/>
          <w:pgSz w:w="11900" w:h="16840"/>
          <w:pgMar w:header="971" w:footer="0" w:top="1160" w:bottom="280" w:left="1275" w:right="1275"/>
        </w:sectPr>
      </w:pPr>
    </w:p>
    <w:p>
      <w:pPr>
        <w:pStyle w:val="BodyText"/>
        <w:spacing w:before="21"/>
      </w:pPr>
    </w:p>
    <w:p>
      <w:pPr>
        <w:pStyle w:val="BodyText"/>
        <w:spacing w:line="227" w:lineRule="exact"/>
        <w:ind w:left="705"/>
      </w:pPr>
      <w:r>
        <w:rPr/>
        <w:t>the</w:t>
      </w:r>
      <w:r>
        <w:rPr>
          <w:spacing w:val="40"/>
        </w:rPr>
        <w:t> </w:t>
      </w:r>
      <w:r>
        <w:rPr/>
        <w:t>non-disclosure</w:t>
      </w:r>
      <w:r>
        <w:rPr>
          <w:spacing w:val="40"/>
        </w:rPr>
        <w:t> </w:t>
      </w:r>
      <w:r>
        <w:rPr/>
        <w:t>in</w:t>
      </w:r>
      <w:r>
        <w:rPr>
          <w:spacing w:val="40"/>
        </w:rPr>
        <w:t> </w:t>
      </w:r>
      <w:r>
        <w:rPr/>
        <w:t>the</w:t>
      </w:r>
      <w:r>
        <w:rPr>
          <w:spacing w:val="40"/>
        </w:rPr>
        <w:t> </w:t>
      </w:r>
      <w:r>
        <w:rPr/>
        <w:t>sense</w:t>
      </w:r>
      <w:r>
        <w:rPr>
          <w:spacing w:val="40"/>
        </w:rPr>
        <w:t> </w:t>
      </w:r>
      <w:r>
        <w:rPr/>
        <w:t>that</w:t>
      </w:r>
      <w:r>
        <w:rPr>
          <w:spacing w:val="40"/>
        </w:rPr>
        <w:t> </w:t>
      </w:r>
      <w:r>
        <w:rPr/>
        <w:t>“but</w:t>
      </w:r>
      <w:r>
        <w:rPr>
          <w:spacing w:val="40"/>
        </w:rPr>
        <w:t> </w:t>
      </w:r>
      <w:r>
        <w:rPr/>
        <w:t>for”</w:t>
      </w:r>
      <w:r>
        <w:rPr>
          <w:spacing w:val="40"/>
        </w:rPr>
        <w:t> </w:t>
      </w:r>
      <w:r>
        <w:rPr/>
        <w:t>causation</w:t>
      </w:r>
      <w:r>
        <w:rPr>
          <w:spacing w:val="40"/>
        </w:rPr>
        <w:t> </w:t>
      </w:r>
      <w:r>
        <w:rPr/>
        <w:t>is</w:t>
      </w:r>
      <w:r>
        <w:rPr>
          <w:spacing w:val="40"/>
        </w:rPr>
        <w:t> </w:t>
      </w:r>
      <w:r>
        <w:rPr/>
        <w:t>required.</w:t>
      </w:r>
      <w:r>
        <w:rPr>
          <w:spacing w:val="40"/>
        </w:rPr>
        <w:t> </w:t>
      </w:r>
      <w:r>
        <w:rPr/>
        <w:t>cf.</w:t>
      </w:r>
      <w:r>
        <w:rPr>
          <w:spacing w:val="40"/>
        </w:rPr>
        <w:t> </w:t>
      </w:r>
      <w:r>
        <w:rPr/>
        <w:t>Bennett</w:t>
      </w:r>
      <w:r>
        <w:rPr>
          <w:spacing w:val="40"/>
        </w:rPr>
        <w:t> </w:t>
      </w:r>
      <w:r>
        <w:rPr/>
        <w:t>(1996)</w:t>
      </w:r>
      <w:r>
        <w:rPr>
          <w:spacing w:val="40"/>
        </w:rPr>
        <w:t> </w:t>
      </w:r>
      <w:r>
        <w:rPr>
          <w:spacing w:val="-5"/>
        </w:rPr>
        <w:t>112</w:t>
      </w:r>
    </w:p>
    <w:p>
      <w:pPr>
        <w:pStyle w:val="BodyText"/>
        <w:spacing w:line="227" w:lineRule="exact"/>
        <w:ind w:left="705"/>
      </w:pPr>
      <w:r>
        <w:rPr/>
        <w:t>L.Q.R. 405, </w:t>
      </w:r>
      <w:r>
        <w:rPr>
          <w:spacing w:val="-4"/>
        </w:rPr>
        <w:t>408.</w:t>
      </w:r>
    </w:p>
    <w:p>
      <w:pPr>
        <w:pStyle w:val="BodyText"/>
        <w:spacing w:before="5"/>
      </w:pPr>
    </w:p>
    <w:p>
      <w:pPr>
        <w:tabs>
          <w:tab w:pos="705" w:val="left" w:leader="none"/>
        </w:tabs>
        <w:spacing w:before="0"/>
        <w:ind w:left="165" w:right="0" w:firstLine="0"/>
        <w:jc w:val="left"/>
        <w:rPr>
          <w:sz w:val="20"/>
        </w:rPr>
      </w:pPr>
      <w:bookmarkStart w:name="_bookmark417" w:id="419"/>
      <w:bookmarkEnd w:id="419"/>
      <w:r>
        <w:rPr/>
      </w:r>
      <w:hyperlink w:history="true" w:anchor="_bookmark338">
        <w:r>
          <w:rPr>
            <w:color w:val="005DA1"/>
            <w:spacing w:val="-4"/>
            <w:position w:val="5"/>
            <w:sz w:val="14"/>
            <w:u w:val="single" w:color="005DA1"/>
          </w:rPr>
          <w:t>204</w:t>
        </w:r>
      </w:hyperlink>
      <w:r>
        <w:rPr>
          <w:spacing w:val="-4"/>
          <w:position w:val="5"/>
          <w:sz w:val="14"/>
        </w:rPr>
        <w:t>.</w:t>
      </w:r>
      <w:r>
        <w:rPr>
          <w:position w:val="5"/>
          <w:sz w:val="14"/>
        </w:rPr>
        <w:tab/>
      </w:r>
      <w:r>
        <w:rPr>
          <w:sz w:val="20"/>
        </w:rPr>
        <w:t>See</w:t>
      </w:r>
      <w:r>
        <w:rPr>
          <w:spacing w:val="-1"/>
          <w:sz w:val="20"/>
        </w:rPr>
        <w:t> </w:t>
      </w:r>
      <w:r>
        <w:rPr>
          <w:rFonts w:ascii="Arial"/>
          <w:i/>
          <w:sz w:val="20"/>
        </w:rPr>
        <w:t>Re Leeds Bank (1887) 56 L.J. Ch. </w:t>
      </w:r>
      <w:r>
        <w:rPr>
          <w:rFonts w:ascii="Arial"/>
          <w:i/>
          <w:spacing w:val="-4"/>
          <w:sz w:val="20"/>
        </w:rPr>
        <w:t>321</w:t>
      </w:r>
      <w:r>
        <w:rPr>
          <w:spacing w:val="-4"/>
          <w:sz w:val="20"/>
        </w:rPr>
        <w:t>.</w:t>
      </w:r>
    </w:p>
    <w:p>
      <w:pPr>
        <w:pStyle w:val="BodyText"/>
        <w:spacing w:before="9"/>
      </w:pPr>
    </w:p>
    <w:p>
      <w:pPr>
        <w:spacing w:line="235" w:lineRule="auto" w:before="0"/>
        <w:ind w:left="705" w:right="168" w:hanging="541"/>
        <w:jc w:val="both"/>
        <w:rPr>
          <w:sz w:val="20"/>
        </w:rPr>
      </w:pPr>
      <w:bookmarkStart w:name="_bookmark418" w:id="420"/>
      <w:bookmarkEnd w:id="420"/>
      <w:r>
        <w:rPr/>
      </w:r>
      <w:hyperlink w:history="true" w:anchor="_bookmark339">
        <w:r>
          <w:rPr>
            <w:color w:val="005DA1"/>
            <w:position w:val="5"/>
            <w:sz w:val="14"/>
            <w:u w:val="single" w:color="005DA1"/>
          </w:rPr>
          <w:t>205</w:t>
        </w:r>
      </w:hyperlink>
      <w:r>
        <w:rPr>
          <w:position w:val="5"/>
          <w:sz w:val="14"/>
        </w:rPr>
        <w:t>.</w:t>
      </w:r>
      <w:r>
        <w:rPr>
          <w:spacing w:val="40"/>
          <w:position w:val="5"/>
          <w:sz w:val="14"/>
        </w:rPr>
        <w:t>  </w:t>
      </w:r>
      <w:r>
        <w:rPr>
          <w:sz w:val="20"/>
        </w:rPr>
        <w:t>Bowen L.J. in </w:t>
      </w:r>
      <w:r>
        <w:rPr>
          <w:rFonts w:ascii="Arial"/>
          <w:i/>
          <w:sz w:val="20"/>
        </w:rPr>
        <w:t>Edgington v Fitzmaurice (1885) 29 Ch. D. 459, 483</w:t>
      </w:r>
      <w:r>
        <w:rPr>
          <w:sz w:val="20"/>
        </w:rPr>
        <w:t>; </w:t>
      </w:r>
      <w:r>
        <w:rPr>
          <w:rFonts w:ascii="Arial"/>
          <w:i/>
          <w:sz w:val="20"/>
        </w:rPr>
        <w:t>Brown v InnovatorOne </w:t>
      </w:r>
      <w:r>
        <w:rPr>
          <w:rFonts w:ascii="Arial"/>
          <w:i/>
          <w:sz w:val="20"/>
        </w:rPr>
        <w:t>Plc [2012] EWHC 1321 (Comm) </w:t>
      </w:r>
      <w:r>
        <w:rPr>
          <w:sz w:val="20"/>
        </w:rPr>
        <w:t>at [883]. Bowen L.J. seems to have applied this test to a claim for damages for fraud, but he seems to have been in the minority; see above, n.196.</w:t>
      </w:r>
    </w:p>
    <w:p>
      <w:pPr>
        <w:pStyle w:val="BodyText"/>
        <w:spacing w:before="5"/>
      </w:pPr>
    </w:p>
    <w:p>
      <w:pPr>
        <w:tabs>
          <w:tab w:pos="705" w:val="left" w:leader="none"/>
        </w:tabs>
        <w:spacing w:before="0"/>
        <w:ind w:left="165" w:right="0" w:firstLine="0"/>
        <w:jc w:val="left"/>
        <w:rPr>
          <w:sz w:val="20"/>
        </w:rPr>
      </w:pPr>
      <w:bookmarkStart w:name="_bookmark419" w:id="421"/>
      <w:bookmarkEnd w:id="421"/>
      <w:r>
        <w:rPr/>
      </w:r>
      <w:hyperlink w:history="true" w:anchor="_bookmark339">
        <w:r>
          <w:rPr>
            <w:color w:val="005DA1"/>
            <w:spacing w:val="-4"/>
            <w:position w:val="5"/>
            <w:sz w:val="14"/>
            <w:u w:val="single" w:color="005DA1"/>
          </w:rPr>
          <w:t>206</w:t>
        </w:r>
      </w:hyperlink>
      <w:r>
        <w:rPr>
          <w:spacing w:val="-4"/>
          <w:position w:val="5"/>
          <w:sz w:val="14"/>
        </w:rPr>
        <w:t>.</w:t>
      </w:r>
      <w:r>
        <w:rPr>
          <w:position w:val="5"/>
          <w:sz w:val="14"/>
        </w:rPr>
        <w:tab/>
      </w:r>
      <w:r>
        <w:rPr>
          <w:rFonts w:ascii="Arial" w:hAnsi="Arial"/>
          <w:i/>
          <w:sz w:val="20"/>
        </w:rPr>
        <w:t>Barton v Armstrong [1976] A.C. 104 PC</w:t>
      </w:r>
      <w:r>
        <w:rPr>
          <w:rFonts w:ascii="Arial" w:hAnsi="Arial"/>
          <w:i/>
          <w:spacing w:val="-1"/>
          <w:sz w:val="20"/>
        </w:rPr>
        <w:t> </w:t>
      </w:r>
      <w:r>
        <w:rPr>
          <w:sz w:val="20"/>
        </w:rPr>
        <w:t>at </w:t>
      </w:r>
      <w:r>
        <w:rPr>
          <w:spacing w:val="-2"/>
          <w:sz w:val="20"/>
        </w:rPr>
        <w:t>118–119.</w:t>
      </w:r>
    </w:p>
    <w:p>
      <w:pPr>
        <w:pStyle w:val="BodyText"/>
        <w:spacing w:before="8"/>
      </w:pPr>
    </w:p>
    <w:p>
      <w:pPr>
        <w:tabs>
          <w:tab w:pos="705" w:val="left" w:leader="none"/>
        </w:tabs>
        <w:spacing w:line="235" w:lineRule="auto" w:before="1"/>
        <w:ind w:left="705" w:right="168" w:hanging="541"/>
        <w:jc w:val="left"/>
        <w:rPr>
          <w:sz w:val="20"/>
        </w:rPr>
      </w:pPr>
      <w:bookmarkStart w:name="_bookmark420" w:id="422"/>
      <w:bookmarkEnd w:id="422"/>
      <w:r>
        <w:rPr/>
      </w:r>
      <w:hyperlink w:history="true" w:anchor="_bookmark340">
        <w:r>
          <w:rPr>
            <w:color w:val="005DA1"/>
            <w:spacing w:val="-4"/>
            <w:position w:val="5"/>
            <w:sz w:val="14"/>
            <w:u w:val="single" w:color="005DA1"/>
          </w:rPr>
          <w:t>207</w:t>
        </w:r>
      </w:hyperlink>
      <w:r>
        <w:rPr>
          <w:spacing w:val="-4"/>
          <w:position w:val="5"/>
          <w:sz w:val="14"/>
        </w:rPr>
        <w:t>.</w:t>
      </w:r>
      <w:r>
        <w:rPr>
          <w:position w:val="5"/>
          <w:sz w:val="14"/>
        </w:rPr>
        <w:tab/>
      </w:r>
      <w:r>
        <w:rPr>
          <w:rFonts w:ascii="Arial" w:hAnsi="Arial"/>
          <w:i/>
          <w:sz w:val="20"/>
        </w:rPr>
        <w:t>(1852) 1 De G.M. &amp; G. 660, 708</w:t>
      </w:r>
      <w:r>
        <w:rPr>
          <w:sz w:val="20"/>
        </w:rPr>
        <w:t>. See also </w:t>
      </w:r>
      <w:r>
        <w:rPr>
          <w:rFonts w:ascii="Arial" w:hAnsi="Arial"/>
          <w:i/>
          <w:sz w:val="20"/>
        </w:rPr>
        <w:t>Arnison v Smith (1889) 41 Ch. D. 348, 369</w:t>
      </w:r>
      <w:r>
        <w:rPr>
          <w:sz w:val="20"/>
        </w:rPr>
        <w:t>, </w:t>
      </w:r>
      <w:r>
        <w:rPr>
          <w:sz w:val="20"/>
        </w:rPr>
        <w:t>where</w:t>
      </w:r>
      <w:r>
        <w:rPr>
          <w:spacing w:val="40"/>
          <w:sz w:val="20"/>
        </w:rPr>
        <w:t> </w:t>
      </w:r>
      <w:r>
        <w:rPr>
          <w:sz w:val="20"/>
        </w:rPr>
        <w:t>Lord Halsbury L.C. said, “[y]ou cannot weight the elements by ounces”.</w:t>
      </w:r>
    </w:p>
    <w:p>
      <w:pPr>
        <w:pStyle w:val="BodyText"/>
        <w:spacing w:before="5"/>
      </w:pPr>
    </w:p>
    <w:p>
      <w:pPr>
        <w:tabs>
          <w:tab w:pos="705" w:val="left" w:leader="none"/>
        </w:tabs>
        <w:spacing w:before="0"/>
        <w:ind w:left="165" w:right="0" w:firstLine="0"/>
        <w:jc w:val="left"/>
        <w:rPr>
          <w:sz w:val="20"/>
        </w:rPr>
      </w:pPr>
      <w:bookmarkStart w:name="_bookmark421" w:id="423"/>
      <w:bookmarkEnd w:id="423"/>
      <w:r>
        <w:rPr/>
      </w:r>
      <w:hyperlink w:history="true" w:anchor="_bookmark341">
        <w:r>
          <w:rPr>
            <w:color w:val="005DA1"/>
            <w:spacing w:val="-4"/>
            <w:position w:val="5"/>
            <w:sz w:val="14"/>
            <w:u w:val="single" w:color="005DA1"/>
          </w:rPr>
          <w:t>208</w:t>
        </w:r>
      </w:hyperlink>
      <w:r>
        <w:rPr>
          <w:spacing w:val="-4"/>
          <w:position w:val="5"/>
          <w:sz w:val="14"/>
        </w:rPr>
        <w:t>.</w:t>
      </w:r>
      <w:r>
        <w:rPr>
          <w:position w:val="5"/>
          <w:sz w:val="14"/>
        </w:rPr>
        <w:tab/>
      </w:r>
      <w:r>
        <w:rPr>
          <w:rFonts w:ascii="Arial" w:hAnsi="Arial"/>
          <w:i/>
          <w:sz w:val="20"/>
        </w:rPr>
        <w:t>[1976]</w:t>
      </w:r>
      <w:r>
        <w:rPr>
          <w:rFonts w:ascii="Arial" w:hAnsi="Arial"/>
          <w:i/>
          <w:spacing w:val="-2"/>
          <w:sz w:val="20"/>
        </w:rPr>
        <w:t> </w:t>
      </w:r>
      <w:r>
        <w:rPr>
          <w:rFonts w:ascii="Arial" w:hAnsi="Arial"/>
          <w:i/>
          <w:sz w:val="20"/>
        </w:rPr>
        <w:t>A.C. 104</w:t>
      </w:r>
      <w:r>
        <w:rPr>
          <w:rFonts w:ascii="Arial" w:hAnsi="Arial"/>
          <w:i/>
          <w:spacing w:val="-1"/>
          <w:sz w:val="20"/>
        </w:rPr>
        <w:t> </w:t>
      </w:r>
      <w:r>
        <w:rPr>
          <w:sz w:val="20"/>
        </w:rPr>
        <w:t>PC at </w:t>
      </w:r>
      <w:r>
        <w:rPr>
          <w:spacing w:val="-2"/>
          <w:sz w:val="20"/>
        </w:rPr>
        <w:t>118–119.</w:t>
      </w:r>
    </w:p>
    <w:p>
      <w:pPr>
        <w:pStyle w:val="BodyText"/>
        <w:spacing w:before="5"/>
      </w:pPr>
    </w:p>
    <w:p>
      <w:pPr>
        <w:tabs>
          <w:tab w:pos="705" w:val="left" w:leader="none"/>
        </w:tabs>
        <w:spacing w:before="0"/>
        <w:ind w:left="165" w:right="0" w:firstLine="0"/>
        <w:jc w:val="left"/>
        <w:rPr>
          <w:sz w:val="20"/>
        </w:rPr>
      </w:pPr>
      <w:bookmarkStart w:name="_bookmark422" w:id="424"/>
      <w:bookmarkEnd w:id="424"/>
      <w:r>
        <w:rPr/>
      </w:r>
      <w:hyperlink w:history="true" w:anchor="_bookmark342">
        <w:r>
          <w:rPr>
            <w:color w:val="005DA1"/>
            <w:spacing w:val="-4"/>
            <w:position w:val="5"/>
            <w:sz w:val="14"/>
            <w:u w:val="single" w:color="005DA1"/>
          </w:rPr>
          <w:t>209</w:t>
        </w:r>
      </w:hyperlink>
      <w:r>
        <w:rPr>
          <w:spacing w:val="-4"/>
          <w:position w:val="5"/>
          <w:sz w:val="14"/>
        </w:rPr>
        <w:t>.</w:t>
      </w:r>
      <w:r>
        <w:rPr>
          <w:position w:val="5"/>
          <w:sz w:val="14"/>
        </w:rPr>
        <w:tab/>
      </w:r>
      <w:r>
        <w:rPr>
          <w:sz w:val="20"/>
        </w:rPr>
        <w:t>The</w:t>
      </w:r>
      <w:r>
        <w:rPr>
          <w:spacing w:val="-1"/>
          <w:sz w:val="20"/>
        </w:rPr>
        <w:t> </w:t>
      </w:r>
      <w:r>
        <w:rPr>
          <w:sz w:val="20"/>
        </w:rPr>
        <w:t>rule is usefully discussed in Burrows,</w:t>
      </w:r>
      <w:r>
        <w:rPr>
          <w:spacing w:val="-1"/>
          <w:sz w:val="20"/>
        </w:rPr>
        <w:t> </w:t>
      </w:r>
      <w:r>
        <w:rPr>
          <w:rFonts w:ascii="Arial" w:hAnsi="Arial"/>
          <w:i/>
          <w:sz w:val="20"/>
        </w:rPr>
        <w:t>Law of Restitution</w:t>
      </w:r>
      <w:r>
        <w:rPr>
          <w:sz w:val="20"/>
        </w:rPr>
        <w:t>, 3rd edn (2011), </w:t>
      </w:r>
      <w:r>
        <w:rPr>
          <w:spacing w:val="-2"/>
          <w:sz w:val="20"/>
        </w:rPr>
        <w:t>pp.94–95.</w:t>
      </w:r>
    </w:p>
    <w:p>
      <w:pPr>
        <w:pStyle w:val="BodyText"/>
        <w:spacing w:before="5"/>
      </w:pPr>
    </w:p>
    <w:p>
      <w:pPr>
        <w:pStyle w:val="BodyText"/>
        <w:tabs>
          <w:tab w:pos="705" w:val="left" w:leader="none"/>
        </w:tabs>
        <w:ind w:left="165"/>
      </w:pPr>
      <w:bookmarkStart w:name="_bookmark423" w:id="425"/>
      <w:bookmarkEnd w:id="425"/>
      <w:r>
        <w:rPr/>
      </w:r>
      <w:hyperlink w:history="true" w:anchor="_bookmark342">
        <w:r>
          <w:rPr>
            <w:color w:val="005DA1"/>
            <w:spacing w:val="-4"/>
            <w:position w:val="5"/>
            <w:sz w:val="14"/>
            <w:u w:val="single" w:color="005DA1"/>
          </w:rPr>
          <w:t>210</w:t>
        </w:r>
      </w:hyperlink>
      <w:r>
        <w:rPr>
          <w:spacing w:val="-4"/>
          <w:position w:val="5"/>
          <w:sz w:val="14"/>
        </w:rPr>
        <w:t>.</w:t>
      </w:r>
      <w:r>
        <w:rPr>
          <w:position w:val="5"/>
          <w:sz w:val="14"/>
        </w:rPr>
        <w:tab/>
      </w:r>
      <w:r>
        <w:rPr/>
        <w:t>cf. below, para.7-</w:t>
      </w:r>
      <w:r>
        <w:rPr>
          <w:spacing w:val="-4"/>
        </w:rPr>
        <w:t>064.</w:t>
      </w:r>
    </w:p>
    <w:p>
      <w:pPr>
        <w:pStyle w:val="BodyText"/>
        <w:spacing w:before="5"/>
      </w:pPr>
    </w:p>
    <w:p>
      <w:pPr>
        <w:tabs>
          <w:tab w:pos="705" w:val="left" w:leader="none"/>
        </w:tabs>
        <w:spacing w:before="0"/>
        <w:ind w:left="165" w:right="0" w:firstLine="0"/>
        <w:jc w:val="left"/>
        <w:rPr>
          <w:sz w:val="20"/>
        </w:rPr>
      </w:pPr>
      <w:bookmarkStart w:name="_bookmark424" w:id="426"/>
      <w:bookmarkEnd w:id="426"/>
      <w:r>
        <w:rPr/>
      </w:r>
      <w:hyperlink w:history="true" w:anchor="_bookmark343">
        <w:r>
          <w:rPr>
            <w:color w:val="005DA1"/>
            <w:spacing w:val="-4"/>
            <w:position w:val="5"/>
            <w:sz w:val="14"/>
            <w:u w:val="single" w:color="005DA1"/>
          </w:rPr>
          <w:t>211</w:t>
        </w:r>
      </w:hyperlink>
      <w:r>
        <w:rPr>
          <w:spacing w:val="-4"/>
          <w:position w:val="5"/>
          <w:sz w:val="14"/>
        </w:rPr>
        <w:t>.</w:t>
      </w:r>
      <w:r>
        <w:rPr>
          <w:position w:val="5"/>
          <w:sz w:val="14"/>
        </w:rPr>
        <w:tab/>
      </w:r>
      <w:r>
        <w:rPr>
          <w:rFonts w:ascii="Arial"/>
          <w:i/>
          <w:sz w:val="20"/>
        </w:rPr>
        <w:t>UCB Corporate Services Ltd v Williams [2002] EWCA Civ 555</w:t>
      </w:r>
      <w:r>
        <w:rPr>
          <w:rFonts w:ascii="Arial"/>
          <w:i/>
          <w:spacing w:val="-1"/>
          <w:sz w:val="20"/>
        </w:rPr>
        <w:t> </w:t>
      </w:r>
      <w:r>
        <w:rPr>
          <w:sz w:val="20"/>
        </w:rPr>
        <w:t>at </w:t>
      </w:r>
      <w:r>
        <w:rPr>
          <w:spacing w:val="-2"/>
          <w:sz w:val="20"/>
        </w:rPr>
        <w:t>[86].</w:t>
      </w:r>
    </w:p>
    <w:p>
      <w:pPr>
        <w:pStyle w:val="BodyText"/>
        <w:spacing w:before="5"/>
      </w:pPr>
    </w:p>
    <w:p>
      <w:pPr>
        <w:pStyle w:val="BodyText"/>
        <w:tabs>
          <w:tab w:pos="705" w:val="left" w:leader="none"/>
        </w:tabs>
        <w:ind w:left="165"/>
      </w:pPr>
      <w:bookmarkStart w:name="_bookmark425" w:id="427"/>
      <w:bookmarkEnd w:id="427"/>
      <w:r>
        <w:rPr/>
      </w:r>
      <w:hyperlink w:history="true" w:anchor="_bookmark344">
        <w:r>
          <w:rPr>
            <w:color w:val="005DA1"/>
            <w:spacing w:val="-4"/>
            <w:position w:val="5"/>
            <w:sz w:val="14"/>
            <w:u w:val="single" w:color="005DA1"/>
          </w:rPr>
          <w:t>212</w:t>
        </w:r>
      </w:hyperlink>
      <w:r>
        <w:rPr>
          <w:spacing w:val="-4"/>
          <w:position w:val="5"/>
          <w:sz w:val="14"/>
        </w:rPr>
        <w:t>.</w:t>
      </w:r>
      <w:r>
        <w:rPr>
          <w:position w:val="5"/>
          <w:sz w:val="14"/>
        </w:rPr>
        <w:tab/>
      </w:r>
      <w:r>
        <w:rPr/>
        <w:t>See</w:t>
      </w:r>
      <w:r>
        <w:rPr>
          <w:spacing w:val="-2"/>
        </w:rPr>
        <w:t> </w:t>
      </w:r>
      <w:r>
        <w:rPr/>
        <w:t>below, para.8-</w:t>
      </w:r>
      <w:r>
        <w:rPr>
          <w:spacing w:val="-4"/>
        </w:rPr>
        <w:t>070.</w:t>
      </w:r>
    </w:p>
    <w:p>
      <w:pPr>
        <w:pStyle w:val="BodyText"/>
        <w:spacing w:before="9"/>
      </w:pPr>
    </w:p>
    <w:p>
      <w:pPr>
        <w:spacing w:line="235" w:lineRule="auto" w:before="0"/>
        <w:ind w:left="705" w:right="167" w:hanging="541"/>
        <w:jc w:val="both"/>
        <w:rPr>
          <w:sz w:val="20"/>
        </w:rPr>
      </w:pPr>
      <w:bookmarkStart w:name="_bookmark426" w:id="428"/>
      <w:bookmarkEnd w:id="428"/>
      <w:r>
        <w:rPr/>
      </w:r>
      <w:hyperlink w:history="true" w:anchor="_bookmark344">
        <w:r>
          <w:rPr>
            <w:color w:val="005DA1"/>
            <w:position w:val="5"/>
            <w:sz w:val="14"/>
            <w:u w:val="single" w:color="005DA1"/>
          </w:rPr>
          <w:t>213</w:t>
        </w:r>
      </w:hyperlink>
      <w:r>
        <w:rPr>
          <w:position w:val="5"/>
          <w:sz w:val="14"/>
        </w:rPr>
        <w:t>.</w:t>
      </w:r>
      <w:r>
        <w:rPr>
          <w:spacing w:val="80"/>
          <w:position w:val="5"/>
          <w:sz w:val="14"/>
        </w:rPr>
        <w:t>  </w:t>
      </w:r>
      <w:r>
        <w:rPr>
          <w:rFonts w:ascii="Arial"/>
          <w:i/>
          <w:sz w:val="20"/>
        </w:rPr>
        <w:t>Ross River Ltd v Cambridge City Football Club Ltd [2007] EWHC 2115 (Ch), [2008] 1 All </w:t>
      </w:r>
      <w:r>
        <w:rPr>
          <w:rFonts w:ascii="Arial"/>
          <w:i/>
          <w:sz w:val="20"/>
        </w:rPr>
        <w:t>E.R. 1004 </w:t>
      </w:r>
      <w:r>
        <w:rPr>
          <w:sz w:val="20"/>
        </w:rPr>
        <w:t>at [202], referring to this paragraph in an earlier edition; </w:t>
      </w:r>
      <w:r>
        <w:rPr>
          <w:rFonts w:ascii="Arial"/>
          <w:i/>
          <w:sz w:val="20"/>
        </w:rPr>
        <w:t>Raiffeisen Zentralbank Osterreich AG v Royal Bank of Scotland Plc [2010] EWHC 1392 (Comm) </w:t>
      </w:r>
      <w:r>
        <w:rPr>
          <w:sz w:val="20"/>
        </w:rPr>
        <w:t>at [198]. The but for test is said</w:t>
      </w:r>
      <w:r>
        <w:rPr>
          <w:spacing w:val="40"/>
          <w:sz w:val="20"/>
        </w:rPr>
        <w:t> </w:t>
      </w:r>
      <w:r>
        <w:rPr>
          <w:sz w:val="20"/>
        </w:rPr>
        <w:t>to apply to non-disclosure where there is a duty to disclose: </w:t>
      </w:r>
      <w:r>
        <w:rPr>
          <w:rFonts w:ascii="Arial"/>
          <w:i/>
          <w:sz w:val="20"/>
        </w:rPr>
        <w:t>Assicurazioni Generali SpA v Arab Insurance Group [2003] 1 All E.R. (Comm) 140 </w:t>
      </w:r>
      <w:r>
        <w:rPr>
          <w:sz w:val="20"/>
        </w:rPr>
        <w:t>at [59], [187], but note the doubts of Ward L.J.</w:t>
      </w:r>
      <w:r>
        <w:rPr>
          <w:spacing w:val="40"/>
          <w:sz w:val="20"/>
        </w:rPr>
        <w:t> </w:t>
      </w:r>
      <w:r>
        <w:rPr>
          <w:sz w:val="20"/>
        </w:rPr>
        <w:t>at [218].</w:t>
      </w:r>
    </w:p>
    <w:p>
      <w:pPr>
        <w:pStyle w:val="BodyText"/>
        <w:spacing w:before="4"/>
      </w:pPr>
    </w:p>
    <w:p>
      <w:pPr>
        <w:tabs>
          <w:tab w:pos="705" w:val="left" w:leader="none"/>
        </w:tabs>
        <w:spacing w:before="0"/>
        <w:ind w:left="165" w:right="0" w:firstLine="0"/>
        <w:jc w:val="left"/>
        <w:rPr>
          <w:sz w:val="20"/>
        </w:rPr>
      </w:pPr>
      <w:bookmarkStart w:name="_bookmark427" w:id="429"/>
      <w:bookmarkEnd w:id="429"/>
      <w:r>
        <w:rPr/>
      </w:r>
      <w:hyperlink w:history="true" w:anchor="_bookmark345">
        <w:r>
          <w:rPr>
            <w:color w:val="005DA1"/>
            <w:spacing w:val="-4"/>
            <w:position w:val="5"/>
            <w:sz w:val="14"/>
            <w:u w:val="single" w:color="005DA1"/>
          </w:rPr>
          <w:t>214</w:t>
        </w:r>
      </w:hyperlink>
      <w:r>
        <w:rPr>
          <w:spacing w:val="-4"/>
          <w:position w:val="5"/>
          <w:sz w:val="14"/>
        </w:rPr>
        <w:t>.</w:t>
      </w:r>
      <w:r>
        <w:rPr>
          <w:position w:val="5"/>
          <w:sz w:val="14"/>
        </w:rPr>
        <w:tab/>
      </w:r>
      <w:r>
        <w:rPr>
          <w:sz w:val="20"/>
        </w:rPr>
        <w:t>See above, </w:t>
      </w:r>
      <w:r>
        <w:rPr>
          <w:spacing w:val="-2"/>
          <w:sz w:val="20"/>
        </w:rPr>
        <w:t>n.200.</w:t>
      </w:r>
    </w:p>
    <w:p>
      <w:pPr>
        <w:pStyle w:val="BodyText"/>
        <w:spacing w:before="9"/>
      </w:pPr>
    </w:p>
    <w:p>
      <w:pPr>
        <w:spacing w:line="235" w:lineRule="auto" w:before="0"/>
        <w:ind w:left="705" w:right="167" w:hanging="541"/>
        <w:jc w:val="both"/>
        <w:rPr>
          <w:rFonts w:ascii="Arial" w:hAnsi="Arial"/>
          <w:i/>
          <w:sz w:val="20"/>
        </w:rPr>
      </w:pPr>
      <w:bookmarkStart w:name="_bookmark428" w:id="430"/>
      <w:bookmarkEnd w:id="430"/>
      <w:r>
        <w:rPr/>
      </w:r>
      <w:hyperlink w:history="true" w:anchor="_bookmark346">
        <w:r>
          <w:rPr>
            <w:color w:val="005DA1"/>
            <w:position w:val="5"/>
            <w:sz w:val="14"/>
            <w:u w:val="single" w:color="005DA1"/>
          </w:rPr>
          <w:t>215</w:t>
        </w:r>
      </w:hyperlink>
      <w:r>
        <w:rPr>
          <w:position w:val="5"/>
          <w:sz w:val="14"/>
        </w:rPr>
        <w:t>.</w:t>
      </w:r>
      <w:r>
        <w:rPr>
          <w:spacing w:val="40"/>
          <w:position w:val="5"/>
          <w:sz w:val="14"/>
        </w:rPr>
        <w:t>  </w:t>
      </w:r>
      <w:r>
        <w:rPr>
          <w:rFonts w:ascii="Arial" w:hAnsi="Arial"/>
          <w:i/>
          <w:sz w:val="20"/>
        </w:rPr>
        <w:t>Smith v Chadwick (1884) 9 App. Cas. 187, 196</w:t>
      </w:r>
      <w:r>
        <w:rPr>
          <w:sz w:val="20"/>
        </w:rPr>
        <w:t>; also </w:t>
      </w:r>
      <w:r>
        <w:rPr>
          <w:rFonts w:ascii="Arial" w:hAnsi="Arial"/>
          <w:i/>
          <w:sz w:val="20"/>
        </w:rPr>
        <w:t>(1882) 20 Ch. D. 27, 44–45</w:t>
      </w:r>
      <w:r>
        <w:rPr>
          <w:sz w:val="20"/>
        </w:rPr>
        <w:t>; </w:t>
      </w:r>
      <w:r>
        <w:rPr>
          <w:rFonts w:ascii="Arial" w:hAnsi="Arial"/>
          <w:i/>
          <w:sz w:val="20"/>
        </w:rPr>
        <w:t>Pan Atlantic Insurance Co Ltd v Pine Top Insurance Co Ltd [1992] 1 Lloyd’s Rep. 101, 112–113 </w:t>
      </w:r>
      <w:r>
        <w:rPr>
          <w:sz w:val="20"/>
        </w:rPr>
        <w:t>(affirmed without reference to this point, </w:t>
      </w:r>
      <w:r>
        <w:rPr>
          <w:rFonts w:ascii="Arial" w:hAnsi="Arial"/>
          <w:i/>
          <w:sz w:val="20"/>
        </w:rPr>
        <w:t>[1993] 1 Lloyd’s Rep. 496</w:t>
      </w:r>
      <w:r>
        <w:rPr>
          <w:sz w:val="20"/>
        </w:rPr>
        <w:t>, and by the House of Lords, where Lord Mustill refers to the “presumption of inducement” in the case of fraud, but he does not</w:t>
      </w:r>
      <w:r>
        <w:rPr>
          <w:spacing w:val="40"/>
          <w:sz w:val="20"/>
        </w:rPr>
        <w:t> </w:t>
      </w:r>
      <w:r>
        <w:rPr>
          <w:sz w:val="20"/>
        </w:rPr>
        <w:t>deny that there may be a similar presumption in other cases of positive misrepresentation: </w:t>
      </w:r>
      <w:r>
        <w:rPr>
          <w:rFonts w:ascii="Arial" w:hAnsi="Arial"/>
          <w:i/>
          <w:sz w:val="20"/>
        </w:rPr>
        <w:t>[1995]</w:t>
      </w:r>
      <w:r>
        <w:rPr>
          <w:rFonts w:ascii="Arial" w:hAnsi="Arial"/>
          <w:i/>
          <w:spacing w:val="25"/>
          <w:sz w:val="20"/>
        </w:rPr>
        <w:t> </w:t>
      </w:r>
      <w:r>
        <w:rPr>
          <w:rFonts w:ascii="Arial" w:hAnsi="Arial"/>
          <w:i/>
          <w:sz w:val="20"/>
        </w:rPr>
        <w:t>1</w:t>
      </w:r>
      <w:r>
        <w:rPr>
          <w:rFonts w:ascii="Arial" w:hAnsi="Arial"/>
          <w:i/>
          <w:spacing w:val="28"/>
          <w:sz w:val="20"/>
        </w:rPr>
        <w:t> </w:t>
      </w:r>
      <w:r>
        <w:rPr>
          <w:rFonts w:ascii="Arial" w:hAnsi="Arial"/>
          <w:i/>
          <w:sz w:val="20"/>
        </w:rPr>
        <w:t>A.C.</w:t>
      </w:r>
      <w:r>
        <w:rPr>
          <w:rFonts w:ascii="Arial" w:hAnsi="Arial"/>
          <w:i/>
          <w:spacing w:val="28"/>
          <w:sz w:val="20"/>
        </w:rPr>
        <w:t> </w:t>
      </w:r>
      <w:r>
        <w:rPr>
          <w:rFonts w:ascii="Arial" w:hAnsi="Arial"/>
          <w:i/>
          <w:sz w:val="20"/>
        </w:rPr>
        <w:t>501,</w:t>
      </w:r>
      <w:r>
        <w:rPr>
          <w:rFonts w:ascii="Arial" w:hAnsi="Arial"/>
          <w:i/>
          <w:spacing w:val="28"/>
          <w:sz w:val="20"/>
        </w:rPr>
        <w:t> </w:t>
      </w:r>
      <w:r>
        <w:rPr>
          <w:rFonts w:ascii="Arial" w:hAnsi="Arial"/>
          <w:i/>
          <w:sz w:val="20"/>
        </w:rPr>
        <w:t>542</w:t>
      </w:r>
      <w:r>
        <w:rPr>
          <w:sz w:val="20"/>
        </w:rPr>
        <w:t>);</w:t>
      </w:r>
      <w:r>
        <w:rPr>
          <w:spacing w:val="28"/>
          <w:sz w:val="20"/>
        </w:rPr>
        <w:t> </w:t>
      </w:r>
      <w:r>
        <w:rPr>
          <w:rFonts w:ascii="Arial" w:hAnsi="Arial"/>
          <w:i/>
          <w:sz w:val="20"/>
        </w:rPr>
        <w:t>Dadourian</w:t>
      </w:r>
      <w:r>
        <w:rPr>
          <w:rFonts w:ascii="Arial" w:hAnsi="Arial"/>
          <w:i/>
          <w:spacing w:val="28"/>
          <w:sz w:val="20"/>
        </w:rPr>
        <w:t> </w:t>
      </w:r>
      <w:r>
        <w:rPr>
          <w:rFonts w:ascii="Arial" w:hAnsi="Arial"/>
          <w:i/>
          <w:sz w:val="20"/>
        </w:rPr>
        <w:t>Group</w:t>
      </w:r>
      <w:r>
        <w:rPr>
          <w:rFonts w:ascii="Arial" w:hAnsi="Arial"/>
          <w:i/>
          <w:spacing w:val="28"/>
          <w:sz w:val="20"/>
        </w:rPr>
        <w:t> </w:t>
      </w:r>
      <w:r>
        <w:rPr>
          <w:rFonts w:ascii="Arial" w:hAnsi="Arial"/>
          <w:i/>
          <w:sz w:val="20"/>
        </w:rPr>
        <w:t>International</w:t>
      </w:r>
      <w:r>
        <w:rPr>
          <w:rFonts w:ascii="Arial" w:hAnsi="Arial"/>
          <w:i/>
          <w:spacing w:val="28"/>
          <w:sz w:val="20"/>
        </w:rPr>
        <w:t> </w:t>
      </w:r>
      <w:r>
        <w:rPr>
          <w:rFonts w:ascii="Arial" w:hAnsi="Arial"/>
          <w:i/>
          <w:sz w:val="20"/>
        </w:rPr>
        <w:t>Inc</w:t>
      </w:r>
      <w:r>
        <w:rPr>
          <w:rFonts w:ascii="Arial" w:hAnsi="Arial"/>
          <w:i/>
          <w:spacing w:val="28"/>
          <w:sz w:val="20"/>
        </w:rPr>
        <w:t> </w:t>
      </w:r>
      <w:r>
        <w:rPr>
          <w:rFonts w:ascii="Arial" w:hAnsi="Arial"/>
          <w:i/>
          <w:sz w:val="20"/>
        </w:rPr>
        <w:t>v</w:t>
      </w:r>
      <w:r>
        <w:rPr>
          <w:rFonts w:ascii="Arial" w:hAnsi="Arial"/>
          <w:i/>
          <w:spacing w:val="28"/>
          <w:sz w:val="20"/>
        </w:rPr>
        <w:t> </w:t>
      </w:r>
      <w:r>
        <w:rPr>
          <w:rFonts w:ascii="Arial" w:hAnsi="Arial"/>
          <w:i/>
          <w:sz w:val="20"/>
        </w:rPr>
        <w:t>Simms</w:t>
      </w:r>
      <w:r>
        <w:rPr>
          <w:rFonts w:ascii="Arial" w:hAnsi="Arial"/>
          <w:i/>
          <w:spacing w:val="28"/>
          <w:sz w:val="20"/>
        </w:rPr>
        <w:t> </w:t>
      </w:r>
      <w:r>
        <w:rPr>
          <w:rFonts w:ascii="Arial" w:hAnsi="Arial"/>
          <w:i/>
          <w:sz w:val="20"/>
        </w:rPr>
        <w:t>[2009]</w:t>
      </w:r>
      <w:r>
        <w:rPr>
          <w:rFonts w:ascii="Arial" w:hAnsi="Arial"/>
          <w:i/>
          <w:spacing w:val="28"/>
          <w:sz w:val="20"/>
        </w:rPr>
        <w:t> </w:t>
      </w:r>
      <w:r>
        <w:rPr>
          <w:rFonts w:ascii="Arial" w:hAnsi="Arial"/>
          <w:i/>
          <w:sz w:val="20"/>
        </w:rPr>
        <w:t>EWCA</w:t>
      </w:r>
      <w:r>
        <w:rPr>
          <w:rFonts w:ascii="Arial" w:hAnsi="Arial"/>
          <w:i/>
          <w:spacing w:val="28"/>
          <w:sz w:val="20"/>
        </w:rPr>
        <w:t> </w:t>
      </w:r>
      <w:r>
        <w:rPr>
          <w:rFonts w:ascii="Arial" w:hAnsi="Arial"/>
          <w:i/>
          <w:sz w:val="20"/>
        </w:rPr>
        <w:t>Civ</w:t>
      </w:r>
      <w:r>
        <w:rPr>
          <w:rFonts w:ascii="Arial" w:hAnsi="Arial"/>
          <w:i/>
          <w:spacing w:val="28"/>
          <w:sz w:val="20"/>
        </w:rPr>
        <w:t> </w:t>
      </w:r>
      <w:r>
        <w:rPr>
          <w:rFonts w:ascii="Arial" w:hAnsi="Arial"/>
          <w:i/>
          <w:spacing w:val="-4"/>
          <w:sz w:val="20"/>
        </w:rPr>
        <w:t>169,</w:t>
      </w:r>
    </w:p>
    <w:p>
      <w:pPr>
        <w:spacing w:line="235" w:lineRule="auto" w:before="0"/>
        <w:ind w:left="705" w:right="167" w:firstLine="0"/>
        <w:jc w:val="both"/>
        <w:rPr>
          <w:rFonts w:ascii="Arial" w:hAnsi="Arial"/>
          <w:i/>
          <w:sz w:val="20"/>
        </w:rPr>
      </w:pPr>
      <w:r>
        <w:rPr>
          <w:rFonts w:ascii="Arial" w:hAnsi="Arial"/>
          <w:i/>
          <w:sz w:val="20"/>
        </w:rPr>
        <w:t>[2009] 1 Lloyd’s Rep. 601 </w:t>
      </w:r>
      <w:r>
        <w:rPr>
          <w:sz w:val="20"/>
        </w:rPr>
        <w:t>at [99]–[101]; </w:t>
      </w:r>
      <w:r>
        <w:rPr>
          <w:rFonts w:ascii="Arial" w:hAnsi="Arial"/>
          <w:i/>
          <w:sz w:val="20"/>
        </w:rPr>
        <w:t>Edwards v Ashik [2014] EWHC 2454 (Ch) </w:t>
      </w:r>
      <w:r>
        <w:rPr>
          <w:sz w:val="20"/>
        </w:rPr>
        <w:t>at [19].</w:t>
      </w:r>
      <w:r>
        <w:rPr>
          <w:spacing w:val="40"/>
          <w:sz w:val="20"/>
        </w:rPr>
        <w:t> </w:t>
      </w:r>
      <w:r>
        <w:rPr>
          <w:sz w:val="20"/>
        </w:rPr>
        <w:t>There is not unanimity as to the weight of any presumption. The following passage </w:t>
      </w:r>
      <w:r>
        <w:rPr>
          <w:sz w:val="20"/>
        </w:rPr>
        <w:t>from Halsbury’s Laws of England, 4th edn, Vol.3, para.1067: “Inducement cannot be inferred in law from proved materiality, although there may be cases where the materiality is so obvious as to justify an inference of fact that the representee was actually induced, but, even in such exceptional</w:t>
      </w:r>
      <w:r>
        <w:rPr>
          <w:spacing w:val="40"/>
          <w:sz w:val="20"/>
        </w:rPr>
        <w:t> </w:t>
      </w:r>
      <w:r>
        <w:rPr>
          <w:sz w:val="20"/>
        </w:rPr>
        <w:t>cases,</w:t>
      </w:r>
      <w:r>
        <w:rPr>
          <w:spacing w:val="40"/>
          <w:sz w:val="20"/>
        </w:rPr>
        <w:t> </w:t>
      </w:r>
      <w:r>
        <w:rPr>
          <w:sz w:val="20"/>
        </w:rPr>
        <w:t>the</w:t>
      </w:r>
      <w:r>
        <w:rPr>
          <w:spacing w:val="40"/>
          <w:sz w:val="20"/>
        </w:rPr>
        <w:t> </w:t>
      </w:r>
      <w:r>
        <w:rPr>
          <w:sz w:val="20"/>
        </w:rPr>
        <w:t>inference</w:t>
      </w:r>
      <w:r>
        <w:rPr>
          <w:spacing w:val="40"/>
          <w:sz w:val="20"/>
        </w:rPr>
        <w:t> </w:t>
      </w:r>
      <w:r>
        <w:rPr>
          <w:sz w:val="20"/>
        </w:rPr>
        <w:t>is</w:t>
      </w:r>
      <w:r>
        <w:rPr>
          <w:spacing w:val="40"/>
          <w:sz w:val="20"/>
        </w:rPr>
        <w:t> </w:t>
      </w:r>
      <w:r>
        <w:rPr>
          <w:sz w:val="20"/>
        </w:rPr>
        <w:t>only</w:t>
      </w:r>
      <w:r>
        <w:rPr>
          <w:spacing w:val="40"/>
          <w:sz w:val="20"/>
        </w:rPr>
        <w:t> </w:t>
      </w:r>
      <w:r>
        <w:rPr>
          <w:sz w:val="20"/>
        </w:rPr>
        <w:t>a</w:t>
      </w:r>
      <w:r>
        <w:rPr>
          <w:spacing w:val="40"/>
          <w:sz w:val="20"/>
        </w:rPr>
        <w:t> </w:t>
      </w:r>
      <w:r>
        <w:rPr>
          <w:sz w:val="20"/>
        </w:rPr>
        <w:t>prima</w:t>
      </w:r>
      <w:r>
        <w:rPr>
          <w:spacing w:val="40"/>
          <w:sz w:val="20"/>
        </w:rPr>
        <w:t> </w:t>
      </w:r>
      <w:r>
        <w:rPr>
          <w:sz w:val="20"/>
        </w:rPr>
        <w:t>facie</w:t>
      </w:r>
      <w:r>
        <w:rPr>
          <w:spacing w:val="40"/>
          <w:sz w:val="20"/>
        </w:rPr>
        <w:t> </w:t>
      </w:r>
      <w:r>
        <w:rPr>
          <w:sz w:val="20"/>
        </w:rPr>
        <w:t>one</w:t>
      </w:r>
      <w:r>
        <w:rPr>
          <w:spacing w:val="40"/>
          <w:sz w:val="20"/>
        </w:rPr>
        <w:t> </w:t>
      </w:r>
      <w:r>
        <w:rPr>
          <w:sz w:val="20"/>
        </w:rPr>
        <w:t>and</w:t>
      </w:r>
      <w:r>
        <w:rPr>
          <w:spacing w:val="40"/>
          <w:sz w:val="20"/>
        </w:rPr>
        <w:t> </w:t>
      </w:r>
      <w:r>
        <w:rPr>
          <w:sz w:val="20"/>
        </w:rPr>
        <w:t>may</w:t>
      </w:r>
      <w:r>
        <w:rPr>
          <w:spacing w:val="40"/>
          <w:sz w:val="20"/>
        </w:rPr>
        <w:t> </w:t>
      </w:r>
      <w:r>
        <w:rPr>
          <w:sz w:val="20"/>
        </w:rPr>
        <w:t>be</w:t>
      </w:r>
      <w:r>
        <w:rPr>
          <w:spacing w:val="40"/>
          <w:sz w:val="20"/>
        </w:rPr>
        <w:t> </w:t>
      </w:r>
      <w:r>
        <w:rPr>
          <w:sz w:val="20"/>
        </w:rPr>
        <w:t>rebutted</w:t>
      </w:r>
      <w:r>
        <w:rPr>
          <w:spacing w:val="40"/>
          <w:sz w:val="20"/>
        </w:rPr>
        <w:t> </w:t>
      </w:r>
      <w:r>
        <w:rPr>
          <w:sz w:val="20"/>
        </w:rPr>
        <w:t>by counter-evidence”, was approved in </w:t>
      </w:r>
      <w:r>
        <w:rPr>
          <w:rFonts w:ascii="Arial" w:hAnsi="Arial"/>
          <w:i/>
          <w:sz w:val="20"/>
        </w:rPr>
        <w:t>St Paul Fire and Marine Insurance Co Ltd v McConnell Dowell Constructors Ltd [1996] 1 All E.R. 96, 112</w:t>
      </w:r>
      <w:r>
        <w:rPr>
          <w:sz w:val="20"/>
        </w:rPr>
        <w:t>; but the same case refers simply to a “presumption”. See Bennett (1996) 112 L.Q.R. 405. A material representation was said to</w:t>
      </w:r>
      <w:r>
        <w:rPr>
          <w:spacing w:val="40"/>
          <w:sz w:val="20"/>
        </w:rPr>
        <w:t> </w:t>
      </w:r>
      <w:r>
        <w:rPr>
          <w:sz w:val="20"/>
        </w:rPr>
        <w:t>create</w:t>
      </w:r>
      <w:r>
        <w:rPr>
          <w:spacing w:val="18"/>
          <w:sz w:val="20"/>
        </w:rPr>
        <w:t> </w:t>
      </w:r>
      <w:r>
        <w:rPr>
          <w:sz w:val="20"/>
        </w:rPr>
        <w:t>a</w:t>
      </w:r>
      <w:r>
        <w:rPr>
          <w:spacing w:val="18"/>
          <w:sz w:val="20"/>
        </w:rPr>
        <w:t> </w:t>
      </w:r>
      <w:r>
        <w:rPr>
          <w:sz w:val="20"/>
        </w:rPr>
        <w:t>presumption</w:t>
      </w:r>
      <w:r>
        <w:rPr>
          <w:spacing w:val="18"/>
          <w:sz w:val="20"/>
        </w:rPr>
        <w:t> </w:t>
      </w:r>
      <w:r>
        <w:rPr>
          <w:sz w:val="20"/>
        </w:rPr>
        <w:t>in</w:t>
      </w:r>
      <w:r>
        <w:rPr>
          <w:spacing w:val="18"/>
          <w:sz w:val="20"/>
        </w:rPr>
        <w:t> </w:t>
      </w:r>
      <w:r>
        <w:rPr>
          <w:rFonts w:ascii="Arial" w:hAnsi="Arial"/>
          <w:i/>
          <w:sz w:val="20"/>
        </w:rPr>
        <w:t>Strachan</w:t>
      </w:r>
      <w:r>
        <w:rPr>
          <w:rFonts w:ascii="Arial" w:hAnsi="Arial"/>
          <w:i/>
          <w:spacing w:val="18"/>
          <w:sz w:val="20"/>
        </w:rPr>
        <w:t> </w:t>
      </w:r>
      <w:r>
        <w:rPr>
          <w:rFonts w:ascii="Arial" w:hAnsi="Arial"/>
          <w:i/>
          <w:sz w:val="20"/>
        </w:rPr>
        <w:t>&amp;</w:t>
      </w:r>
      <w:r>
        <w:rPr>
          <w:rFonts w:ascii="Arial" w:hAnsi="Arial"/>
          <w:i/>
          <w:spacing w:val="18"/>
          <w:sz w:val="20"/>
        </w:rPr>
        <w:t> </w:t>
      </w:r>
      <w:r>
        <w:rPr>
          <w:rFonts w:ascii="Arial" w:hAnsi="Arial"/>
          <w:i/>
          <w:sz w:val="20"/>
        </w:rPr>
        <w:t>Henshaw</w:t>
      </w:r>
      <w:r>
        <w:rPr>
          <w:rFonts w:ascii="Arial" w:hAnsi="Arial"/>
          <w:i/>
          <w:spacing w:val="18"/>
          <w:sz w:val="20"/>
        </w:rPr>
        <w:t> </w:t>
      </w:r>
      <w:r>
        <w:rPr>
          <w:rFonts w:ascii="Arial" w:hAnsi="Arial"/>
          <w:i/>
          <w:sz w:val="20"/>
        </w:rPr>
        <w:t>Ltd</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Stein</w:t>
      </w:r>
      <w:r>
        <w:rPr>
          <w:rFonts w:ascii="Arial" w:hAnsi="Arial"/>
          <w:i/>
          <w:spacing w:val="18"/>
          <w:sz w:val="20"/>
        </w:rPr>
        <w:t> </w:t>
      </w:r>
      <w:r>
        <w:rPr>
          <w:rFonts w:ascii="Arial" w:hAnsi="Arial"/>
          <w:i/>
          <w:sz w:val="20"/>
        </w:rPr>
        <w:t>Industrie</w:t>
      </w:r>
      <w:r>
        <w:rPr>
          <w:rFonts w:ascii="Arial" w:hAnsi="Arial"/>
          <w:i/>
          <w:spacing w:val="18"/>
          <w:sz w:val="20"/>
        </w:rPr>
        <w:t> </w:t>
      </w:r>
      <w:r>
        <w:rPr>
          <w:rFonts w:ascii="Arial" w:hAnsi="Arial"/>
          <w:i/>
          <w:sz w:val="20"/>
        </w:rPr>
        <w:t>(UK)</w:t>
      </w:r>
      <w:r>
        <w:rPr>
          <w:rFonts w:ascii="Arial" w:hAnsi="Arial"/>
          <w:i/>
          <w:spacing w:val="18"/>
          <w:sz w:val="20"/>
        </w:rPr>
        <w:t> </w:t>
      </w:r>
      <w:r>
        <w:rPr>
          <w:rFonts w:ascii="Arial" w:hAnsi="Arial"/>
          <w:i/>
          <w:sz w:val="20"/>
        </w:rPr>
        <w:t>Ltd</w:t>
      </w:r>
      <w:r>
        <w:rPr>
          <w:rFonts w:ascii="Arial" w:hAnsi="Arial"/>
          <w:i/>
          <w:spacing w:val="18"/>
          <w:sz w:val="20"/>
        </w:rPr>
        <w:t> </w:t>
      </w:r>
      <w:r>
        <w:rPr>
          <w:rFonts w:ascii="Arial" w:hAnsi="Arial"/>
          <w:i/>
          <w:sz w:val="20"/>
        </w:rPr>
        <w:t>(1997)</w:t>
      </w:r>
      <w:r>
        <w:rPr>
          <w:rFonts w:ascii="Arial" w:hAnsi="Arial"/>
          <w:i/>
          <w:spacing w:val="18"/>
          <w:sz w:val="20"/>
        </w:rPr>
        <w:t> </w:t>
      </w:r>
      <w:r>
        <w:rPr>
          <w:rFonts w:ascii="Arial" w:hAnsi="Arial"/>
          <w:i/>
          <w:sz w:val="20"/>
        </w:rPr>
        <w:t>13</w:t>
      </w:r>
      <w:r>
        <w:rPr>
          <w:rFonts w:ascii="Arial" w:hAnsi="Arial"/>
          <w:i/>
          <w:spacing w:val="18"/>
          <w:sz w:val="20"/>
        </w:rPr>
        <w:t> </w:t>
      </w:r>
      <w:r>
        <w:rPr>
          <w:rFonts w:ascii="Arial" w:hAnsi="Arial"/>
          <w:i/>
          <w:spacing w:val="-2"/>
          <w:sz w:val="20"/>
        </w:rPr>
        <w:t>Const.</w:t>
      </w:r>
    </w:p>
    <w:p>
      <w:pPr>
        <w:spacing w:line="222" w:lineRule="exact" w:before="0"/>
        <w:ind w:left="705" w:right="0" w:firstLine="0"/>
        <w:jc w:val="left"/>
        <w:rPr>
          <w:sz w:val="20"/>
        </w:rPr>
      </w:pPr>
      <w:r>
        <w:rPr>
          <w:rFonts w:ascii="Arial"/>
          <w:i/>
          <w:sz w:val="20"/>
        </w:rPr>
        <w:t>L.J.</w:t>
      </w:r>
      <w:r>
        <w:rPr>
          <w:rFonts w:ascii="Arial"/>
          <w:i/>
          <w:spacing w:val="-2"/>
          <w:sz w:val="20"/>
        </w:rPr>
        <w:t> </w:t>
      </w:r>
      <w:r>
        <w:rPr>
          <w:rFonts w:ascii="Arial"/>
          <w:i/>
          <w:spacing w:val="-4"/>
          <w:sz w:val="20"/>
        </w:rPr>
        <w:t>418</w:t>
      </w:r>
      <w:r>
        <w:rPr>
          <w:spacing w:val="-4"/>
          <w:sz w:val="20"/>
        </w:rPr>
        <w:t>.</w:t>
      </w:r>
    </w:p>
    <w:p>
      <w:pPr>
        <w:pStyle w:val="BodyText"/>
        <w:spacing w:before="6"/>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2704">
            <wp:simplePos x="0" y="0"/>
            <wp:positionH relativeFrom="page">
              <wp:posOffset>1257846</wp:posOffset>
            </wp:positionH>
            <wp:positionV relativeFrom="paragraph">
              <wp:posOffset>160624</wp:posOffset>
            </wp:positionV>
            <wp:extent cx="107988" cy="107988"/>
            <wp:effectExtent l="0" t="0" r="0" b="0"/>
            <wp:wrapNone/>
            <wp:docPr id="96" name="Image 96"/>
            <wp:cNvGraphicFramePr>
              <a:graphicFrameLocks/>
            </wp:cNvGraphicFramePr>
            <a:graphic>
              <a:graphicData uri="http://schemas.openxmlformats.org/drawingml/2006/picture">
                <pic:pic>
                  <pic:nvPicPr>
                    <pic:cNvPr id="96" name="Image 9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29" w:id="431"/>
      <w:bookmarkEnd w:id="431"/>
      <w:r>
        <w:rPr/>
      </w:r>
      <w:hyperlink w:history="true" w:anchor="_bookmark347">
        <w:r>
          <w:rPr>
            <w:color w:val="005DA1"/>
            <w:spacing w:val="-4"/>
            <w:sz w:val="14"/>
            <w:u w:val="single" w:color="005DA1"/>
          </w:rPr>
          <w:t>216</w:t>
        </w:r>
      </w:hyperlink>
      <w:r>
        <w:rPr>
          <w:spacing w:val="-4"/>
          <w:sz w:val="14"/>
        </w:rPr>
        <w:t>.</w:t>
      </w:r>
    </w:p>
    <w:p>
      <w:pPr>
        <w:spacing w:line="235" w:lineRule="auto" w:before="212"/>
        <w:ind w:left="165" w:right="167" w:firstLine="170"/>
        <w:jc w:val="both"/>
        <w:rPr>
          <w:sz w:val="20"/>
        </w:rPr>
      </w:pPr>
      <w:r>
        <w:rPr/>
        <w:br w:type="column"/>
      </w:r>
      <w:r>
        <w:rPr>
          <w:rFonts w:ascii="Arial"/>
          <w:i/>
          <w:sz w:val="20"/>
        </w:rPr>
        <w:t>Ross River Ltd v Cambridge City Football Club Ltd [2007] EWHC 2115 (Ch), [2008] 1 All E.R. 1004 </w:t>
      </w:r>
      <w:r>
        <w:rPr>
          <w:sz w:val="20"/>
        </w:rPr>
        <w:t>at [241] (Briggs J.). </w:t>
      </w:r>
      <w:r>
        <w:rPr>
          <w:rFonts w:ascii="Arial"/>
          <w:i/>
          <w:sz w:val="20"/>
        </w:rPr>
        <w:t>Hayward v Zurich Insurance Co Plc [2016] UKSC 48 </w:t>
      </w:r>
      <w:r>
        <w:rPr>
          <w:sz w:val="20"/>
        </w:rPr>
        <w:t>at [34], quoting this paragraph, and [37].</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9"/>
      </w:pPr>
    </w:p>
    <w:p>
      <w:pPr>
        <w:spacing w:line="235" w:lineRule="auto" w:before="0"/>
        <w:ind w:left="705" w:right="168" w:hanging="541"/>
        <w:jc w:val="both"/>
        <w:rPr>
          <w:sz w:val="20"/>
        </w:rPr>
      </w:pPr>
      <w:bookmarkStart w:name="_bookmark430" w:id="432"/>
      <w:bookmarkEnd w:id="432"/>
      <w:r>
        <w:rPr/>
      </w:r>
      <w:hyperlink w:history="true" w:anchor="_bookmark348">
        <w:r>
          <w:rPr>
            <w:color w:val="005DA1"/>
            <w:position w:val="5"/>
            <w:sz w:val="14"/>
            <w:u w:val="single" w:color="005DA1"/>
          </w:rPr>
          <w:t>217</w:t>
        </w:r>
      </w:hyperlink>
      <w:r>
        <w:rPr>
          <w:position w:val="5"/>
          <w:sz w:val="14"/>
        </w:rPr>
        <w:t>.</w:t>
      </w:r>
      <w:r>
        <w:rPr>
          <w:spacing w:val="40"/>
          <w:position w:val="5"/>
          <w:sz w:val="14"/>
        </w:rPr>
        <w:t>  </w:t>
      </w:r>
      <w:r>
        <w:rPr>
          <w:rFonts w:ascii="Arial" w:hAnsi="Arial"/>
          <w:i/>
          <w:sz w:val="20"/>
        </w:rPr>
        <w:t>County Natwest Bank Ltd v Barton, The Times, July 29, 1999</w:t>
      </w:r>
      <w:r>
        <w:rPr>
          <w:sz w:val="20"/>
        </w:rPr>
        <w:t>; </w:t>
      </w:r>
      <w:r>
        <w:rPr>
          <w:rFonts w:ascii="Arial" w:hAnsi="Arial"/>
          <w:i/>
          <w:sz w:val="20"/>
        </w:rPr>
        <w:t>Edwards v Ashik [2014] EWHC 2454 (Ch) </w:t>
      </w:r>
      <w:r>
        <w:rPr>
          <w:sz w:val="20"/>
        </w:rPr>
        <w:t>at [20]–[25]. “[I]t is sufficient inducement if, in consequence of the </w:t>
      </w:r>
      <w:r>
        <w:rPr>
          <w:sz w:val="20"/>
        </w:rPr>
        <w:t>misrepresentation, the claimant abstains from doing something bearing on his material interests”: </w:t>
      </w:r>
      <w:r>
        <w:rPr>
          <w:rFonts w:ascii="Arial" w:hAnsi="Arial"/>
          <w:i/>
          <w:sz w:val="20"/>
        </w:rPr>
        <w:t>Parabola Investments Ltd v Browallia Cal Ltd [2009] EWHC 901 (Comm) </w:t>
      </w:r>
      <w:r>
        <w:rPr>
          <w:sz w:val="20"/>
        </w:rPr>
        <w:t>at [107] (affirmed without reference to this point, </w:t>
      </w:r>
      <w:r>
        <w:rPr>
          <w:rFonts w:ascii="Arial" w:hAnsi="Arial"/>
          <w:i/>
          <w:sz w:val="20"/>
        </w:rPr>
        <w:t>[2010] EWCA Civ 486, [2011] Q.B. 477</w:t>
      </w:r>
      <w:r>
        <w:rPr>
          <w:sz w:val="20"/>
        </w:rPr>
        <w:t>).</w:t>
      </w:r>
    </w:p>
    <w:p>
      <w:pPr>
        <w:spacing w:after="0" w:line="235" w:lineRule="auto"/>
        <w:jc w:val="both"/>
        <w:rPr>
          <w:sz w:val="20"/>
        </w:rPr>
        <w:sectPr>
          <w:type w:val="continuous"/>
          <w:pgSz w:w="11900" w:h="16840"/>
          <w:pgMar w:header="971" w:footer="0" w:top="1160" w:bottom="280" w:left="1275" w:right="1275"/>
        </w:sectPr>
      </w:pPr>
    </w:p>
    <w:p>
      <w:pPr>
        <w:pStyle w:val="BodyText"/>
        <w:spacing w:before="4"/>
        <w:rPr>
          <w:sz w:val="19"/>
        </w:rPr>
      </w:pPr>
    </w:p>
    <w:p>
      <w:pPr>
        <w:pStyle w:val="BodyText"/>
        <w:spacing w:after="0"/>
        <w:rPr>
          <w:sz w:val="19"/>
        </w:rPr>
        <w:sectPr>
          <w:pgSz w:w="11900" w:h="16840"/>
          <w:pgMar w:header="971" w:footer="0" w:top="1160" w:bottom="280" w:left="1275" w:right="1275"/>
        </w:sectPr>
      </w:pPr>
    </w:p>
    <w:p>
      <w:pPr>
        <w:spacing w:before="96"/>
        <w:ind w:left="165" w:right="0" w:firstLine="0"/>
        <w:jc w:val="left"/>
        <w:rPr>
          <w:sz w:val="14"/>
        </w:rPr>
      </w:pPr>
      <w:hyperlink w:history="true" w:anchor="_bookmark349">
        <w:r>
          <w:rPr>
            <w:color w:val="005DA1"/>
            <w:spacing w:val="-4"/>
            <w:sz w:val="14"/>
            <w:u w:val="single" w:color="005DA1"/>
          </w:rPr>
          <w:t>218</w:t>
        </w:r>
      </w:hyperlink>
      <w:r>
        <w:rPr>
          <w:spacing w:val="-4"/>
          <w:sz w:val="14"/>
        </w:rPr>
        <w:t>.</w:t>
      </w:r>
    </w:p>
    <w:p>
      <w:pPr>
        <w:spacing w:before="208"/>
        <w:ind w:left="335" w:right="0" w:firstLine="0"/>
        <w:jc w:val="left"/>
        <w:rPr>
          <w:sz w:val="20"/>
        </w:rPr>
      </w:pPr>
      <w:r>
        <w:rPr/>
        <w:br w:type="column"/>
      </w:r>
      <w:r>
        <w:rPr>
          <w:sz w:val="20"/>
        </w:rPr>
        <w:t>Peel,</w:t>
      </w:r>
      <w:r>
        <w:rPr>
          <w:spacing w:val="-2"/>
          <w:sz w:val="20"/>
        </w:rPr>
        <w:t> </w:t>
      </w:r>
      <w:r>
        <w:rPr>
          <w:rFonts w:ascii="Arial"/>
          <w:i/>
          <w:sz w:val="20"/>
        </w:rPr>
        <w:t>Treitel on The Law of Contract</w:t>
      </w:r>
      <w:r>
        <w:rPr>
          <w:sz w:val="20"/>
        </w:rPr>
        <w:t>, 14th edn (2015), para.9-</w:t>
      </w:r>
      <w:r>
        <w:rPr>
          <w:spacing w:val="-4"/>
          <w:sz w:val="20"/>
        </w:rPr>
        <w:t>020.</w:t>
      </w:r>
    </w:p>
    <w:p>
      <w:pPr>
        <w:spacing w:after="0"/>
        <w:jc w:val="left"/>
        <w:rPr>
          <w:sz w:val="20"/>
        </w:rPr>
        <w:sectPr>
          <w:type w:val="continuous"/>
          <w:pgSz w:w="11900" w:h="16840"/>
          <w:pgMar w:header="971" w:footer="0" w:top="1160" w:bottom="280" w:left="1275" w:right="1275"/>
          <w:cols w:num="2" w:equalWidth="0">
            <w:col w:w="478" w:space="63"/>
            <w:col w:w="8809"/>
          </w:cols>
        </w:sectPr>
      </w:pPr>
    </w:p>
    <w:p>
      <w:pPr>
        <w:pStyle w:val="BodyText"/>
        <w:spacing w:before="5"/>
      </w:pPr>
    </w:p>
    <w:p>
      <w:pPr>
        <w:tabs>
          <w:tab w:pos="705" w:val="left" w:leader="none"/>
        </w:tabs>
        <w:spacing w:line="227" w:lineRule="exact" w:before="0"/>
        <w:ind w:left="165" w:right="0" w:firstLine="0"/>
        <w:jc w:val="left"/>
        <w:rPr>
          <w:rFonts w:ascii="Arial"/>
          <w:i/>
          <w:sz w:val="20"/>
        </w:rPr>
      </w:pPr>
      <w:r>
        <w:rPr>
          <w:rFonts w:ascii="Arial"/>
          <w:i/>
          <w:sz w:val="20"/>
        </w:rPr>
        <w:drawing>
          <wp:anchor distT="0" distB="0" distL="0" distR="0" allowOverlap="1" layoutInCell="1" locked="0" behindDoc="0" simplePos="0" relativeHeight="15753216">
            <wp:simplePos x="0" y="0"/>
            <wp:positionH relativeFrom="page">
              <wp:posOffset>1257846</wp:posOffset>
            </wp:positionH>
            <wp:positionV relativeFrom="paragraph">
              <wp:posOffset>-266845</wp:posOffset>
            </wp:positionV>
            <wp:extent cx="107988" cy="107988"/>
            <wp:effectExtent l="0" t="0" r="0" b="0"/>
            <wp:wrapNone/>
            <wp:docPr id="97" name="Image 97"/>
            <wp:cNvGraphicFramePr>
              <a:graphicFrameLocks/>
            </wp:cNvGraphicFramePr>
            <a:graphic>
              <a:graphicData uri="http://schemas.openxmlformats.org/drawingml/2006/picture">
                <pic:pic>
                  <pic:nvPicPr>
                    <pic:cNvPr id="97" name="Image 9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31" w:id="433"/>
      <w:bookmarkEnd w:id="433"/>
      <w:r>
        <w:rPr/>
      </w:r>
      <w:hyperlink w:history="true" w:anchor="_bookmark350">
        <w:r>
          <w:rPr>
            <w:color w:val="005DA1"/>
            <w:spacing w:val="-4"/>
            <w:position w:val="5"/>
            <w:sz w:val="14"/>
            <w:u w:val="single" w:color="005DA1"/>
          </w:rPr>
          <w:t>219</w:t>
        </w:r>
      </w:hyperlink>
      <w:r>
        <w:rPr>
          <w:spacing w:val="-4"/>
          <w:position w:val="5"/>
          <w:sz w:val="14"/>
        </w:rPr>
        <w:t>.</w:t>
      </w:r>
      <w:r>
        <w:rPr>
          <w:position w:val="5"/>
          <w:sz w:val="14"/>
        </w:rPr>
        <w:tab/>
      </w:r>
      <w:r>
        <w:rPr>
          <w:rFonts w:ascii="Arial"/>
          <w:i/>
          <w:sz w:val="20"/>
        </w:rPr>
        <w:t>Jennings</w:t>
      </w:r>
      <w:r>
        <w:rPr>
          <w:rFonts w:ascii="Arial"/>
          <w:i/>
          <w:spacing w:val="11"/>
          <w:sz w:val="20"/>
        </w:rPr>
        <w:t> </w:t>
      </w:r>
      <w:r>
        <w:rPr>
          <w:rFonts w:ascii="Arial"/>
          <w:i/>
          <w:sz w:val="20"/>
        </w:rPr>
        <w:t>v</w:t>
      </w:r>
      <w:r>
        <w:rPr>
          <w:rFonts w:ascii="Arial"/>
          <w:i/>
          <w:spacing w:val="12"/>
          <w:sz w:val="20"/>
        </w:rPr>
        <w:t> </w:t>
      </w:r>
      <w:r>
        <w:rPr>
          <w:rFonts w:ascii="Arial"/>
          <w:i/>
          <w:sz w:val="20"/>
        </w:rPr>
        <w:t>Broughton</w:t>
      </w:r>
      <w:r>
        <w:rPr>
          <w:rFonts w:ascii="Arial"/>
          <w:i/>
          <w:spacing w:val="12"/>
          <w:sz w:val="20"/>
        </w:rPr>
        <w:t> </w:t>
      </w:r>
      <w:r>
        <w:rPr>
          <w:rFonts w:ascii="Arial"/>
          <w:i/>
          <w:sz w:val="20"/>
        </w:rPr>
        <w:t>(1854)</w:t>
      </w:r>
      <w:r>
        <w:rPr>
          <w:rFonts w:ascii="Arial"/>
          <w:i/>
          <w:spacing w:val="12"/>
          <w:sz w:val="20"/>
        </w:rPr>
        <w:t> </w:t>
      </w:r>
      <w:r>
        <w:rPr>
          <w:rFonts w:ascii="Arial"/>
          <w:i/>
          <w:sz w:val="20"/>
        </w:rPr>
        <w:t>5</w:t>
      </w:r>
      <w:r>
        <w:rPr>
          <w:rFonts w:ascii="Arial"/>
          <w:i/>
          <w:spacing w:val="12"/>
          <w:sz w:val="20"/>
        </w:rPr>
        <w:t> </w:t>
      </w:r>
      <w:r>
        <w:rPr>
          <w:rFonts w:ascii="Arial"/>
          <w:i/>
          <w:sz w:val="20"/>
        </w:rPr>
        <w:t>De</w:t>
      </w:r>
      <w:r>
        <w:rPr>
          <w:rFonts w:ascii="Arial"/>
          <w:i/>
          <w:spacing w:val="12"/>
          <w:sz w:val="20"/>
        </w:rPr>
        <w:t> </w:t>
      </w:r>
      <w:r>
        <w:rPr>
          <w:rFonts w:ascii="Arial"/>
          <w:i/>
          <w:sz w:val="20"/>
        </w:rPr>
        <w:t>G.M.</w:t>
      </w:r>
      <w:r>
        <w:rPr>
          <w:rFonts w:ascii="Arial"/>
          <w:i/>
          <w:spacing w:val="12"/>
          <w:sz w:val="20"/>
        </w:rPr>
        <w:t> </w:t>
      </w:r>
      <w:r>
        <w:rPr>
          <w:rFonts w:ascii="Arial"/>
          <w:i/>
          <w:sz w:val="20"/>
        </w:rPr>
        <w:t>&amp;</w:t>
      </w:r>
      <w:r>
        <w:rPr>
          <w:rFonts w:ascii="Arial"/>
          <w:i/>
          <w:spacing w:val="12"/>
          <w:sz w:val="20"/>
        </w:rPr>
        <w:t> </w:t>
      </w:r>
      <w:r>
        <w:rPr>
          <w:rFonts w:ascii="Arial"/>
          <w:i/>
          <w:sz w:val="20"/>
        </w:rPr>
        <w:t>G.</w:t>
      </w:r>
      <w:r>
        <w:rPr>
          <w:rFonts w:ascii="Arial"/>
          <w:i/>
          <w:spacing w:val="12"/>
          <w:sz w:val="20"/>
        </w:rPr>
        <w:t> </w:t>
      </w:r>
      <w:r>
        <w:rPr>
          <w:rFonts w:ascii="Arial"/>
          <w:i/>
          <w:sz w:val="20"/>
        </w:rPr>
        <w:t>126,</w:t>
      </w:r>
      <w:r>
        <w:rPr>
          <w:rFonts w:ascii="Arial"/>
          <w:i/>
          <w:spacing w:val="12"/>
          <w:sz w:val="20"/>
        </w:rPr>
        <w:t> </w:t>
      </w:r>
      <w:r>
        <w:rPr>
          <w:rFonts w:ascii="Arial"/>
          <w:i/>
          <w:sz w:val="20"/>
        </w:rPr>
        <w:t>130</w:t>
      </w:r>
      <w:r>
        <w:rPr>
          <w:sz w:val="20"/>
        </w:rPr>
        <w:t>;</w:t>
      </w:r>
      <w:r>
        <w:rPr>
          <w:spacing w:val="12"/>
          <w:sz w:val="20"/>
        </w:rPr>
        <w:t> </w:t>
      </w:r>
      <w:r>
        <w:rPr>
          <w:rFonts w:ascii="Arial"/>
          <w:i/>
          <w:sz w:val="20"/>
        </w:rPr>
        <w:t>Smith</w:t>
      </w:r>
      <w:r>
        <w:rPr>
          <w:rFonts w:ascii="Arial"/>
          <w:i/>
          <w:spacing w:val="12"/>
          <w:sz w:val="20"/>
        </w:rPr>
        <w:t> </w:t>
      </w:r>
      <w:r>
        <w:rPr>
          <w:rFonts w:ascii="Arial"/>
          <w:i/>
          <w:sz w:val="20"/>
        </w:rPr>
        <w:t>v</w:t>
      </w:r>
      <w:r>
        <w:rPr>
          <w:rFonts w:ascii="Arial"/>
          <w:i/>
          <w:spacing w:val="12"/>
          <w:sz w:val="20"/>
        </w:rPr>
        <w:t> </w:t>
      </w:r>
      <w:r>
        <w:rPr>
          <w:rFonts w:ascii="Arial"/>
          <w:i/>
          <w:sz w:val="20"/>
        </w:rPr>
        <w:t>Chadwick</w:t>
      </w:r>
      <w:r>
        <w:rPr>
          <w:rFonts w:ascii="Arial"/>
          <w:i/>
          <w:spacing w:val="12"/>
          <w:sz w:val="20"/>
        </w:rPr>
        <w:t> </w:t>
      </w:r>
      <w:r>
        <w:rPr>
          <w:rFonts w:ascii="Arial"/>
          <w:i/>
          <w:sz w:val="20"/>
        </w:rPr>
        <w:t>(1884)</w:t>
      </w:r>
      <w:r>
        <w:rPr>
          <w:rFonts w:ascii="Arial"/>
          <w:i/>
          <w:spacing w:val="12"/>
          <w:sz w:val="20"/>
        </w:rPr>
        <w:t> </w:t>
      </w:r>
      <w:r>
        <w:rPr>
          <w:rFonts w:ascii="Arial"/>
          <w:i/>
          <w:sz w:val="20"/>
        </w:rPr>
        <w:t>9</w:t>
      </w:r>
      <w:r>
        <w:rPr>
          <w:rFonts w:ascii="Arial"/>
          <w:i/>
          <w:spacing w:val="12"/>
          <w:sz w:val="20"/>
        </w:rPr>
        <w:t> </w:t>
      </w:r>
      <w:r>
        <w:rPr>
          <w:rFonts w:ascii="Arial"/>
          <w:i/>
          <w:sz w:val="20"/>
        </w:rPr>
        <w:t>App.</w:t>
      </w:r>
      <w:r>
        <w:rPr>
          <w:rFonts w:ascii="Arial"/>
          <w:i/>
          <w:spacing w:val="12"/>
          <w:sz w:val="20"/>
        </w:rPr>
        <w:t> </w:t>
      </w:r>
      <w:r>
        <w:rPr>
          <w:rFonts w:ascii="Arial"/>
          <w:i/>
          <w:spacing w:val="-4"/>
          <w:sz w:val="20"/>
        </w:rPr>
        <w:t>Cas.</w:t>
      </w:r>
    </w:p>
    <w:p>
      <w:pPr>
        <w:pStyle w:val="BodyText"/>
        <w:spacing w:line="235" w:lineRule="auto" w:before="2"/>
        <w:ind w:left="705" w:right="167"/>
        <w:jc w:val="both"/>
      </w:pPr>
      <w:r>
        <w:rPr>
          <w:rFonts w:ascii="Arial" w:hAnsi="Arial"/>
          <w:i/>
        </w:rPr>
        <w:t>187</w:t>
      </w:r>
      <w:r>
        <w:rPr/>
        <w:t>. The Marine Insurance Act 1906 s.20(2) incorporates the requirement of materiality, and </w:t>
      </w:r>
      <w:r>
        <w:rPr/>
        <w:t>it</w:t>
      </w:r>
      <w:r>
        <w:rPr>
          <w:spacing w:val="40"/>
        </w:rPr>
        <w:t> </w:t>
      </w:r>
      <w:r>
        <w:rPr/>
        <w:t>is frequently said that the Act represents the common law, at least in part (e.g. </w:t>
      </w:r>
      <w:r>
        <w:rPr>
          <w:rFonts w:ascii="Arial" w:hAnsi="Arial"/>
          <w:i/>
        </w:rPr>
        <w:t>Pan Atlantic Insurance Co Ltd v Pine Top Insurance Co Ltd [1995] 1 A.C. 501, 518, 553</w:t>
      </w:r>
      <w:r>
        <w:rPr/>
        <w:t>). It is possible that the requirements of the Act are influenced by the fact that it also applies to non-disclosure. A requirement of materiality is a necessary part of a rule requiring disclosure; it is not a </w:t>
      </w:r>
      <w:r>
        <w:rPr/>
        <w:t>necessary part of a rule affording relief for active misrepresentation. However, it seems clear that </w:t>
      </w:r>
      <w:r>
        <w:rPr/>
        <w:t>in insurance</w:t>
      </w:r>
      <w:r>
        <w:rPr>
          <w:spacing w:val="40"/>
        </w:rPr>
        <w:t> </w:t>
      </w:r>
      <w:r>
        <w:rPr/>
        <w:t>cases,</w:t>
      </w:r>
      <w:r>
        <w:rPr>
          <w:spacing w:val="40"/>
        </w:rPr>
        <w:t> </w:t>
      </w:r>
      <w:r>
        <w:rPr/>
        <w:t>the</w:t>
      </w:r>
      <w:r>
        <w:rPr>
          <w:spacing w:val="40"/>
        </w:rPr>
        <w:t> </w:t>
      </w:r>
      <w:r>
        <w:rPr/>
        <w:t>requirement</w:t>
      </w:r>
      <w:r>
        <w:rPr>
          <w:spacing w:val="40"/>
        </w:rPr>
        <w:t> </w:t>
      </w:r>
      <w:r>
        <w:rPr/>
        <w:t>of</w:t>
      </w:r>
      <w:r>
        <w:rPr>
          <w:spacing w:val="40"/>
        </w:rPr>
        <w:t> </w:t>
      </w:r>
      <w:r>
        <w:rPr/>
        <w:t>materiality</w:t>
      </w:r>
      <w:r>
        <w:rPr>
          <w:spacing w:val="40"/>
        </w:rPr>
        <w:t> </w:t>
      </w:r>
      <w:r>
        <w:rPr/>
        <w:t>applies</w:t>
      </w:r>
      <w:r>
        <w:rPr>
          <w:spacing w:val="40"/>
        </w:rPr>
        <w:t> </w:t>
      </w:r>
      <w:r>
        <w:rPr/>
        <w:t>to</w:t>
      </w:r>
      <w:r>
        <w:rPr>
          <w:spacing w:val="40"/>
        </w:rPr>
        <w:t> </w:t>
      </w:r>
      <w:r>
        <w:rPr/>
        <w:t>misrepresentation</w:t>
      </w:r>
      <w:r>
        <w:rPr>
          <w:spacing w:val="40"/>
        </w:rPr>
        <w:t> </w:t>
      </w:r>
      <w:r>
        <w:rPr/>
        <w:t>as</w:t>
      </w:r>
      <w:r>
        <w:rPr>
          <w:spacing w:val="40"/>
        </w:rPr>
        <w:t> </w:t>
      </w:r>
      <w:r>
        <w:rPr/>
        <w:t>well</w:t>
      </w:r>
      <w:r>
        <w:rPr>
          <w:spacing w:val="72"/>
        </w:rPr>
        <w:t> </w:t>
      </w:r>
      <w:r>
        <w:rPr/>
        <w:t>as non-disclosure. Note the current definition of materiality in relation to non-disclosure </w:t>
      </w:r>
      <w:r>
        <w:rPr/>
        <w:t>in insurance: </w:t>
      </w:r>
      <w:r>
        <w:rPr>
          <w:rFonts w:ascii="Arial" w:hAnsi="Arial"/>
          <w:i/>
        </w:rPr>
        <w:t>Pan Atlantic Insurance Co Ltd v Pine Top Insurance Co Ltd [1995] 1 A.C. 501 </w:t>
      </w:r>
      <w:r>
        <w:rPr/>
        <w:t>(material if it “would influence the judgment of a prudent insurer in fixing the premium, or determining whether he will take the risk”), below, para.7-160. This definition is also used in the Insurance Act 2015, s.7(3); see below, para.7-161. The Consumer Insurance (Disclosure </w:t>
      </w:r>
      <w:r>
        <w:rPr/>
        <w:t>and Representations) Act 2012 does not refer to materiality. The consumer has a duty not to make careless representations; and it is doubtful whether a consumer who without fraud says something that is incorrect but seemingly irrelevant to the insurer will be careless. On the other hand, the Act provides that a misrepresentation that is made dishonestly is always to be </w:t>
      </w:r>
      <w:r>
        <w:rPr/>
        <w:t>taken to show lack of reasonable care (s.3(5)), so it seems that the insurer may have a remedy if </w:t>
      </w:r>
      <w:r>
        <w:rPr/>
        <w:t>the consumer makes a deliberate misstatement, even if the statement did not seem material in </w:t>
      </w:r>
      <w:r>
        <w:rPr/>
        <w:t>the sense</w:t>
      </w:r>
      <w:r>
        <w:rPr>
          <w:spacing w:val="-3"/>
        </w:rPr>
        <w:t> </w:t>
      </w:r>
      <w:r>
        <w:rPr/>
        <w:t>discussed,</w:t>
      </w:r>
      <w:r>
        <w:rPr>
          <w:spacing w:val="-3"/>
        </w:rPr>
        <w:t> </w:t>
      </w:r>
      <w:r>
        <w:rPr/>
        <w:t>provided</w:t>
      </w:r>
      <w:r>
        <w:rPr>
          <w:spacing w:val="-3"/>
        </w:rPr>
        <w:t> </w:t>
      </w:r>
      <w:r>
        <w:rPr/>
        <w:t>the</w:t>
      </w:r>
      <w:r>
        <w:rPr>
          <w:spacing w:val="-3"/>
        </w:rPr>
        <w:t> </w:t>
      </w:r>
      <w:r>
        <w:rPr/>
        <w:t>insurer</w:t>
      </w:r>
      <w:r>
        <w:rPr>
          <w:spacing w:val="-3"/>
        </w:rPr>
        <w:t> </w:t>
      </w:r>
      <w:r>
        <w:rPr/>
        <w:t>can</w:t>
      </w:r>
      <w:r>
        <w:rPr>
          <w:spacing w:val="-3"/>
        </w:rPr>
        <w:t> </w:t>
      </w:r>
      <w:r>
        <w:rPr/>
        <w:t>show</w:t>
      </w:r>
      <w:r>
        <w:rPr>
          <w:spacing w:val="-3"/>
        </w:rPr>
        <w:t> </w:t>
      </w:r>
      <w:r>
        <w:rPr/>
        <w:t>that</w:t>
      </w:r>
      <w:r>
        <w:rPr>
          <w:spacing w:val="-3"/>
        </w:rPr>
        <w:t> </w:t>
      </w:r>
      <w:r>
        <w:rPr/>
        <w:t>without</w:t>
      </w:r>
      <w:r>
        <w:rPr>
          <w:spacing w:val="-3"/>
        </w:rPr>
        <w:t> </w:t>
      </w:r>
      <w:r>
        <w:rPr/>
        <w:t>the</w:t>
      </w:r>
      <w:r>
        <w:rPr>
          <w:spacing w:val="-3"/>
        </w:rPr>
        <w:t> </w:t>
      </w:r>
      <w:r>
        <w:rPr/>
        <w:t>misstatement</w:t>
      </w:r>
      <w:r>
        <w:rPr>
          <w:spacing w:val="-3"/>
        </w:rPr>
        <w:t> </w:t>
      </w:r>
      <w:r>
        <w:rPr/>
        <w:t>it</w:t>
      </w:r>
      <w:r>
        <w:rPr>
          <w:spacing w:val="-3"/>
        </w:rPr>
        <w:t> </w:t>
      </w:r>
      <w:r>
        <w:rPr/>
        <w:t>would</w:t>
      </w:r>
      <w:r>
        <w:rPr>
          <w:spacing w:val="-3"/>
        </w:rPr>
        <w:t> </w:t>
      </w:r>
      <w:r>
        <w:rPr/>
        <w:t>not</w:t>
      </w:r>
      <w:r>
        <w:rPr>
          <w:spacing w:val="-3"/>
        </w:rPr>
        <w:t> </w:t>
      </w:r>
      <w:r>
        <w:rPr/>
        <w:t>have entered the contract at all, or would have done so only on different terms (s.4(1)(b)).</w:t>
      </w:r>
    </w:p>
    <w:p>
      <w:pPr>
        <w:pStyle w:val="BodyText"/>
        <w:spacing w:before="2"/>
      </w:pPr>
    </w:p>
    <w:p>
      <w:pPr>
        <w:pStyle w:val="BodyText"/>
        <w:spacing w:line="235" w:lineRule="auto"/>
        <w:ind w:left="705" w:right="167" w:hanging="541"/>
        <w:jc w:val="both"/>
      </w:pPr>
      <w:bookmarkStart w:name="_bookmark432" w:id="434"/>
      <w:bookmarkEnd w:id="434"/>
      <w:r>
        <w:rPr/>
      </w:r>
      <w:hyperlink w:history="true" w:anchor="_bookmark351">
        <w:r>
          <w:rPr>
            <w:color w:val="005DA1"/>
            <w:position w:val="5"/>
            <w:sz w:val="14"/>
            <w:u w:val="single" w:color="005DA1"/>
          </w:rPr>
          <w:t>220</w:t>
        </w:r>
      </w:hyperlink>
      <w:r>
        <w:rPr>
          <w:position w:val="5"/>
          <w:sz w:val="14"/>
        </w:rPr>
        <w:t>.</w:t>
      </w:r>
      <w:r>
        <w:rPr>
          <w:spacing w:val="40"/>
          <w:position w:val="5"/>
          <w:sz w:val="14"/>
        </w:rPr>
        <w:t>  </w:t>
      </w:r>
      <w:r>
        <w:rPr/>
        <w:t>In </w:t>
      </w:r>
      <w:r>
        <w:rPr>
          <w:rFonts w:ascii="Arial"/>
          <w:i/>
        </w:rPr>
        <w:t>Avon Insurance v Swire [2000] 1 All E.R. (Comm) 573 </w:t>
      </w:r>
      <w:r>
        <w:rPr/>
        <w:t>Rix J. held that a statement will be treated as true if it is substantially correct and the difference would not have induced a reasonable person to enter the contract (above, para.7-023). This might seem to support </w:t>
      </w:r>
      <w:r>
        <w:rPr/>
        <w:t>the requirement of materiality.</w:t>
      </w:r>
    </w:p>
    <w:p>
      <w:pPr>
        <w:pStyle w:val="BodyText"/>
        <w:spacing w:before="5"/>
      </w:pPr>
    </w:p>
    <w:p>
      <w:pPr>
        <w:tabs>
          <w:tab w:pos="705" w:val="left" w:leader="none"/>
        </w:tabs>
        <w:spacing w:before="0"/>
        <w:ind w:left="165" w:right="0" w:firstLine="0"/>
        <w:jc w:val="left"/>
        <w:rPr>
          <w:sz w:val="20"/>
        </w:rPr>
      </w:pPr>
      <w:bookmarkStart w:name="_bookmark433" w:id="435"/>
      <w:bookmarkEnd w:id="435"/>
      <w:r>
        <w:rPr/>
      </w:r>
      <w:hyperlink w:history="true" w:anchor="_bookmark352">
        <w:r>
          <w:rPr>
            <w:color w:val="005DA1"/>
            <w:spacing w:val="-4"/>
            <w:position w:val="5"/>
            <w:sz w:val="14"/>
            <w:u w:val="single" w:color="005DA1"/>
          </w:rPr>
          <w:t>221</w:t>
        </w:r>
      </w:hyperlink>
      <w:r>
        <w:rPr>
          <w:spacing w:val="-4"/>
          <w:position w:val="5"/>
          <w:sz w:val="14"/>
        </w:rPr>
        <w:t>.</w:t>
      </w:r>
      <w:r>
        <w:rPr>
          <w:position w:val="5"/>
          <w:sz w:val="14"/>
        </w:rPr>
        <w:tab/>
      </w:r>
      <w:r>
        <w:rPr>
          <w:sz w:val="20"/>
        </w:rPr>
        <w:t>Above, para.7-</w:t>
      </w:r>
      <w:r>
        <w:rPr>
          <w:spacing w:val="-4"/>
          <w:sz w:val="20"/>
        </w:rPr>
        <w:t>007.</w:t>
      </w:r>
    </w:p>
    <w:p>
      <w:pPr>
        <w:pStyle w:val="BodyText"/>
        <w:spacing w:before="8"/>
      </w:pPr>
    </w:p>
    <w:p>
      <w:pPr>
        <w:spacing w:line="235" w:lineRule="auto" w:before="1"/>
        <w:ind w:left="705" w:right="167" w:hanging="541"/>
        <w:jc w:val="both"/>
        <w:rPr>
          <w:sz w:val="20"/>
        </w:rPr>
      </w:pPr>
      <w:bookmarkStart w:name="_bookmark434" w:id="436"/>
      <w:bookmarkEnd w:id="436"/>
      <w:r>
        <w:rPr/>
      </w:r>
      <w:hyperlink w:history="true" w:anchor="_bookmark353">
        <w:r>
          <w:rPr>
            <w:color w:val="005DA1"/>
            <w:position w:val="5"/>
            <w:sz w:val="14"/>
            <w:u w:val="single" w:color="005DA1"/>
          </w:rPr>
          <w:t>222</w:t>
        </w:r>
      </w:hyperlink>
      <w:r>
        <w:rPr>
          <w:position w:val="5"/>
          <w:sz w:val="14"/>
        </w:rPr>
        <w:t>.</w:t>
      </w:r>
      <w:r>
        <w:rPr>
          <w:spacing w:val="80"/>
          <w:w w:val="150"/>
          <w:position w:val="5"/>
          <w:sz w:val="14"/>
        </w:rPr>
        <w:t> </w:t>
      </w:r>
      <w:r>
        <w:rPr>
          <w:sz w:val="20"/>
        </w:rPr>
        <w:t>It has been so held in Australia: </w:t>
      </w:r>
      <w:r>
        <w:rPr>
          <w:rFonts w:ascii="Arial" w:hAnsi="Arial"/>
          <w:i/>
          <w:sz w:val="20"/>
        </w:rPr>
        <w:t>Nicholas v Thompson [1924] V.L.R. 554</w:t>
      </w:r>
      <w:r>
        <w:rPr>
          <w:sz w:val="20"/>
        </w:rPr>
        <w:t>. In </w:t>
      </w:r>
      <w:r>
        <w:rPr>
          <w:rFonts w:ascii="Arial" w:hAnsi="Arial"/>
          <w:i/>
          <w:sz w:val="20"/>
        </w:rPr>
        <w:t>Cuthbertson v Friends’ Provident Life Office (2006) S.L.T. 567, (2006) S.C.L.R. 697 </w:t>
      </w:r>
      <w:r>
        <w:rPr>
          <w:sz w:val="20"/>
        </w:rPr>
        <w:t>Lord Eassie pointed </w:t>
      </w:r>
      <w:r>
        <w:rPr>
          <w:sz w:val="20"/>
        </w:rPr>
        <w:t>out that the materiality test in insurance (set out in s.20(2) of the Marine Insurance Act) would be satisfied if the proposer actually appreciated that the fact stated would be relevant to the</w:t>
      </w:r>
      <w:r>
        <w:rPr>
          <w:spacing w:val="40"/>
          <w:sz w:val="20"/>
        </w:rPr>
        <w:t> </w:t>
      </w:r>
      <w:r>
        <w:rPr>
          <w:sz w:val="20"/>
        </w:rPr>
        <w:t>insurer. In </w:t>
      </w:r>
      <w:r>
        <w:rPr>
          <w:rFonts w:ascii="Arial" w:hAnsi="Arial"/>
          <w:i/>
          <w:sz w:val="20"/>
        </w:rPr>
        <w:t>Museprime Properties Ltd v Adhill Properties Ltd [1990] 2 E.G.L.R. 196 </w:t>
      </w:r>
      <w:r>
        <w:rPr>
          <w:sz w:val="20"/>
        </w:rPr>
        <w:t>it was said that materiality was really a question of the burden of proof: if the statement would not have influenced a reasonable person, the burden of proving that it did induce the contract will be on the representee, but relief may still be obtained if the burden is discharged. However, the case did not involve materiality in the sense discussed here; see next paragraph.</w:t>
      </w:r>
    </w:p>
    <w:p>
      <w:pPr>
        <w:pStyle w:val="BodyText"/>
        <w:spacing w:before="2"/>
      </w:pPr>
    </w:p>
    <w:p>
      <w:pPr>
        <w:pStyle w:val="BodyText"/>
        <w:tabs>
          <w:tab w:pos="705" w:val="left" w:leader="none"/>
        </w:tabs>
        <w:spacing w:before="1"/>
        <w:ind w:left="165"/>
      </w:pPr>
      <w:bookmarkStart w:name="_bookmark435" w:id="437"/>
      <w:bookmarkEnd w:id="437"/>
      <w:r>
        <w:rPr/>
      </w:r>
      <w:hyperlink w:history="true" w:anchor="_bookmark354">
        <w:r>
          <w:rPr>
            <w:color w:val="005DA1"/>
            <w:spacing w:val="-4"/>
            <w:position w:val="5"/>
            <w:sz w:val="14"/>
            <w:u w:val="single" w:color="005DA1"/>
          </w:rPr>
          <w:t>223</w:t>
        </w:r>
      </w:hyperlink>
      <w:r>
        <w:rPr>
          <w:spacing w:val="-4"/>
          <w:position w:val="5"/>
          <w:sz w:val="14"/>
        </w:rPr>
        <w:t>.</w:t>
      </w:r>
      <w:r>
        <w:rPr>
          <w:position w:val="5"/>
          <w:sz w:val="14"/>
        </w:rPr>
        <w:tab/>
      </w:r>
      <w:r>
        <w:rPr/>
        <w:t>See</w:t>
      </w:r>
      <w:r>
        <w:rPr>
          <w:spacing w:val="-2"/>
        </w:rPr>
        <w:t> </w:t>
      </w:r>
      <w:r>
        <w:rPr/>
        <w:t>above, para.7-</w:t>
      </w:r>
      <w:r>
        <w:rPr>
          <w:spacing w:val="-4"/>
        </w:rPr>
        <w:t>006.</w:t>
      </w:r>
    </w:p>
    <w:p>
      <w:pPr>
        <w:pStyle w:val="BodyText"/>
        <w:spacing w:before="8"/>
      </w:pPr>
    </w:p>
    <w:p>
      <w:pPr>
        <w:spacing w:line="235" w:lineRule="auto" w:before="0"/>
        <w:ind w:left="705" w:right="168" w:hanging="541"/>
        <w:jc w:val="both"/>
        <w:rPr>
          <w:sz w:val="20"/>
        </w:rPr>
      </w:pPr>
      <w:bookmarkStart w:name="_bookmark436" w:id="438"/>
      <w:bookmarkEnd w:id="438"/>
      <w:r>
        <w:rPr/>
      </w:r>
      <w:hyperlink w:history="true" w:anchor="_bookmark355">
        <w:r>
          <w:rPr>
            <w:color w:val="005DA1"/>
            <w:position w:val="5"/>
            <w:sz w:val="14"/>
            <w:u w:val="single" w:color="005DA1"/>
          </w:rPr>
          <w:t>224</w:t>
        </w:r>
      </w:hyperlink>
      <w:r>
        <w:rPr>
          <w:position w:val="5"/>
          <w:sz w:val="14"/>
        </w:rPr>
        <w:t>.</w:t>
      </w:r>
      <w:r>
        <w:rPr>
          <w:spacing w:val="80"/>
          <w:position w:val="5"/>
          <w:sz w:val="14"/>
        </w:rPr>
        <w:t>  </w:t>
      </w:r>
      <w:r>
        <w:rPr>
          <w:sz w:val="20"/>
        </w:rPr>
        <w:t>Mance L.J. in </w:t>
      </w:r>
      <w:r>
        <w:rPr>
          <w:rFonts w:ascii="Arial" w:hAnsi="Arial"/>
          <w:i/>
          <w:sz w:val="20"/>
        </w:rPr>
        <w:t>MCI Worldcom International Inc v Primus Telecommunications Plc [2004] EWCA Civ 957, [2004] All E.R. (Comm) 833 </w:t>
      </w:r>
      <w:r>
        <w:rPr>
          <w:sz w:val="20"/>
        </w:rPr>
        <w:t>at [30]. He said that the version of this paragraph in the 29th edition “appears … to put the position too cautiously”.</w:t>
      </w:r>
    </w:p>
    <w:p>
      <w:pPr>
        <w:pStyle w:val="BodyText"/>
        <w:spacing w:before="9"/>
      </w:pPr>
    </w:p>
    <w:p>
      <w:pPr>
        <w:spacing w:line="235" w:lineRule="auto" w:before="0"/>
        <w:ind w:left="705" w:right="168" w:hanging="541"/>
        <w:jc w:val="both"/>
        <w:rPr>
          <w:rFonts w:ascii="Arial" w:hAnsi="Arial"/>
          <w:i/>
          <w:sz w:val="20"/>
        </w:rPr>
      </w:pPr>
      <w:bookmarkStart w:name="_bookmark437" w:id="439"/>
      <w:bookmarkEnd w:id="439"/>
      <w:r>
        <w:rPr/>
      </w:r>
      <w:hyperlink w:history="true" w:anchor="_bookmark356">
        <w:r>
          <w:rPr>
            <w:color w:val="005DA1"/>
            <w:position w:val="5"/>
            <w:sz w:val="14"/>
            <w:u w:val="single" w:color="005DA1"/>
          </w:rPr>
          <w:t>225</w:t>
        </w:r>
      </w:hyperlink>
      <w:r>
        <w:rPr>
          <w:position w:val="5"/>
          <w:sz w:val="14"/>
        </w:rPr>
        <w:t>.</w:t>
      </w:r>
      <w:r>
        <w:rPr>
          <w:spacing w:val="40"/>
          <w:position w:val="5"/>
          <w:sz w:val="14"/>
        </w:rPr>
        <w:t>  </w:t>
      </w:r>
      <w:r>
        <w:rPr>
          <w:rFonts w:ascii="Arial" w:hAnsi="Arial"/>
          <w:i/>
          <w:sz w:val="20"/>
        </w:rPr>
        <w:t>Smith v Kay (1859) 7 H.L.C. 750</w:t>
      </w:r>
      <w:r>
        <w:rPr>
          <w:sz w:val="20"/>
        </w:rPr>
        <w:t>. It is no defence that the maker of a fraudulent statement thought that it was irrelevant or unimportant: </w:t>
      </w:r>
      <w:r>
        <w:rPr>
          <w:rFonts w:ascii="Arial" w:hAnsi="Arial"/>
          <w:i/>
          <w:sz w:val="20"/>
        </w:rPr>
        <w:t>Standard Chartered Bank v Pakistan </w:t>
      </w:r>
      <w:r>
        <w:rPr>
          <w:rFonts w:ascii="Arial" w:hAnsi="Arial"/>
          <w:i/>
          <w:sz w:val="20"/>
        </w:rPr>
        <w:t>National Shipping</w:t>
      </w:r>
      <w:r>
        <w:rPr>
          <w:rFonts w:ascii="Arial" w:hAnsi="Arial"/>
          <w:i/>
          <w:spacing w:val="5"/>
          <w:sz w:val="20"/>
        </w:rPr>
        <w:t> </w:t>
      </w:r>
      <w:r>
        <w:rPr>
          <w:rFonts w:ascii="Arial" w:hAnsi="Arial"/>
          <w:i/>
          <w:sz w:val="20"/>
        </w:rPr>
        <w:t>Corp</w:t>
      </w:r>
      <w:r>
        <w:rPr>
          <w:rFonts w:ascii="Arial" w:hAnsi="Arial"/>
          <w:i/>
          <w:spacing w:val="5"/>
          <w:sz w:val="20"/>
        </w:rPr>
        <w:t> </w:t>
      </w:r>
      <w:r>
        <w:rPr>
          <w:rFonts w:ascii="Arial" w:hAnsi="Arial"/>
          <w:i/>
          <w:sz w:val="20"/>
        </w:rPr>
        <w:t>(No.2)</w:t>
      </w:r>
      <w:r>
        <w:rPr>
          <w:rFonts w:ascii="Arial" w:hAnsi="Arial"/>
          <w:i/>
          <w:spacing w:val="5"/>
          <w:sz w:val="20"/>
        </w:rPr>
        <w:t> </w:t>
      </w:r>
      <w:r>
        <w:rPr>
          <w:rFonts w:ascii="Arial" w:hAnsi="Arial"/>
          <w:i/>
          <w:sz w:val="20"/>
        </w:rPr>
        <w:t>[2000]</w:t>
      </w:r>
      <w:r>
        <w:rPr>
          <w:rFonts w:ascii="Arial" w:hAnsi="Arial"/>
          <w:i/>
          <w:spacing w:val="5"/>
          <w:sz w:val="20"/>
        </w:rPr>
        <w:t> </w:t>
      </w:r>
      <w:r>
        <w:rPr>
          <w:rFonts w:ascii="Arial" w:hAnsi="Arial"/>
          <w:i/>
          <w:sz w:val="20"/>
        </w:rPr>
        <w:t>1</w:t>
      </w:r>
      <w:r>
        <w:rPr>
          <w:rFonts w:ascii="Arial" w:hAnsi="Arial"/>
          <w:i/>
          <w:spacing w:val="5"/>
          <w:sz w:val="20"/>
        </w:rPr>
        <w:t> </w:t>
      </w:r>
      <w:r>
        <w:rPr>
          <w:rFonts w:ascii="Arial" w:hAnsi="Arial"/>
          <w:i/>
          <w:sz w:val="20"/>
        </w:rPr>
        <w:t>Lloyd’s</w:t>
      </w:r>
      <w:r>
        <w:rPr>
          <w:rFonts w:ascii="Arial" w:hAnsi="Arial"/>
          <w:i/>
          <w:spacing w:val="5"/>
          <w:sz w:val="20"/>
        </w:rPr>
        <w:t> </w:t>
      </w:r>
      <w:r>
        <w:rPr>
          <w:rFonts w:ascii="Arial" w:hAnsi="Arial"/>
          <w:i/>
          <w:sz w:val="20"/>
        </w:rPr>
        <w:t>Rep.</w:t>
      </w:r>
      <w:r>
        <w:rPr>
          <w:rFonts w:ascii="Arial" w:hAnsi="Arial"/>
          <w:i/>
          <w:spacing w:val="5"/>
          <w:sz w:val="20"/>
        </w:rPr>
        <w:t> </w:t>
      </w:r>
      <w:r>
        <w:rPr>
          <w:rFonts w:ascii="Arial" w:hAnsi="Arial"/>
          <w:i/>
          <w:sz w:val="20"/>
        </w:rPr>
        <w:t>218,</w:t>
      </w:r>
      <w:r>
        <w:rPr>
          <w:rFonts w:ascii="Arial" w:hAnsi="Arial"/>
          <w:i/>
          <w:spacing w:val="5"/>
          <w:sz w:val="20"/>
        </w:rPr>
        <w:t> </w:t>
      </w:r>
      <w:r>
        <w:rPr>
          <w:rFonts w:ascii="Arial" w:hAnsi="Arial"/>
          <w:i/>
          <w:sz w:val="20"/>
        </w:rPr>
        <w:t>225</w:t>
      </w:r>
      <w:r>
        <w:rPr>
          <w:rFonts w:ascii="Arial" w:hAnsi="Arial"/>
          <w:i/>
          <w:spacing w:val="4"/>
          <w:sz w:val="20"/>
        </w:rPr>
        <w:t> </w:t>
      </w:r>
      <w:r>
        <w:rPr>
          <w:sz w:val="20"/>
        </w:rPr>
        <w:t>(reversed</w:t>
      </w:r>
      <w:r>
        <w:rPr>
          <w:spacing w:val="5"/>
          <w:sz w:val="20"/>
        </w:rPr>
        <w:t> </w:t>
      </w:r>
      <w:r>
        <w:rPr>
          <w:sz w:val="20"/>
        </w:rPr>
        <w:t>in</w:t>
      </w:r>
      <w:r>
        <w:rPr>
          <w:spacing w:val="5"/>
          <w:sz w:val="20"/>
        </w:rPr>
        <w:t> </w:t>
      </w:r>
      <w:r>
        <w:rPr>
          <w:sz w:val="20"/>
        </w:rPr>
        <w:t>part</w:t>
      </w:r>
      <w:r>
        <w:rPr>
          <w:spacing w:val="5"/>
          <w:sz w:val="20"/>
        </w:rPr>
        <w:t> </w:t>
      </w:r>
      <w:r>
        <w:rPr>
          <w:sz w:val="20"/>
        </w:rPr>
        <w:t>on</w:t>
      </w:r>
      <w:r>
        <w:rPr>
          <w:spacing w:val="5"/>
          <w:sz w:val="20"/>
        </w:rPr>
        <w:t> </w:t>
      </w:r>
      <w:r>
        <w:rPr>
          <w:sz w:val="20"/>
        </w:rPr>
        <w:t>other</w:t>
      </w:r>
      <w:r>
        <w:rPr>
          <w:spacing w:val="5"/>
          <w:sz w:val="20"/>
        </w:rPr>
        <w:t> </w:t>
      </w:r>
      <w:r>
        <w:rPr>
          <w:sz w:val="20"/>
        </w:rPr>
        <w:t>grounds,</w:t>
      </w:r>
      <w:r>
        <w:rPr>
          <w:spacing w:val="4"/>
          <w:sz w:val="20"/>
        </w:rPr>
        <w:t> </w:t>
      </w:r>
      <w:r>
        <w:rPr>
          <w:rFonts w:ascii="Arial" w:hAnsi="Arial"/>
          <w:i/>
          <w:spacing w:val="-2"/>
          <w:sz w:val="20"/>
        </w:rPr>
        <w:t>[2002]</w:t>
      </w:r>
    </w:p>
    <w:p>
      <w:pPr>
        <w:spacing w:line="223" w:lineRule="exact" w:before="0"/>
        <w:ind w:left="705" w:right="0" w:firstLine="0"/>
        <w:jc w:val="both"/>
        <w:rPr>
          <w:rFonts w:ascii="Arial"/>
          <w:i/>
          <w:sz w:val="20"/>
        </w:rPr>
      </w:pPr>
      <w:r>
        <w:rPr>
          <w:rFonts w:ascii="Arial"/>
          <w:i/>
          <w:sz w:val="20"/>
        </w:rPr>
        <w:t>UKHL</w:t>
      </w:r>
      <w:r>
        <w:rPr>
          <w:rFonts w:ascii="Arial"/>
          <w:i/>
          <w:spacing w:val="57"/>
          <w:w w:val="150"/>
          <w:sz w:val="20"/>
        </w:rPr>
        <w:t> </w:t>
      </w:r>
      <w:r>
        <w:rPr>
          <w:rFonts w:ascii="Arial"/>
          <w:i/>
          <w:sz w:val="20"/>
        </w:rPr>
        <w:t>43,</w:t>
      </w:r>
      <w:r>
        <w:rPr>
          <w:rFonts w:ascii="Arial"/>
          <w:i/>
          <w:spacing w:val="57"/>
          <w:w w:val="150"/>
          <w:sz w:val="20"/>
        </w:rPr>
        <w:t> </w:t>
      </w:r>
      <w:r>
        <w:rPr>
          <w:rFonts w:ascii="Arial"/>
          <w:i/>
          <w:sz w:val="20"/>
        </w:rPr>
        <w:t>[2002]</w:t>
      </w:r>
      <w:r>
        <w:rPr>
          <w:rFonts w:ascii="Arial"/>
          <w:i/>
          <w:spacing w:val="57"/>
          <w:w w:val="150"/>
          <w:sz w:val="20"/>
        </w:rPr>
        <w:t> </w:t>
      </w:r>
      <w:r>
        <w:rPr>
          <w:rFonts w:ascii="Arial"/>
          <w:i/>
          <w:sz w:val="20"/>
        </w:rPr>
        <w:t>3</w:t>
      </w:r>
      <w:r>
        <w:rPr>
          <w:rFonts w:ascii="Arial"/>
          <w:i/>
          <w:spacing w:val="57"/>
          <w:w w:val="150"/>
          <w:sz w:val="20"/>
        </w:rPr>
        <w:t> </w:t>
      </w:r>
      <w:r>
        <w:rPr>
          <w:rFonts w:ascii="Arial"/>
          <w:i/>
          <w:sz w:val="20"/>
        </w:rPr>
        <w:t>W.L.R.</w:t>
      </w:r>
      <w:r>
        <w:rPr>
          <w:rFonts w:ascii="Arial"/>
          <w:i/>
          <w:spacing w:val="57"/>
          <w:w w:val="150"/>
          <w:sz w:val="20"/>
        </w:rPr>
        <w:t> </w:t>
      </w:r>
      <w:r>
        <w:rPr>
          <w:rFonts w:ascii="Arial"/>
          <w:i/>
          <w:sz w:val="20"/>
        </w:rPr>
        <w:t>1547</w:t>
      </w:r>
      <w:r>
        <w:rPr>
          <w:sz w:val="20"/>
        </w:rPr>
        <w:t>:</w:t>
      </w:r>
      <w:r>
        <w:rPr>
          <w:spacing w:val="57"/>
          <w:w w:val="150"/>
          <w:sz w:val="20"/>
        </w:rPr>
        <w:t> </w:t>
      </w:r>
      <w:r>
        <w:rPr>
          <w:sz w:val="20"/>
        </w:rPr>
        <w:t>see</w:t>
      </w:r>
      <w:r>
        <w:rPr>
          <w:spacing w:val="57"/>
          <w:w w:val="150"/>
          <w:sz w:val="20"/>
        </w:rPr>
        <w:t> </w:t>
      </w:r>
      <w:r>
        <w:rPr>
          <w:sz w:val="20"/>
        </w:rPr>
        <w:t>below,</w:t>
      </w:r>
      <w:r>
        <w:rPr>
          <w:spacing w:val="58"/>
          <w:w w:val="150"/>
          <w:sz w:val="20"/>
        </w:rPr>
        <w:t> </w:t>
      </w:r>
      <w:r>
        <w:rPr>
          <w:sz w:val="20"/>
        </w:rPr>
        <w:t>para.7-071).</w:t>
      </w:r>
      <w:r>
        <w:rPr>
          <w:spacing w:val="57"/>
          <w:w w:val="150"/>
          <w:sz w:val="20"/>
        </w:rPr>
        <w:t> </w:t>
      </w:r>
      <w:r>
        <w:rPr>
          <w:sz w:val="20"/>
        </w:rPr>
        <w:t>See</w:t>
      </w:r>
      <w:r>
        <w:rPr>
          <w:spacing w:val="57"/>
          <w:w w:val="150"/>
          <w:sz w:val="20"/>
        </w:rPr>
        <w:t> </w:t>
      </w:r>
      <w:r>
        <w:rPr>
          <w:sz w:val="20"/>
        </w:rPr>
        <w:t>also</w:t>
      </w:r>
      <w:r>
        <w:rPr>
          <w:spacing w:val="56"/>
          <w:w w:val="150"/>
          <w:sz w:val="20"/>
        </w:rPr>
        <w:t> </w:t>
      </w:r>
      <w:r>
        <w:rPr>
          <w:rFonts w:ascii="Arial"/>
          <w:i/>
          <w:sz w:val="20"/>
        </w:rPr>
        <w:t>Dadourian</w:t>
      </w:r>
      <w:r>
        <w:rPr>
          <w:rFonts w:ascii="Arial"/>
          <w:i/>
          <w:spacing w:val="57"/>
          <w:w w:val="150"/>
          <w:sz w:val="20"/>
        </w:rPr>
        <w:t> </w:t>
      </w:r>
      <w:r>
        <w:rPr>
          <w:rFonts w:ascii="Arial"/>
          <w:i/>
          <w:spacing w:val="-2"/>
          <w:sz w:val="20"/>
        </w:rPr>
        <w:t>Group</w:t>
      </w:r>
    </w:p>
    <w:p>
      <w:pPr>
        <w:spacing w:line="235" w:lineRule="auto" w:before="1"/>
        <w:ind w:left="705" w:right="167" w:firstLine="0"/>
        <w:jc w:val="both"/>
        <w:rPr>
          <w:sz w:val="20"/>
        </w:rPr>
      </w:pPr>
      <w:r>
        <w:rPr>
          <w:rFonts w:ascii="Arial" w:hAnsi="Arial"/>
          <w:i/>
          <w:sz w:val="20"/>
        </w:rPr>
        <w:t>International Inc v Simms [2009] EWCA Civ 169, [2009] 1 Lloyd’s Rep. 601 </w:t>
      </w:r>
      <w:r>
        <w:rPr>
          <w:sz w:val="20"/>
        </w:rPr>
        <w:t>at [101]. In</w:t>
      </w:r>
      <w:r>
        <w:rPr>
          <w:spacing w:val="40"/>
          <w:sz w:val="20"/>
        </w:rPr>
        <w:t> </w:t>
      </w:r>
      <w:r>
        <w:rPr>
          <w:rFonts w:ascii="Arial" w:hAnsi="Arial"/>
          <w:i/>
          <w:sz w:val="20"/>
        </w:rPr>
        <w:t>Bonham-Carter v SITU Ventures Ltd [2012] EWHC 3589 (Ch) </w:t>
      </w:r>
      <w:r>
        <w:rPr>
          <w:sz w:val="20"/>
        </w:rPr>
        <w:t>it seems that both parties </w:t>
      </w:r>
      <w:r>
        <w:rPr>
          <w:sz w:val="20"/>
        </w:rPr>
        <w:t>agreed that materiality was an essential ingredient of a claim for deceit, relying on a dictum of Hobhouse L.J. in </w:t>
      </w:r>
      <w:r>
        <w:rPr>
          <w:rFonts w:ascii="Arial" w:hAnsi="Arial"/>
          <w:i/>
          <w:sz w:val="20"/>
        </w:rPr>
        <w:t>Downs v Chappell [1997] 1 W.L.R. 426, 433</w:t>
      </w:r>
      <w:r>
        <w:rPr>
          <w:sz w:val="20"/>
        </w:rPr>
        <w:t>: see at [121]. In </w:t>
      </w:r>
      <w:r>
        <w:rPr>
          <w:rFonts w:ascii="Arial" w:hAnsi="Arial"/>
          <w:i/>
          <w:sz w:val="20"/>
        </w:rPr>
        <w:t>Downs v Chappell </w:t>
      </w:r>
      <w:r>
        <w:rPr>
          <w:sz w:val="20"/>
        </w:rPr>
        <w:t>the false statement was clearly material: see </w:t>
      </w:r>
      <w:r>
        <w:rPr>
          <w:rFonts w:ascii="Arial" w:hAnsi="Arial"/>
          <w:i/>
          <w:sz w:val="20"/>
        </w:rPr>
        <w:t>[1997] 1 W.L.R. 426, 433</w:t>
      </w:r>
      <w:r>
        <w:rPr>
          <w:sz w:val="20"/>
        </w:rPr>
        <w:t>. In </w:t>
      </w:r>
      <w:r>
        <w:rPr>
          <w:rFonts w:ascii="Arial" w:hAnsi="Arial"/>
          <w:i/>
          <w:sz w:val="20"/>
        </w:rPr>
        <w:t>Edwards v Ashik [2014] EWHC 2454 (Ch) </w:t>
      </w:r>
      <w:r>
        <w:rPr>
          <w:sz w:val="20"/>
        </w:rPr>
        <w:t>Hamblen J. (at [25]) pointed out that Hobhouse L.J. was concerned with what the representee needs to prove in order to establish a cause of action in deceit, not what the representor needs to prove in order to show that the representee was not induced to</w:t>
      </w:r>
      <w:r>
        <w:rPr>
          <w:spacing w:val="2"/>
          <w:sz w:val="20"/>
        </w:rPr>
        <w:t> </w:t>
      </w:r>
      <w:r>
        <w:rPr>
          <w:sz w:val="20"/>
        </w:rPr>
        <w:t>enter</w:t>
      </w:r>
      <w:r>
        <w:rPr>
          <w:spacing w:val="2"/>
          <w:sz w:val="20"/>
        </w:rPr>
        <w:t> </w:t>
      </w:r>
      <w:r>
        <w:rPr>
          <w:sz w:val="20"/>
        </w:rPr>
        <w:t>into</w:t>
      </w:r>
      <w:r>
        <w:rPr>
          <w:spacing w:val="2"/>
          <w:sz w:val="20"/>
        </w:rPr>
        <w:t> </w:t>
      </w:r>
      <w:r>
        <w:rPr>
          <w:sz w:val="20"/>
        </w:rPr>
        <w:t>a</w:t>
      </w:r>
      <w:r>
        <w:rPr>
          <w:spacing w:val="2"/>
          <w:sz w:val="20"/>
        </w:rPr>
        <w:t> </w:t>
      </w:r>
      <w:r>
        <w:rPr>
          <w:sz w:val="20"/>
        </w:rPr>
        <w:t>contract</w:t>
      </w:r>
      <w:r>
        <w:rPr>
          <w:spacing w:val="2"/>
          <w:sz w:val="20"/>
        </w:rPr>
        <w:t> </w:t>
      </w:r>
      <w:r>
        <w:rPr>
          <w:sz w:val="20"/>
        </w:rPr>
        <w:t>by</w:t>
      </w:r>
      <w:r>
        <w:rPr>
          <w:spacing w:val="2"/>
          <w:sz w:val="20"/>
        </w:rPr>
        <w:t> </w:t>
      </w:r>
      <w:r>
        <w:rPr>
          <w:sz w:val="20"/>
        </w:rPr>
        <w:t>the</w:t>
      </w:r>
      <w:r>
        <w:rPr>
          <w:spacing w:val="2"/>
          <w:sz w:val="20"/>
        </w:rPr>
        <w:t> </w:t>
      </w:r>
      <w:r>
        <w:rPr>
          <w:sz w:val="20"/>
        </w:rPr>
        <w:t>representation.</w:t>
      </w:r>
      <w:r>
        <w:rPr>
          <w:spacing w:val="2"/>
          <w:sz w:val="20"/>
        </w:rPr>
        <w:t> </w:t>
      </w:r>
      <w:r>
        <w:rPr>
          <w:sz w:val="20"/>
        </w:rPr>
        <w:t>On</w:t>
      </w:r>
      <w:r>
        <w:rPr>
          <w:spacing w:val="2"/>
          <w:sz w:val="20"/>
        </w:rPr>
        <w:t> </w:t>
      </w:r>
      <w:r>
        <w:rPr>
          <w:sz w:val="20"/>
        </w:rPr>
        <w:t>the</w:t>
      </w:r>
      <w:r>
        <w:rPr>
          <w:spacing w:val="2"/>
          <w:sz w:val="20"/>
        </w:rPr>
        <w:t> </w:t>
      </w:r>
      <w:r>
        <w:rPr>
          <w:sz w:val="20"/>
        </w:rPr>
        <w:t>latter,</w:t>
      </w:r>
      <w:r>
        <w:rPr>
          <w:spacing w:val="2"/>
          <w:sz w:val="20"/>
        </w:rPr>
        <w:t> </w:t>
      </w:r>
      <w:r>
        <w:rPr>
          <w:sz w:val="20"/>
        </w:rPr>
        <w:t>Hamblen</w:t>
      </w:r>
      <w:r>
        <w:rPr>
          <w:spacing w:val="2"/>
          <w:sz w:val="20"/>
        </w:rPr>
        <w:t> </w:t>
      </w:r>
      <w:r>
        <w:rPr>
          <w:sz w:val="20"/>
        </w:rPr>
        <w:t>J.</w:t>
      </w:r>
      <w:r>
        <w:rPr>
          <w:spacing w:val="2"/>
          <w:sz w:val="20"/>
        </w:rPr>
        <w:t> </w:t>
      </w:r>
      <w:r>
        <w:rPr>
          <w:sz w:val="20"/>
        </w:rPr>
        <w:t>said</w:t>
      </w:r>
      <w:r>
        <w:rPr>
          <w:spacing w:val="2"/>
          <w:sz w:val="20"/>
        </w:rPr>
        <w:t> </w:t>
      </w:r>
      <w:r>
        <w:rPr>
          <w:sz w:val="20"/>
        </w:rPr>
        <w:t>the</w:t>
      </w:r>
      <w:r>
        <w:rPr>
          <w:spacing w:val="2"/>
          <w:sz w:val="20"/>
        </w:rPr>
        <w:t> </w:t>
      </w:r>
      <w:r>
        <w:rPr>
          <w:spacing w:val="-2"/>
          <w:sz w:val="20"/>
        </w:rPr>
        <w:t>correct</w:t>
      </w:r>
    </w:p>
    <w:p>
      <w:pPr>
        <w:spacing w:after="0" w:line="235" w:lineRule="auto"/>
        <w:jc w:val="both"/>
        <w:rPr>
          <w:sz w:val="20"/>
        </w:rPr>
        <w:sectPr>
          <w:type w:val="continuous"/>
          <w:pgSz w:w="11900" w:h="16840"/>
          <w:pgMar w:header="971" w:footer="0" w:top="1160" w:bottom="280" w:left="1275" w:right="1275"/>
        </w:sectPr>
      </w:pPr>
    </w:p>
    <w:p>
      <w:pPr>
        <w:pStyle w:val="BodyText"/>
        <w:spacing w:before="24"/>
      </w:pPr>
    </w:p>
    <w:p>
      <w:pPr>
        <w:spacing w:line="235" w:lineRule="auto" w:before="1"/>
        <w:ind w:left="705" w:right="168" w:firstLine="0"/>
        <w:jc w:val="left"/>
        <w:rPr>
          <w:sz w:val="20"/>
        </w:rPr>
      </w:pPr>
      <w:r>
        <w:rPr>
          <w:sz w:val="20"/>
        </w:rPr>
        <w:t>approach was that in </w:t>
      </w:r>
      <w:r>
        <w:rPr>
          <w:rFonts w:ascii="Arial"/>
          <w:i/>
          <w:sz w:val="20"/>
        </w:rPr>
        <w:t>County Natwest Bank Ltd v Barton, The Times, July 29, 1999</w:t>
      </w:r>
      <w:r>
        <w:rPr>
          <w:sz w:val="20"/>
        </w:rPr>
        <w:t>, see </w:t>
      </w:r>
      <w:r>
        <w:rPr>
          <w:sz w:val="20"/>
        </w:rPr>
        <w:t>above, </w:t>
      </w:r>
      <w:r>
        <w:rPr>
          <w:spacing w:val="-2"/>
          <w:sz w:val="20"/>
        </w:rPr>
        <w:t>para.7-040.</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3728">
            <wp:simplePos x="0" y="0"/>
            <wp:positionH relativeFrom="page">
              <wp:posOffset>1257846</wp:posOffset>
            </wp:positionH>
            <wp:positionV relativeFrom="paragraph">
              <wp:posOffset>160326</wp:posOffset>
            </wp:positionV>
            <wp:extent cx="107988" cy="107988"/>
            <wp:effectExtent l="0" t="0" r="0" b="0"/>
            <wp:wrapNone/>
            <wp:docPr id="98" name="Image 98"/>
            <wp:cNvGraphicFramePr>
              <a:graphicFrameLocks/>
            </wp:cNvGraphicFramePr>
            <a:graphic>
              <a:graphicData uri="http://schemas.openxmlformats.org/drawingml/2006/picture">
                <pic:pic>
                  <pic:nvPicPr>
                    <pic:cNvPr id="98" name="Image 9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38" w:id="440"/>
      <w:bookmarkEnd w:id="440"/>
      <w:r>
        <w:rPr/>
      </w:r>
      <w:hyperlink w:history="true" w:anchor="_bookmark357">
        <w:r>
          <w:rPr>
            <w:color w:val="005DA1"/>
            <w:spacing w:val="-4"/>
            <w:sz w:val="14"/>
            <w:u w:val="single" w:color="005DA1"/>
          </w:rPr>
          <w:t>226</w:t>
        </w:r>
      </w:hyperlink>
      <w:r>
        <w:rPr>
          <w:spacing w:val="-4"/>
          <w:sz w:val="14"/>
        </w:rPr>
        <w:t>.</w:t>
      </w:r>
    </w:p>
    <w:p>
      <w:pPr>
        <w:spacing w:line="235" w:lineRule="auto" w:before="212"/>
        <w:ind w:left="165" w:right="167" w:firstLine="170"/>
        <w:jc w:val="both"/>
        <w:rPr>
          <w:sz w:val="20"/>
        </w:rPr>
      </w:pPr>
      <w:r>
        <w:rPr/>
        <w:br w:type="column"/>
      </w:r>
      <w:r>
        <w:rPr>
          <w:sz w:val="20"/>
        </w:rPr>
        <w:t>It is submitted that this was the question in </w:t>
      </w:r>
      <w:r>
        <w:rPr>
          <w:rFonts w:ascii="Arial"/>
          <w:i/>
          <w:sz w:val="20"/>
        </w:rPr>
        <w:t>Goff v Gauthier (1991) 62 P. &amp; C.R. 388</w:t>
      </w:r>
      <w:r>
        <w:rPr>
          <w:sz w:val="20"/>
        </w:rPr>
        <w:t>, although the court referred to an earlier version of the previous paragraph of this work. It was also the question in </w:t>
      </w:r>
      <w:r>
        <w:rPr>
          <w:rFonts w:ascii="Arial"/>
          <w:i/>
          <w:sz w:val="20"/>
        </w:rPr>
        <w:t>Museprime Properties Ltd v Adhill Properties Ltd [1990] 2 E.G.L.R. </w:t>
      </w:r>
      <w:r>
        <w:rPr>
          <w:rFonts w:ascii="Arial"/>
          <w:i/>
          <w:sz w:val="20"/>
        </w:rPr>
        <w:t>196</w:t>
      </w:r>
      <w:r>
        <w:rPr>
          <w:rFonts w:ascii="Arial"/>
          <w:i/>
          <w:spacing w:val="40"/>
          <w:sz w:val="20"/>
        </w:rPr>
        <w:t> </w:t>
      </w:r>
      <w:r>
        <w:rPr>
          <w:sz w:val="20"/>
        </w:rPr>
        <w:t>(representee did not take opportunity to check accuracy.) cf. Peel, </w:t>
      </w:r>
      <w:r>
        <w:rPr>
          <w:rFonts w:ascii="Arial"/>
          <w:i/>
          <w:sz w:val="20"/>
        </w:rPr>
        <w:t>Treitel on The Law of Contract</w:t>
      </w:r>
      <w:r>
        <w:rPr>
          <w:sz w:val="20"/>
        </w:rPr>
        <w:t>, 14th edn (2015), para.9-020.</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4"/>
      </w:pPr>
    </w:p>
    <w:p>
      <w:pPr>
        <w:tabs>
          <w:tab w:pos="705" w:val="left" w:leader="none"/>
        </w:tabs>
        <w:spacing w:before="0"/>
        <w:ind w:left="165" w:right="0" w:firstLine="0"/>
        <w:jc w:val="left"/>
        <w:rPr>
          <w:sz w:val="20"/>
        </w:rPr>
      </w:pPr>
      <w:bookmarkStart w:name="_bookmark439" w:id="441"/>
      <w:bookmarkEnd w:id="441"/>
      <w:r>
        <w:rPr/>
      </w:r>
      <w:hyperlink w:history="true" w:anchor="_bookmark358">
        <w:r>
          <w:rPr>
            <w:color w:val="005DA1"/>
            <w:spacing w:val="-4"/>
            <w:position w:val="5"/>
            <w:sz w:val="14"/>
            <w:u w:val="single" w:color="005DA1"/>
          </w:rPr>
          <w:t>227</w:t>
        </w:r>
      </w:hyperlink>
      <w:r>
        <w:rPr>
          <w:spacing w:val="-4"/>
          <w:position w:val="5"/>
          <w:sz w:val="14"/>
        </w:rPr>
        <w:t>.</w:t>
      </w:r>
      <w:r>
        <w:rPr>
          <w:position w:val="5"/>
          <w:sz w:val="14"/>
        </w:rPr>
        <w:tab/>
      </w:r>
      <w:r>
        <w:rPr>
          <w:rFonts w:ascii="Arial"/>
          <w:i/>
          <w:sz w:val="20"/>
        </w:rPr>
        <w:t>Goff v Gauthier (1991) 62 P. &amp; C.R. </w:t>
      </w:r>
      <w:r>
        <w:rPr>
          <w:rFonts w:ascii="Arial"/>
          <w:i/>
          <w:spacing w:val="-4"/>
          <w:sz w:val="20"/>
        </w:rPr>
        <w:t>388</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440" w:id="442"/>
      <w:bookmarkEnd w:id="442"/>
      <w:r>
        <w:rPr/>
      </w:r>
      <w:hyperlink w:history="true" w:anchor="_bookmark359">
        <w:r>
          <w:rPr>
            <w:color w:val="005DA1"/>
            <w:spacing w:val="-4"/>
            <w:position w:val="5"/>
            <w:sz w:val="14"/>
            <w:u w:val="single" w:color="005DA1"/>
          </w:rPr>
          <w:t>228</w:t>
        </w:r>
      </w:hyperlink>
      <w:r>
        <w:rPr>
          <w:spacing w:val="-4"/>
          <w:position w:val="5"/>
          <w:sz w:val="14"/>
        </w:rPr>
        <w:t>.</w:t>
      </w:r>
      <w:r>
        <w:rPr>
          <w:position w:val="5"/>
          <w:sz w:val="14"/>
        </w:rPr>
        <w:tab/>
      </w:r>
      <w:r>
        <w:rPr>
          <w:rFonts w:ascii="Arial"/>
          <w:i/>
          <w:sz w:val="20"/>
        </w:rPr>
        <w:t>Dyer</w:t>
      </w:r>
      <w:r>
        <w:rPr>
          <w:rFonts w:ascii="Arial"/>
          <w:i/>
          <w:spacing w:val="11"/>
          <w:sz w:val="20"/>
        </w:rPr>
        <w:t> </w:t>
      </w:r>
      <w:r>
        <w:rPr>
          <w:rFonts w:ascii="Arial"/>
          <w:i/>
          <w:sz w:val="20"/>
        </w:rPr>
        <w:t>v</w:t>
      </w:r>
      <w:r>
        <w:rPr>
          <w:rFonts w:ascii="Arial"/>
          <w:i/>
          <w:spacing w:val="14"/>
          <w:sz w:val="20"/>
        </w:rPr>
        <w:t> </w:t>
      </w:r>
      <w:r>
        <w:rPr>
          <w:rFonts w:ascii="Arial"/>
          <w:i/>
          <w:sz w:val="20"/>
        </w:rPr>
        <w:t>Hargrave</w:t>
      </w:r>
      <w:r>
        <w:rPr>
          <w:rFonts w:ascii="Arial"/>
          <w:i/>
          <w:spacing w:val="14"/>
          <w:sz w:val="20"/>
        </w:rPr>
        <w:t> </w:t>
      </w:r>
      <w:r>
        <w:rPr>
          <w:rFonts w:ascii="Arial"/>
          <w:i/>
          <w:sz w:val="20"/>
        </w:rPr>
        <w:t>(1805)</w:t>
      </w:r>
      <w:r>
        <w:rPr>
          <w:rFonts w:ascii="Arial"/>
          <w:i/>
          <w:spacing w:val="14"/>
          <w:sz w:val="20"/>
        </w:rPr>
        <w:t> </w:t>
      </w:r>
      <w:r>
        <w:rPr>
          <w:rFonts w:ascii="Arial"/>
          <w:i/>
          <w:sz w:val="20"/>
        </w:rPr>
        <w:t>10</w:t>
      </w:r>
      <w:r>
        <w:rPr>
          <w:rFonts w:ascii="Arial"/>
          <w:i/>
          <w:spacing w:val="14"/>
          <w:sz w:val="20"/>
        </w:rPr>
        <w:t> </w:t>
      </w:r>
      <w:r>
        <w:rPr>
          <w:rFonts w:ascii="Arial"/>
          <w:i/>
          <w:sz w:val="20"/>
        </w:rPr>
        <w:t>Ves.</w:t>
      </w:r>
      <w:r>
        <w:rPr>
          <w:rFonts w:ascii="Arial"/>
          <w:i/>
          <w:spacing w:val="14"/>
          <w:sz w:val="20"/>
        </w:rPr>
        <w:t> </w:t>
      </w:r>
      <w:r>
        <w:rPr>
          <w:rFonts w:ascii="Arial"/>
          <w:i/>
          <w:sz w:val="20"/>
        </w:rPr>
        <w:t>505</w:t>
      </w:r>
      <w:r>
        <w:rPr>
          <w:sz w:val="20"/>
        </w:rPr>
        <w:t>;</w:t>
      </w:r>
      <w:r>
        <w:rPr>
          <w:spacing w:val="14"/>
          <w:sz w:val="20"/>
        </w:rPr>
        <w:t> </w:t>
      </w:r>
      <w:r>
        <w:rPr>
          <w:rFonts w:ascii="Arial"/>
          <w:i/>
          <w:sz w:val="20"/>
        </w:rPr>
        <w:t>Dobell</w:t>
      </w:r>
      <w:r>
        <w:rPr>
          <w:rFonts w:ascii="Arial"/>
          <w:i/>
          <w:spacing w:val="14"/>
          <w:sz w:val="20"/>
        </w:rPr>
        <w:t> </w:t>
      </w:r>
      <w:r>
        <w:rPr>
          <w:rFonts w:ascii="Arial"/>
          <w:i/>
          <w:sz w:val="20"/>
        </w:rPr>
        <w:t>v</w:t>
      </w:r>
      <w:r>
        <w:rPr>
          <w:rFonts w:ascii="Arial"/>
          <w:i/>
          <w:spacing w:val="14"/>
          <w:sz w:val="20"/>
        </w:rPr>
        <w:t> </w:t>
      </w:r>
      <w:r>
        <w:rPr>
          <w:rFonts w:ascii="Arial"/>
          <w:i/>
          <w:sz w:val="20"/>
        </w:rPr>
        <w:t>Stevens</w:t>
      </w:r>
      <w:r>
        <w:rPr>
          <w:rFonts w:ascii="Arial"/>
          <w:i/>
          <w:spacing w:val="13"/>
          <w:sz w:val="20"/>
        </w:rPr>
        <w:t> </w:t>
      </w:r>
      <w:r>
        <w:rPr>
          <w:rFonts w:ascii="Arial"/>
          <w:i/>
          <w:sz w:val="20"/>
        </w:rPr>
        <w:t>(1825)</w:t>
      </w:r>
      <w:r>
        <w:rPr>
          <w:rFonts w:ascii="Arial"/>
          <w:i/>
          <w:spacing w:val="14"/>
          <w:sz w:val="20"/>
        </w:rPr>
        <w:t> </w:t>
      </w:r>
      <w:r>
        <w:rPr>
          <w:rFonts w:ascii="Arial"/>
          <w:i/>
          <w:sz w:val="20"/>
        </w:rPr>
        <w:t>3</w:t>
      </w:r>
      <w:r>
        <w:rPr>
          <w:rFonts w:ascii="Arial"/>
          <w:i/>
          <w:spacing w:val="14"/>
          <w:sz w:val="20"/>
        </w:rPr>
        <w:t> </w:t>
      </w:r>
      <w:r>
        <w:rPr>
          <w:rFonts w:ascii="Arial"/>
          <w:i/>
          <w:sz w:val="20"/>
        </w:rPr>
        <w:t>B.</w:t>
      </w:r>
      <w:r>
        <w:rPr>
          <w:rFonts w:ascii="Arial"/>
          <w:i/>
          <w:spacing w:val="14"/>
          <w:sz w:val="20"/>
        </w:rPr>
        <w:t> </w:t>
      </w:r>
      <w:r>
        <w:rPr>
          <w:rFonts w:ascii="Arial"/>
          <w:i/>
          <w:sz w:val="20"/>
        </w:rPr>
        <w:t>&amp;</w:t>
      </w:r>
      <w:r>
        <w:rPr>
          <w:rFonts w:ascii="Arial"/>
          <w:i/>
          <w:spacing w:val="14"/>
          <w:sz w:val="20"/>
        </w:rPr>
        <w:t> </w:t>
      </w:r>
      <w:r>
        <w:rPr>
          <w:rFonts w:ascii="Arial"/>
          <w:i/>
          <w:sz w:val="20"/>
        </w:rPr>
        <w:t>C.</w:t>
      </w:r>
      <w:r>
        <w:rPr>
          <w:rFonts w:ascii="Arial"/>
          <w:i/>
          <w:spacing w:val="14"/>
          <w:sz w:val="20"/>
        </w:rPr>
        <w:t> </w:t>
      </w:r>
      <w:r>
        <w:rPr>
          <w:rFonts w:ascii="Arial"/>
          <w:i/>
          <w:sz w:val="20"/>
        </w:rPr>
        <w:t>623</w:t>
      </w:r>
      <w:r>
        <w:rPr>
          <w:sz w:val="20"/>
        </w:rPr>
        <w:t>;</w:t>
      </w:r>
      <w:r>
        <w:rPr>
          <w:spacing w:val="14"/>
          <w:sz w:val="20"/>
        </w:rPr>
        <w:t> </w:t>
      </w:r>
      <w:r>
        <w:rPr>
          <w:rFonts w:ascii="Arial"/>
          <w:i/>
          <w:sz w:val="20"/>
        </w:rPr>
        <w:t>Reynell</w:t>
      </w:r>
      <w:r>
        <w:rPr>
          <w:rFonts w:ascii="Arial"/>
          <w:i/>
          <w:spacing w:val="14"/>
          <w:sz w:val="20"/>
        </w:rPr>
        <w:t> </w:t>
      </w:r>
      <w:r>
        <w:rPr>
          <w:rFonts w:ascii="Arial"/>
          <w:i/>
          <w:sz w:val="20"/>
        </w:rPr>
        <w:t>v</w:t>
      </w:r>
      <w:r>
        <w:rPr>
          <w:rFonts w:ascii="Arial"/>
          <w:i/>
          <w:spacing w:val="14"/>
          <w:sz w:val="20"/>
        </w:rPr>
        <w:t> </w:t>
      </w:r>
      <w:r>
        <w:rPr>
          <w:rFonts w:ascii="Arial"/>
          <w:i/>
          <w:spacing w:val="-2"/>
          <w:sz w:val="20"/>
        </w:rPr>
        <w:t>Sprye</w:t>
      </w:r>
    </w:p>
    <w:p>
      <w:pPr>
        <w:spacing w:line="225" w:lineRule="exact" w:before="0"/>
        <w:ind w:left="705" w:right="0" w:firstLine="0"/>
        <w:jc w:val="left"/>
        <w:rPr>
          <w:sz w:val="20"/>
        </w:rPr>
      </w:pPr>
      <w:r>
        <w:rPr>
          <w:rFonts w:ascii="Arial"/>
          <w:i/>
          <w:sz w:val="20"/>
        </w:rPr>
        <w:t>(1852)</w:t>
      </w:r>
      <w:r>
        <w:rPr>
          <w:rFonts w:ascii="Arial"/>
          <w:i/>
          <w:spacing w:val="36"/>
          <w:sz w:val="20"/>
        </w:rPr>
        <w:t> </w:t>
      </w:r>
      <w:r>
        <w:rPr>
          <w:rFonts w:ascii="Arial"/>
          <w:i/>
          <w:sz w:val="20"/>
        </w:rPr>
        <w:t>1</w:t>
      </w:r>
      <w:r>
        <w:rPr>
          <w:rFonts w:ascii="Arial"/>
          <w:i/>
          <w:spacing w:val="37"/>
          <w:sz w:val="20"/>
        </w:rPr>
        <w:t> </w:t>
      </w:r>
      <w:r>
        <w:rPr>
          <w:rFonts w:ascii="Arial"/>
          <w:i/>
          <w:sz w:val="20"/>
        </w:rPr>
        <w:t>De</w:t>
      </w:r>
      <w:r>
        <w:rPr>
          <w:rFonts w:ascii="Arial"/>
          <w:i/>
          <w:spacing w:val="37"/>
          <w:sz w:val="20"/>
        </w:rPr>
        <w:t> </w:t>
      </w:r>
      <w:r>
        <w:rPr>
          <w:rFonts w:ascii="Arial"/>
          <w:i/>
          <w:sz w:val="20"/>
        </w:rPr>
        <w:t>G.M.</w:t>
      </w:r>
      <w:r>
        <w:rPr>
          <w:rFonts w:ascii="Arial"/>
          <w:i/>
          <w:spacing w:val="37"/>
          <w:sz w:val="20"/>
        </w:rPr>
        <w:t> </w:t>
      </w:r>
      <w:r>
        <w:rPr>
          <w:rFonts w:ascii="Arial"/>
          <w:i/>
          <w:sz w:val="20"/>
        </w:rPr>
        <w:t>&amp;</w:t>
      </w:r>
      <w:r>
        <w:rPr>
          <w:rFonts w:ascii="Arial"/>
          <w:i/>
          <w:spacing w:val="37"/>
          <w:sz w:val="20"/>
        </w:rPr>
        <w:t> </w:t>
      </w:r>
      <w:r>
        <w:rPr>
          <w:rFonts w:ascii="Arial"/>
          <w:i/>
          <w:sz w:val="20"/>
        </w:rPr>
        <w:t>G.</w:t>
      </w:r>
      <w:r>
        <w:rPr>
          <w:rFonts w:ascii="Arial"/>
          <w:i/>
          <w:spacing w:val="37"/>
          <w:sz w:val="20"/>
        </w:rPr>
        <w:t> </w:t>
      </w:r>
      <w:r>
        <w:rPr>
          <w:rFonts w:ascii="Arial"/>
          <w:i/>
          <w:sz w:val="20"/>
        </w:rPr>
        <w:t>660</w:t>
      </w:r>
      <w:r>
        <w:rPr>
          <w:sz w:val="20"/>
        </w:rPr>
        <w:t>;</w:t>
      </w:r>
      <w:r>
        <w:rPr>
          <w:spacing w:val="37"/>
          <w:sz w:val="20"/>
        </w:rPr>
        <w:t> </w:t>
      </w:r>
      <w:r>
        <w:rPr>
          <w:rFonts w:ascii="Arial"/>
          <w:i/>
          <w:sz w:val="20"/>
        </w:rPr>
        <w:t>Central</w:t>
      </w:r>
      <w:r>
        <w:rPr>
          <w:rFonts w:ascii="Arial"/>
          <w:i/>
          <w:spacing w:val="37"/>
          <w:sz w:val="20"/>
        </w:rPr>
        <w:t> </w:t>
      </w:r>
      <w:r>
        <w:rPr>
          <w:rFonts w:ascii="Arial"/>
          <w:i/>
          <w:sz w:val="20"/>
        </w:rPr>
        <w:t>Ry</w:t>
      </w:r>
      <w:r>
        <w:rPr>
          <w:rFonts w:ascii="Arial"/>
          <w:i/>
          <w:spacing w:val="37"/>
          <w:sz w:val="20"/>
        </w:rPr>
        <w:t> </w:t>
      </w:r>
      <w:r>
        <w:rPr>
          <w:rFonts w:ascii="Arial"/>
          <w:i/>
          <w:sz w:val="20"/>
        </w:rPr>
        <w:t>of</w:t>
      </w:r>
      <w:r>
        <w:rPr>
          <w:rFonts w:ascii="Arial"/>
          <w:i/>
          <w:spacing w:val="37"/>
          <w:sz w:val="20"/>
        </w:rPr>
        <w:t> </w:t>
      </w:r>
      <w:r>
        <w:rPr>
          <w:rFonts w:ascii="Arial"/>
          <w:i/>
          <w:sz w:val="20"/>
        </w:rPr>
        <w:t>Venezuela</w:t>
      </w:r>
      <w:r>
        <w:rPr>
          <w:rFonts w:ascii="Arial"/>
          <w:i/>
          <w:spacing w:val="37"/>
          <w:sz w:val="20"/>
        </w:rPr>
        <w:t> </w:t>
      </w:r>
      <w:r>
        <w:rPr>
          <w:rFonts w:ascii="Arial"/>
          <w:i/>
          <w:sz w:val="20"/>
        </w:rPr>
        <w:t>v</w:t>
      </w:r>
      <w:r>
        <w:rPr>
          <w:rFonts w:ascii="Arial"/>
          <w:i/>
          <w:spacing w:val="37"/>
          <w:sz w:val="20"/>
        </w:rPr>
        <w:t> </w:t>
      </w:r>
      <w:r>
        <w:rPr>
          <w:rFonts w:ascii="Arial"/>
          <w:i/>
          <w:sz w:val="20"/>
        </w:rPr>
        <w:t>Kisch</w:t>
      </w:r>
      <w:r>
        <w:rPr>
          <w:rFonts w:ascii="Arial"/>
          <w:i/>
          <w:spacing w:val="37"/>
          <w:sz w:val="20"/>
        </w:rPr>
        <w:t> </w:t>
      </w:r>
      <w:r>
        <w:rPr>
          <w:rFonts w:ascii="Arial"/>
          <w:i/>
          <w:sz w:val="20"/>
        </w:rPr>
        <w:t>(1867)</w:t>
      </w:r>
      <w:r>
        <w:rPr>
          <w:rFonts w:ascii="Arial"/>
          <w:i/>
          <w:spacing w:val="37"/>
          <w:sz w:val="20"/>
        </w:rPr>
        <w:t> </w:t>
      </w:r>
      <w:r>
        <w:rPr>
          <w:rFonts w:ascii="Arial"/>
          <w:i/>
          <w:sz w:val="20"/>
        </w:rPr>
        <w:t>L.R.</w:t>
      </w:r>
      <w:r>
        <w:rPr>
          <w:rFonts w:ascii="Arial"/>
          <w:i/>
          <w:spacing w:val="37"/>
          <w:sz w:val="20"/>
        </w:rPr>
        <w:t> </w:t>
      </w:r>
      <w:r>
        <w:rPr>
          <w:rFonts w:ascii="Arial"/>
          <w:i/>
          <w:sz w:val="20"/>
        </w:rPr>
        <w:t>2</w:t>
      </w:r>
      <w:r>
        <w:rPr>
          <w:rFonts w:ascii="Arial"/>
          <w:i/>
          <w:spacing w:val="37"/>
          <w:sz w:val="20"/>
        </w:rPr>
        <w:t> </w:t>
      </w:r>
      <w:r>
        <w:rPr>
          <w:rFonts w:ascii="Arial"/>
          <w:i/>
          <w:sz w:val="20"/>
        </w:rPr>
        <w:t>H.L.</w:t>
      </w:r>
      <w:r>
        <w:rPr>
          <w:rFonts w:ascii="Arial"/>
          <w:i/>
          <w:spacing w:val="37"/>
          <w:sz w:val="20"/>
        </w:rPr>
        <w:t> </w:t>
      </w:r>
      <w:r>
        <w:rPr>
          <w:rFonts w:ascii="Arial"/>
          <w:i/>
          <w:sz w:val="20"/>
        </w:rPr>
        <w:t>99,</w:t>
      </w:r>
      <w:r>
        <w:rPr>
          <w:rFonts w:ascii="Arial"/>
          <w:i/>
          <w:spacing w:val="37"/>
          <w:sz w:val="20"/>
        </w:rPr>
        <w:t> </w:t>
      </w:r>
      <w:r>
        <w:rPr>
          <w:rFonts w:ascii="Arial"/>
          <w:i/>
          <w:spacing w:val="-4"/>
          <w:sz w:val="20"/>
        </w:rPr>
        <w:t>120</w:t>
      </w:r>
      <w:r>
        <w:rPr>
          <w:spacing w:val="-4"/>
          <w:sz w:val="20"/>
        </w:rPr>
        <w:t>;</w:t>
      </w:r>
    </w:p>
    <w:p>
      <w:pPr>
        <w:spacing w:line="225" w:lineRule="exact" w:before="0"/>
        <w:ind w:left="705" w:right="0" w:firstLine="0"/>
        <w:jc w:val="left"/>
        <w:rPr>
          <w:rFonts w:ascii="Arial"/>
          <w:i/>
          <w:sz w:val="20"/>
        </w:rPr>
      </w:pPr>
      <w:r>
        <w:rPr>
          <w:rFonts w:ascii="Arial"/>
          <w:i/>
          <w:sz w:val="20"/>
        </w:rPr>
        <w:t>Redgrave</w:t>
      </w:r>
      <w:r>
        <w:rPr>
          <w:rFonts w:ascii="Arial"/>
          <w:i/>
          <w:spacing w:val="24"/>
          <w:sz w:val="20"/>
        </w:rPr>
        <w:t> </w:t>
      </w:r>
      <w:r>
        <w:rPr>
          <w:rFonts w:ascii="Arial"/>
          <w:i/>
          <w:sz w:val="20"/>
        </w:rPr>
        <w:t>v</w:t>
      </w:r>
      <w:r>
        <w:rPr>
          <w:rFonts w:ascii="Arial"/>
          <w:i/>
          <w:spacing w:val="25"/>
          <w:sz w:val="20"/>
        </w:rPr>
        <w:t> </w:t>
      </w:r>
      <w:r>
        <w:rPr>
          <w:rFonts w:ascii="Arial"/>
          <w:i/>
          <w:sz w:val="20"/>
        </w:rPr>
        <w:t>Hurd</w:t>
      </w:r>
      <w:r>
        <w:rPr>
          <w:rFonts w:ascii="Arial"/>
          <w:i/>
          <w:spacing w:val="25"/>
          <w:sz w:val="20"/>
        </w:rPr>
        <w:t> </w:t>
      </w:r>
      <w:r>
        <w:rPr>
          <w:rFonts w:ascii="Arial"/>
          <w:i/>
          <w:sz w:val="20"/>
        </w:rPr>
        <w:t>(1881)</w:t>
      </w:r>
      <w:r>
        <w:rPr>
          <w:rFonts w:ascii="Arial"/>
          <w:i/>
          <w:spacing w:val="25"/>
          <w:sz w:val="20"/>
        </w:rPr>
        <w:t> </w:t>
      </w:r>
      <w:r>
        <w:rPr>
          <w:rFonts w:ascii="Arial"/>
          <w:i/>
          <w:sz w:val="20"/>
        </w:rPr>
        <w:t>20</w:t>
      </w:r>
      <w:r>
        <w:rPr>
          <w:rFonts w:ascii="Arial"/>
          <w:i/>
          <w:spacing w:val="25"/>
          <w:sz w:val="20"/>
        </w:rPr>
        <w:t> </w:t>
      </w:r>
      <w:r>
        <w:rPr>
          <w:rFonts w:ascii="Arial"/>
          <w:i/>
          <w:sz w:val="20"/>
        </w:rPr>
        <w:t>Ch.</w:t>
      </w:r>
      <w:r>
        <w:rPr>
          <w:rFonts w:ascii="Arial"/>
          <w:i/>
          <w:spacing w:val="25"/>
          <w:sz w:val="20"/>
        </w:rPr>
        <w:t> </w:t>
      </w:r>
      <w:r>
        <w:rPr>
          <w:rFonts w:ascii="Arial"/>
          <w:i/>
          <w:sz w:val="20"/>
        </w:rPr>
        <w:t>D.</w:t>
      </w:r>
      <w:r>
        <w:rPr>
          <w:rFonts w:ascii="Arial"/>
          <w:i/>
          <w:spacing w:val="25"/>
          <w:sz w:val="20"/>
        </w:rPr>
        <w:t> </w:t>
      </w:r>
      <w:r>
        <w:rPr>
          <w:rFonts w:ascii="Arial"/>
          <w:i/>
          <w:sz w:val="20"/>
        </w:rPr>
        <w:t>1</w:t>
      </w:r>
      <w:r>
        <w:rPr>
          <w:sz w:val="20"/>
        </w:rPr>
        <w:t>;</w:t>
      </w:r>
      <w:r>
        <w:rPr>
          <w:spacing w:val="25"/>
          <w:sz w:val="20"/>
        </w:rPr>
        <w:t> </w:t>
      </w:r>
      <w:r>
        <w:rPr>
          <w:rFonts w:ascii="Arial"/>
          <w:i/>
          <w:sz w:val="20"/>
        </w:rPr>
        <w:t>Nocton</w:t>
      </w:r>
      <w:r>
        <w:rPr>
          <w:rFonts w:ascii="Arial"/>
          <w:i/>
          <w:spacing w:val="24"/>
          <w:sz w:val="20"/>
        </w:rPr>
        <w:t> </w:t>
      </w:r>
      <w:r>
        <w:rPr>
          <w:rFonts w:ascii="Arial"/>
          <w:i/>
          <w:sz w:val="20"/>
        </w:rPr>
        <w:t>v</w:t>
      </w:r>
      <w:r>
        <w:rPr>
          <w:rFonts w:ascii="Arial"/>
          <w:i/>
          <w:spacing w:val="25"/>
          <w:sz w:val="20"/>
        </w:rPr>
        <w:t> </w:t>
      </w:r>
      <w:r>
        <w:rPr>
          <w:rFonts w:ascii="Arial"/>
          <w:i/>
          <w:sz w:val="20"/>
        </w:rPr>
        <w:t>Ashburton</w:t>
      </w:r>
      <w:r>
        <w:rPr>
          <w:rFonts w:ascii="Arial"/>
          <w:i/>
          <w:spacing w:val="25"/>
          <w:sz w:val="20"/>
        </w:rPr>
        <w:t> </w:t>
      </w:r>
      <w:r>
        <w:rPr>
          <w:rFonts w:ascii="Arial"/>
          <w:i/>
          <w:sz w:val="20"/>
        </w:rPr>
        <w:t>[1914]</w:t>
      </w:r>
      <w:r>
        <w:rPr>
          <w:rFonts w:ascii="Arial"/>
          <w:i/>
          <w:spacing w:val="25"/>
          <w:sz w:val="20"/>
        </w:rPr>
        <w:t> </w:t>
      </w:r>
      <w:r>
        <w:rPr>
          <w:rFonts w:ascii="Arial"/>
          <w:i/>
          <w:sz w:val="20"/>
        </w:rPr>
        <w:t>A.C.</w:t>
      </w:r>
      <w:r>
        <w:rPr>
          <w:rFonts w:ascii="Arial"/>
          <w:i/>
          <w:spacing w:val="25"/>
          <w:sz w:val="20"/>
        </w:rPr>
        <w:t> </w:t>
      </w:r>
      <w:r>
        <w:rPr>
          <w:rFonts w:ascii="Arial"/>
          <w:i/>
          <w:sz w:val="20"/>
        </w:rPr>
        <w:t>932,</w:t>
      </w:r>
      <w:r>
        <w:rPr>
          <w:rFonts w:ascii="Arial"/>
          <w:i/>
          <w:spacing w:val="25"/>
          <w:sz w:val="20"/>
        </w:rPr>
        <w:t> </w:t>
      </w:r>
      <w:r>
        <w:rPr>
          <w:rFonts w:ascii="Arial"/>
          <w:i/>
          <w:sz w:val="20"/>
        </w:rPr>
        <w:t>962</w:t>
      </w:r>
      <w:r>
        <w:rPr>
          <w:sz w:val="20"/>
        </w:rPr>
        <w:t>;</w:t>
      </w:r>
      <w:r>
        <w:rPr>
          <w:spacing w:val="25"/>
          <w:sz w:val="20"/>
        </w:rPr>
        <w:t> </w:t>
      </w:r>
      <w:r>
        <w:rPr>
          <w:rFonts w:ascii="Arial"/>
          <w:i/>
          <w:sz w:val="20"/>
        </w:rPr>
        <w:t>Laurence</w:t>
      </w:r>
      <w:r>
        <w:rPr>
          <w:rFonts w:ascii="Arial"/>
          <w:i/>
          <w:spacing w:val="25"/>
          <w:sz w:val="20"/>
        </w:rPr>
        <w:t> </w:t>
      </w:r>
      <w:r>
        <w:rPr>
          <w:rFonts w:ascii="Arial"/>
          <w:i/>
          <w:spacing w:val="-10"/>
          <w:sz w:val="20"/>
        </w:rPr>
        <w:t>v</w:t>
      </w:r>
    </w:p>
    <w:p>
      <w:pPr>
        <w:spacing w:line="227" w:lineRule="exact" w:before="0"/>
        <w:ind w:left="705" w:right="0" w:firstLine="0"/>
        <w:jc w:val="left"/>
        <w:rPr>
          <w:sz w:val="20"/>
        </w:rPr>
      </w:pPr>
      <w:r>
        <w:rPr>
          <w:rFonts w:ascii="Arial"/>
          <w:i/>
          <w:sz w:val="20"/>
        </w:rPr>
        <w:t>Lexcourt Holdings Ltd [1977] 1 W.L.R. </w:t>
      </w:r>
      <w:r>
        <w:rPr>
          <w:rFonts w:ascii="Arial"/>
          <w:i/>
          <w:spacing w:val="-2"/>
          <w:sz w:val="20"/>
        </w:rPr>
        <w:t>1128</w:t>
      </w:r>
      <w:r>
        <w:rPr>
          <w:spacing w:val="-2"/>
          <w:sz w:val="20"/>
        </w:rPr>
        <w:t>.</w:t>
      </w:r>
    </w:p>
    <w:p>
      <w:pPr>
        <w:pStyle w:val="BodyText"/>
        <w:spacing w:before="9"/>
      </w:pPr>
    </w:p>
    <w:p>
      <w:pPr>
        <w:spacing w:line="235" w:lineRule="auto" w:before="0"/>
        <w:ind w:left="705" w:right="167" w:hanging="541"/>
        <w:jc w:val="both"/>
        <w:rPr>
          <w:sz w:val="20"/>
        </w:rPr>
      </w:pPr>
      <w:bookmarkStart w:name="_bookmark441" w:id="443"/>
      <w:bookmarkEnd w:id="443"/>
      <w:r>
        <w:rPr/>
      </w:r>
      <w:hyperlink w:history="true" w:anchor="_bookmark360">
        <w:r>
          <w:rPr>
            <w:color w:val="005DA1"/>
            <w:position w:val="5"/>
            <w:sz w:val="14"/>
            <w:u w:val="single" w:color="005DA1"/>
          </w:rPr>
          <w:t>229</w:t>
        </w:r>
      </w:hyperlink>
      <w:r>
        <w:rPr>
          <w:position w:val="5"/>
          <w:sz w:val="14"/>
        </w:rPr>
        <w:t>.</w:t>
      </w:r>
      <w:r>
        <w:rPr>
          <w:spacing w:val="40"/>
          <w:position w:val="5"/>
          <w:sz w:val="14"/>
        </w:rPr>
        <w:t>  </w:t>
      </w:r>
      <w:r>
        <w:rPr>
          <w:rFonts w:ascii="Arial" w:hAnsi="Arial"/>
          <w:i/>
          <w:sz w:val="20"/>
        </w:rPr>
        <w:t>Peekay Intermark Ltd v Australia &amp; New Zealand Banking Group Ltd [2006] EWCA Civ </w:t>
      </w:r>
      <w:r>
        <w:rPr>
          <w:rFonts w:ascii="Arial" w:hAnsi="Arial"/>
          <w:i/>
          <w:sz w:val="20"/>
        </w:rPr>
        <w:t>386, [2006] 2 Lloyd’s Rep. 511</w:t>
      </w:r>
      <w:r>
        <w:rPr>
          <w:sz w:val="20"/>
        </w:rPr>
        <w:t>. However, the misrepresentee must still prove inducement. If the misrepresentation was in very “rough and ready terms”, while the contract was a detailed financial instrument which the investor would be expected to read in order to discover the</w:t>
      </w:r>
      <w:r>
        <w:rPr>
          <w:spacing w:val="40"/>
          <w:sz w:val="20"/>
        </w:rPr>
        <w:t> </w:t>
      </w:r>
      <w:r>
        <w:rPr>
          <w:sz w:val="20"/>
        </w:rPr>
        <w:t>details which he claimed were of importance to him, but the investor signed the contract without reading it, he may be held not to have relied on the misrepresentation. See similarly </w:t>
      </w:r>
      <w:r>
        <w:rPr>
          <w:rFonts w:ascii="Arial" w:hAnsi="Arial"/>
          <w:i/>
          <w:sz w:val="20"/>
        </w:rPr>
        <w:t>Reinhard v Ondra LLP [2015] EWHC 1869 (Ch) </w:t>
      </w:r>
      <w:r>
        <w:rPr>
          <w:sz w:val="20"/>
        </w:rPr>
        <w:t>at [112]–[118].</w:t>
      </w:r>
    </w:p>
    <w:p>
      <w:pPr>
        <w:pStyle w:val="BodyText"/>
        <w:spacing w:before="7"/>
      </w:pPr>
    </w:p>
    <w:p>
      <w:pPr>
        <w:tabs>
          <w:tab w:pos="705" w:val="left" w:leader="none"/>
        </w:tabs>
        <w:spacing w:line="235" w:lineRule="auto" w:before="0"/>
        <w:ind w:left="705" w:right="168" w:hanging="541"/>
        <w:jc w:val="left"/>
        <w:rPr>
          <w:sz w:val="20"/>
        </w:rPr>
      </w:pPr>
      <w:bookmarkStart w:name="_bookmark442" w:id="444"/>
      <w:bookmarkEnd w:id="444"/>
      <w:r>
        <w:rPr/>
      </w:r>
      <w:hyperlink w:history="true" w:anchor="_bookmark361">
        <w:r>
          <w:rPr>
            <w:color w:val="005DA1"/>
            <w:spacing w:val="-4"/>
            <w:position w:val="5"/>
            <w:sz w:val="14"/>
            <w:u w:val="single" w:color="005DA1"/>
          </w:rPr>
          <w:t>230</w:t>
        </w:r>
      </w:hyperlink>
      <w:r>
        <w:rPr>
          <w:spacing w:val="-4"/>
          <w:position w:val="5"/>
          <w:sz w:val="14"/>
        </w:rPr>
        <w:t>.</w:t>
      </w:r>
      <w:r>
        <w:rPr>
          <w:position w:val="5"/>
          <w:sz w:val="14"/>
        </w:rPr>
        <w:tab/>
      </w:r>
      <w:r>
        <w:rPr>
          <w:rFonts w:ascii="Arial" w:hAnsi="Arial"/>
          <w:i/>
          <w:sz w:val="20"/>
        </w:rPr>
        <w:t>[2006]</w:t>
      </w:r>
      <w:r>
        <w:rPr>
          <w:rFonts w:ascii="Arial" w:hAnsi="Arial"/>
          <w:i/>
          <w:spacing w:val="40"/>
          <w:sz w:val="20"/>
        </w:rPr>
        <w:t> </w:t>
      </w:r>
      <w:r>
        <w:rPr>
          <w:rFonts w:ascii="Arial" w:hAnsi="Arial"/>
          <w:i/>
          <w:sz w:val="20"/>
        </w:rPr>
        <w:t>EWCA</w:t>
      </w:r>
      <w:r>
        <w:rPr>
          <w:rFonts w:ascii="Arial" w:hAnsi="Arial"/>
          <w:i/>
          <w:spacing w:val="40"/>
          <w:sz w:val="20"/>
        </w:rPr>
        <w:t> </w:t>
      </w:r>
      <w:r>
        <w:rPr>
          <w:rFonts w:ascii="Arial" w:hAnsi="Arial"/>
          <w:i/>
          <w:sz w:val="20"/>
        </w:rPr>
        <w:t>Civ</w:t>
      </w:r>
      <w:r>
        <w:rPr>
          <w:rFonts w:ascii="Arial" w:hAnsi="Arial"/>
          <w:i/>
          <w:spacing w:val="40"/>
          <w:sz w:val="20"/>
        </w:rPr>
        <w:t> </w:t>
      </w:r>
      <w:r>
        <w:rPr>
          <w:rFonts w:ascii="Arial" w:hAnsi="Arial"/>
          <w:i/>
          <w:sz w:val="20"/>
        </w:rPr>
        <w:t>386,</w:t>
      </w:r>
      <w:r>
        <w:rPr>
          <w:rFonts w:ascii="Arial" w:hAnsi="Arial"/>
          <w:i/>
          <w:spacing w:val="40"/>
          <w:sz w:val="20"/>
        </w:rPr>
        <w:t> </w:t>
      </w:r>
      <w:r>
        <w:rPr>
          <w:rFonts w:ascii="Arial" w:hAnsi="Arial"/>
          <w:i/>
          <w:sz w:val="20"/>
        </w:rPr>
        <w:t>[2006]</w:t>
      </w:r>
      <w:r>
        <w:rPr>
          <w:rFonts w:ascii="Arial" w:hAnsi="Arial"/>
          <w:i/>
          <w:spacing w:val="40"/>
          <w:sz w:val="20"/>
        </w:rPr>
        <w:t> </w:t>
      </w:r>
      <w:r>
        <w:rPr>
          <w:rFonts w:ascii="Arial" w:hAnsi="Arial"/>
          <w:i/>
          <w:sz w:val="20"/>
        </w:rPr>
        <w:t>2</w:t>
      </w:r>
      <w:r>
        <w:rPr>
          <w:rFonts w:ascii="Arial" w:hAnsi="Arial"/>
          <w:i/>
          <w:spacing w:val="40"/>
          <w:sz w:val="20"/>
        </w:rPr>
        <w:t> </w:t>
      </w:r>
      <w:r>
        <w:rPr>
          <w:rFonts w:ascii="Arial" w:hAnsi="Arial"/>
          <w:i/>
          <w:sz w:val="20"/>
        </w:rPr>
        <w:t>Lloyd’s</w:t>
      </w:r>
      <w:r>
        <w:rPr>
          <w:rFonts w:ascii="Arial" w:hAnsi="Arial"/>
          <w:i/>
          <w:spacing w:val="40"/>
          <w:sz w:val="20"/>
        </w:rPr>
        <w:t> </w:t>
      </w:r>
      <w:r>
        <w:rPr>
          <w:rFonts w:ascii="Arial" w:hAnsi="Arial"/>
          <w:i/>
          <w:sz w:val="20"/>
        </w:rPr>
        <w:t>Rep.</w:t>
      </w:r>
      <w:r>
        <w:rPr>
          <w:rFonts w:ascii="Arial" w:hAnsi="Arial"/>
          <w:i/>
          <w:spacing w:val="40"/>
          <w:sz w:val="20"/>
        </w:rPr>
        <w:t> </w:t>
      </w:r>
      <w:r>
        <w:rPr>
          <w:rFonts w:ascii="Arial" w:hAnsi="Arial"/>
          <w:i/>
          <w:sz w:val="20"/>
        </w:rPr>
        <w:t>511</w:t>
      </w:r>
      <w:r>
        <w:rPr>
          <w:rFonts w:ascii="Arial" w:hAnsi="Arial"/>
          <w:i/>
          <w:spacing w:val="40"/>
          <w:sz w:val="20"/>
        </w:rPr>
        <w:t> </w:t>
      </w:r>
      <w:r>
        <w:rPr>
          <w:sz w:val="20"/>
        </w:rPr>
        <w:t>at</w:t>
      </w:r>
      <w:r>
        <w:rPr>
          <w:spacing w:val="40"/>
          <w:sz w:val="20"/>
        </w:rPr>
        <w:t> </w:t>
      </w:r>
      <w:r>
        <w:rPr>
          <w:sz w:val="20"/>
        </w:rPr>
        <w:t>[40].</w:t>
      </w:r>
      <w:r>
        <w:rPr>
          <w:spacing w:val="40"/>
          <w:sz w:val="20"/>
        </w:rPr>
        <w:t> </w:t>
      </w:r>
      <w:r>
        <w:rPr>
          <w:sz w:val="20"/>
        </w:rPr>
        <w:t>The</w:t>
      </w:r>
      <w:r>
        <w:rPr>
          <w:spacing w:val="40"/>
          <w:sz w:val="20"/>
        </w:rPr>
        <w:t> </w:t>
      </w:r>
      <w:r>
        <w:rPr>
          <w:sz w:val="20"/>
        </w:rPr>
        <w:t>case</w:t>
      </w:r>
      <w:r>
        <w:rPr>
          <w:spacing w:val="40"/>
          <w:sz w:val="20"/>
        </w:rPr>
        <w:t> </w:t>
      </w:r>
      <w:r>
        <w:rPr>
          <w:sz w:val="20"/>
        </w:rPr>
        <w:t>involved</w:t>
      </w:r>
      <w:r>
        <w:rPr>
          <w:spacing w:val="40"/>
          <w:sz w:val="20"/>
        </w:rPr>
        <w:t> </w:t>
      </w:r>
      <w:r>
        <w:rPr>
          <w:sz w:val="20"/>
        </w:rPr>
        <w:t>a</w:t>
      </w:r>
      <w:r>
        <w:rPr>
          <w:spacing w:val="40"/>
          <w:sz w:val="20"/>
        </w:rPr>
        <w:t> </w:t>
      </w:r>
      <w:r>
        <w:rPr>
          <w:sz w:val="20"/>
        </w:rPr>
        <w:t>claim</w:t>
      </w:r>
      <w:r>
        <w:rPr>
          <w:spacing w:val="40"/>
          <w:sz w:val="20"/>
        </w:rPr>
        <w:t> </w:t>
      </w:r>
      <w:r>
        <w:rPr>
          <w:sz w:val="20"/>
        </w:rPr>
        <w:t>for damages under Misrepresentation Act 1967 s.2(1).</w:t>
      </w:r>
    </w:p>
    <w:p>
      <w:pPr>
        <w:pStyle w:val="BodyText"/>
        <w:spacing w:before="6"/>
      </w:pPr>
    </w:p>
    <w:p>
      <w:pPr>
        <w:tabs>
          <w:tab w:pos="705" w:val="left" w:leader="none"/>
        </w:tabs>
        <w:spacing w:before="0"/>
        <w:ind w:left="165" w:right="0" w:firstLine="0"/>
        <w:jc w:val="left"/>
        <w:rPr>
          <w:sz w:val="20"/>
        </w:rPr>
      </w:pPr>
      <w:bookmarkStart w:name="_bookmark443" w:id="445"/>
      <w:bookmarkEnd w:id="445"/>
      <w:r>
        <w:rPr/>
      </w:r>
      <w:hyperlink w:history="true" w:anchor="_bookmark362">
        <w:r>
          <w:rPr>
            <w:color w:val="005DA1"/>
            <w:spacing w:val="-4"/>
            <w:position w:val="5"/>
            <w:sz w:val="14"/>
            <w:u w:val="single" w:color="005DA1"/>
          </w:rPr>
          <w:t>231</w:t>
        </w:r>
      </w:hyperlink>
      <w:r>
        <w:rPr>
          <w:spacing w:val="-4"/>
          <w:position w:val="5"/>
          <w:sz w:val="14"/>
        </w:rPr>
        <w:t>.</w:t>
      </w:r>
      <w:r>
        <w:rPr>
          <w:position w:val="5"/>
          <w:sz w:val="14"/>
        </w:rPr>
        <w:tab/>
      </w:r>
      <w:r>
        <w:rPr>
          <w:rFonts w:ascii="Arial"/>
          <w:i/>
          <w:sz w:val="20"/>
        </w:rPr>
        <w:t>Smith v Eric S. Bush [1990] 1 A.C. 831, 854, </w:t>
      </w:r>
      <w:r>
        <w:rPr>
          <w:rFonts w:ascii="Arial"/>
          <w:i/>
          <w:spacing w:val="-4"/>
          <w:sz w:val="20"/>
        </w:rPr>
        <w:t>872</w:t>
      </w:r>
      <w:r>
        <w:rPr>
          <w:spacing w:val="-4"/>
          <w:sz w:val="20"/>
        </w:rPr>
        <w:t>.</w:t>
      </w: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bookmarkStart w:name="_bookmark444" w:id="446"/>
      <w:bookmarkEnd w:id="446"/>
      <w:r>
        <w:rPr/>
      </w:r>
      <w:hyperlink w:history="true" w:anchor="_bookmark363">
        <w:r>
          <w:rPr>
            <w:color w:val="005DA1"/>
            <w:spacing w:val="-4"/>
            <w:sz w:val="14"/>
            <w:u w:val="single" w:color="005DA1"/>
          </w:rPr>
          <w:t>232</w:t>
        </w:r>
      </w:hyperlink>
      <w:r>
        <w:rPr>
          <w:spacing w:val="-4"/>
          <w:sz w:val="14"/>
        </w:rPr>
        <w:t>.</w:t>
      </w:r>
    </w:p>
    <w:p>
      <w:pPr>
        <w:spacing w:before="208"/>
        <w:ind w:left="335" w:right="0" w:firstLine="0"/>
        <w:jc w:val="left"/>
        <w:rPr>
          <w:sz w:val="20"/>
        </w:rPr>
      </w:pPr>
      <w:r>
        <w:rPr/>
        <w:br w:type="column"/>
      </w:r>
      <w:r>
        <w:rPr>
          <w:sz w:val="20"/>
        </w:rPr>
        <w:t>Peel,</w:t>
      </w:r>
      <w:r>
        <w:rPr>
          <w:spacing w:val="-2"/>
          <w:sz w:val="20"/>
        </w:rPr>
        <w:t> </w:t>
      </w:r>
      <w:r>
        <w:rPr>
          <w:rFonts w:ascii="Arial"/>
          <w:i/>
          <w:sz w:val="20"/>
        </w:rPr>
        <w:t>Treitel on The Law of Contract</w:t>
      </w:r>
      <w:r>
        <w:rPr>
          <w:sz w:val="20"/>
        </w:rPr>
        <w:t>, 14th edn (2015), para.9-</w:t>
      </w:r>
      <w:r>
        <w:rPr>
          <w:spacing w:val="-4"/>
          <w:sz w:val="20"/>
        </w:rPr>
        <w:t>028.</w:t>
      </w:r>
    </w:p>
    <w:p>
      <w:pPr>
        <w:spacing w:after="0"/>
        <w:jc w:val="left"/>
        <w:rPr>
          <w:sz w:val="20"/>
        </w:rPr>
        <w:sectPr>
          <w:type w:val="continuous"/>
          <w:pgSz w:w="11900" w:h="16840"/>
          <w:pgMar w:header="971" w:footer="0" w:top="116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r>
        <w:rPr>
          <w:sz w:val="20"/>
        </w:rPr>
        <w:drawing>
          <wp:anchor distT="0" distB="0" distL="0" distR="0" allowOverlap="1" layoutInCell="1" locked="0" behindDoc="0" simplePos="0" relativeHeight="15754240">
            <wp:simplePos x="0" y="0"/>
            <wp:positionH relativeFrom="page">
              <wp:posOffset>1257846</wp:posOffset>
            </wp:positionH>
            <wp:positionV relativeFrom="paragraph">
              <wp:posOffset>-267107</wp:posOffset>
            </wp:positionV>
            <wp:extent cx="107988" cy="107988"/>
            <wp:effectExtent l="0" t="0" r="0" b="0"/>
            <wp:wrapNone/>
            <wp:docPr id="99" name="Image 99"/>
            <wp:cNvGraphicFramePr>
              <a:graphicFrameLocks/>
            </wp:cNvGraphicFramePr>
            <a:graphic>
              <a:graphicData uri="http://schemas.openxmlformats.org/drawingml/2006/picture">
                <pic:pic>
                  <pic:nvPicPr>
                    <pic:cNvPr id="99" name="Image 9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45" w:id="447"/>
      <w:bookmarkEnd w:id="447"/>
      <w:r>
        <w:rPr/>
      </w:r>
      <w:hyperlink w:history="true" w:anchor="_bookmark364">
        <w:r>
          <w:rPr>
            <w:color w:val="005DA1"/>
            <w:spacing w:val="-4"/>
            <w:position w:val="5"/>
            <w:sz w:val="14"/>
            <w:u w:val="single" w:color="005DA1"/>
          </w:rPr>
          <w:t>233</w:t>
        </w:r>
      </w:hyperlink>
      <w:r>
        <w:rPr>
          <w:spacing w:val="-4"/>
          <w:position w:val="5"/>
          <w:sz w:val="14"/>
        </w:rPr>
        <w:t>.</w:t>
      </w:r>
      <w:r>
        <w:rPr>
          <w:position w:val="5"/>
          <w:sz w:val="14"/>
        </w:rPr>
        <w:tab/>
      </w:r>
      <w:r>
        <w:rPr>
          <w:sz w:val="20"/>
        </w:rPr>
        <w:t>See Jessel, M.R. in</w:t>
      </w:r>
      <w:r>
        <w:rPr>
          <w:spacing w:val="-1"/>
          <w:sz w:val="20"/>
        </w:rPr>
        <w:t> </w:t>
      </w:r>
      <w:r>
        <w:rPr>
          <w:rFonts w:ascii="Arial"/>
          <w:i/>
          <w:sz w:val="20"/>
        </w:rPr>
        <w:t>Redgrave v Hurd (1881) 20 Ch. D. 1, </w:t>
      </w:r>
      <w:r>
        <w:rPr>
          <w:rFonts w:ascii="Arial"/>
          <w:i/>
          <w:spacing w:val="-5"/>
          <w:sz w:val="20"/>
        </w:rPr>
        <w:t>13</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446" w:id="448"/>
      <w:bookmarkEnd w:id="448"/>
      <w:r>
        <w:rPr/>
      </w:r>
      <w:hyperlink w:history="true" w:anchor="_bookmark365">
        <w:r>
          <w:rPr>
            <w:color w:val="005DA1"/>
            <w:spacing w:val="-4"/>
            <w:position w:val="5"/>
            <w:sz w:val="14"/>
            <w:u w:val="single" w:color="005DA1"/>
          </w:rPr>
          <w:t>234</w:t>
        </w:r>
      </w:hyperlink>
      <w:r>
        <w:rPr>
          <w:spacing w:val="-4"/>
          <w:position w:val="5"/>
          <w:sz w:val="14"/>
        </w:rPr>
        <w:t>.</w:t>
      </w:r>
      <w:r>
        <w:rPr>
          <w:position w:val="5"/>
          <w:sz w:val="14"/>
        </w:rPr>
        <w:tab/>
      </w:r>
      <w:r>
        <w:rPr>
          <w:sz w:val="20"/>
        </w:rPr>
        <w:t>Above, para.7-</w:t>
      </w:r>
      <w:r>
        <w:rPr>
          <w:spacing w:val="-4"/>
          <w:sz w:val="20"/>
        </w:rPr>
        <w:t>033.</w:t>
      </w:r>
    </w:p>
    <w:p>
      <w:pPr>
        <w:pStyle w:val="BodyText"/>
        <w:spacing w:before="5"/>
      </w:pPr>
    </w:p>
    <w:p>
      <w:pPr>
        <w:tabs>
          <w:tab w:pos="705" w:val="left" w:leader="none"/>
        </w:tabs>
        <w:spacing w:line="227" w:lineRule="exact" w:before="0"/>
        <w:ind w:left="165" w:right="0" w:firstLine="0"/>
        <w:jc w:val="left"/>
        <w:rPr>
          <w:sz w:val="20"/>
        </w:rPr>
      </w:pPr>
      <w:bookmarkStart w:name="_bookmark447" w:id="449"/>
      <w:bookmarkEnd w:id="449"/>
      <w:r>
        <w:rPr/>
      </w:r>
      <w:hyperlink w:history="true" w:anchor="_bookmark366">
        <w:r>
          <w:rPr>
            <w:color w:val="005DA1"/>
            <w:spacing w:val="-4"/>
            <w:position w:val="5"/>
            <w:sz w:val="14"/>
            <w:u w:val="single" w:color="005DA1"/>
          </w:rPr>
          <w:t>235</w:t>
        </w:r>
      </w:hyperlink>
      <w:r>
        <w:rPr>
          <w:spacing w:val="-4"/>
          <w:position w:val="5"/>
          <w:sz w:val="14"/>
        </w:rPr>
        <w:t>.</w:t>
      </w:r>
      <w:r>
        <w:rPr>
          <w:position w:val="5"/>
          <w:sz w:val="14"/>
        </w:rPr>
        <w:tab/>
      </w:r>
      <w:r>
        <w:rPr>
          <w:rFonts w:ascii="Arial"/>
          <w:i/>
          <w:sz w:val="20"/>
        </w:rPr>
        <w:t>Peekay</w:t>
      </w:r>
      <w:r>
        <w:rPr>
          <w:rFonts w:ascii="Arial"/>
          <w:i/>
          <w:spacing w:val="14"/>
          <w:sz w:val="20"/>
        </w:rPr>
        <w:t> </w:t>
      </w:r>
      <w:r>
        <w:rPr>
          <w:rFonts w:ascii="Arial"/>
          <w:i/>
          <w:sz w:val="20"/>
        </w:rPr>
        <w:t>Intermark</w:t>
      </w:r>
      <w:r>
        <w:rPr>
          <w:rFonts w:ascii="Arial"/>
          <w:i/>
          <w:spacing w:val="14"/>
          <w:sz w:val="20"/>
        </w:rPr>
        <w:t> </w:t>
      </w:r>
      <w:r>
        <w:rPr>
          <w:rFonts w:ascii="Arial"/>
          <w:i/>
          <w:sz w:val="20"/>
        </w:rPr>
        <w:t>Ltd</w:t>
      </w:r>
      <w:r>
        <w:rPr>
          <w:rFonts w:ascii="Arial"/>
          <w:i/>
          <w:spacing w:val="14"/>
          <w:sz w:val="20"/>
        </w:rPr>
        <w:t> </w:t>
      </w:r>
      <w:r>
        <w:rPr>
          <w:rFonts w:ascii="Arial"/>
          <w:i/>
          <w:sz w:val="20"/>
        </w:rPr>
        <w:t>v</w:t>
      </w:r>
      <w:r>
        <w:rPr>
          <w:rFonts w:ascii="Arial"/>
          <w:i/>
          <w:spacing w:val="14"/>
          <w:sz w:val="20"/>
        </w:rPr>
        <w:t> </w:t>
      </w:r>
      <w:r>
        <w:rPr>
          <w:rFonts w:ascii="Arial"/>
          <w:i/>
          <w:sz w:val="20"/>
        </w:rPr>
        <w:t>Australia</w:t>
      </w:r>
      <w:r>
        <w:rPr>
          <w:rFonts w:ascii="Arial"/>
          <w:i/>
          <w:spacing w:val="14"/>
          <w:sz w:val="20"/>
        </w:rPr>
        <w:t> </w:t>
      </w:r>
      <w:r>
        <w:rPr>
          <w:rFonts w:ascii="Arial"/>
          <w:i/>
          <w:sz w:val="20"/>
        </w:rPr>
        <w:t>&amp;</w:t>
      </w:r>
      <w:r>
        <w:rPr>
          <w:rFonts w:ascii="Arial"/>
          <w:i/>
          <w:spacing w:val="14"/>
          <w:sz w:val="20"/>
        </w:rPr>
        <w:t> </w:t>
      </w:r>
      <w:r>
        <w:rPr>
          <w:rFonts w:ascii="Arial"/>
          <w:i/>
          <w:sz w:val="20"/>
        </w:rPr>
        <w:t>New</w:t>
      </w:r>
      <w:r>
        <w:rPr>
          <w:rFonts w:ascii="Arial"/>
          <w:i/>
          <w:spacing w:val="14"/>
          <w:sz w:val="20"/>
        </w:rPr>
        <w:t> </w:t>
      </w:r>
      <w:r>
        <w:rPr>
          <w:rFonts w:ascii="Arial"/>
          <w:i/>
          <w:sz w:val="20"/>
        </w:rPr>
        <w:t>Zealand</w:t>
      </w:r>
      <w:r>
        <w:rPr>
          <w:rFonts w:ascii="Arial"/>
          <w:i/>
          <w:spacing w:val="14"/>
          <w:sz w:val="20"/>
        </w:rPr>
        <w:t> </w:t>
      </w:r>
      <w:r>
        <w:rPr>
          <w:rFonts w:ascii="Arial"/>
          <w:i/>
          <w:sz w:val="20"/>
        </w:rPr>
        <w:t>Banking</w:t>
      </w:r>
      <w:r>
        <w:rPr>
          <w:rFonts w:ascii="Arial"/>
          <w:i/>
          <w:spacing w:val="14"/>
          <w:sz w:val="20"/>
        </w:rPr>
        <w:t> </w:t>
      </w:r>
      <w:r>
        <w:rPr>
          <w:rFonts w:ascii="Arial"/>
          <w:i/>
          <w:sz w:val="20"/>
        </w:rPr>
        <w:t>Group</w:t>
      </w:r>
      <w:r>
        <w:rPr>
          <w:rFonts w:ascii="Arial"/>
          <w:i/>
          <w:spacing w:val="14"/>
          <w:sz w:val="20"/>
        </w:rPr>
        <w:t> </w:t>
      </w:r>
      <w:r>
        <w:rPr>
          <w:rFonts w:ascii="Arial"/>
          <w:i/>
          <w:sz w:val="20"/>
        </w:rPr>
        <w:t>Ltd</w:t>
      </w:r>
      <w:r>
        <w:rPr>
          <w:rFonts w:ascii="Arial"/>
          <w:i/>
          <w:spacing w:val="14"/>
          <w:sz w:val="20"/>
        </w:rPr>
        <w:t> </w:t>
      </w:r>
      <w:r>
        <w:rPr>
          <w:rFonts w:ascii="Arial"/>
          <w:i/>
          <w:sz w:val="20"/>
        </w:rPr>
        <w:t>[2006]</w:t>
      </w:r>
      <w:r>
        <w:rPr>
          <w:rFonts w:ascii="Arial"/>
          <w:i/>
          <w:spacing w:val="14"/>
          <w:sz w:val="20"/>
        </w:rPr>
        <w:t> </w:t>
      </w:r>
      <w:r>
        <w:rPr>
          <w:rFonts w:ascii="Arial"/>
          <w:i/>
          <w:sz w:val="20"/>
        </w:rPr>
        <w:t>EWCA</w:t>
      </w:r>
      <w:r>
        <w:rPr>
          <w:rFonts w:ascii="Arial"/>
          <w:i/>
          <w:spacing w:val="14"/>
          <w:sz w:val="20"/>
        </w:rPr>
        <w:t> </w:t>
      </w:r>
      <w:r>
        <w:rPr>
          <w:rFonts w:ascii="Arial"/>
          <w:i/>
          <w:sz w:val="20"/>
        </w:rPr>
        <w:t>Civ</w:t>
      </w:r>
      <w:r>
        <w:rPr>
          <w:rFonts w:ascii="Arial"/>
          <w:i/>
          <w:spacing w:val="14"/>
          <w:sz w:val="20"/>
        </w:rPr>
        <w:t> </w:t>
      </w:r>
      <w:r>
        <w:rPr>
          <w:rFonts w:ascii="Arial"/>
          <w:i/>
          <w:sz w:val="20"/>
        </w:rPr>
        <w:t>386</w:t>
      </w:r>
      <w:r>
        <w:rPr>
          <w:rFonts w:ascii="Arial"/>
          <w:i/>
          <w:spacing w:val="13"/>
          <w:sz w:val="20"/>
        </w:rPr>
        <w:t> </w:t>
      </w:r>
      <w:r>
        <w:rPr>
          <w:spacing w:val="-5"/>
          <w:sz w:val="20"/>
        </w:rPr>
        <w:t>at</w:t>
      </w:r>
    </w:p>
    <w:p>
      <w:pPr>
        <w:pStyle w:val="BodyText"/>
        <w:spacing w:line="227" w:lineRule="exact"/>
        <w:ind w:left="705"/>
      </w:pPr>
      <w:r>
        <w:rPr/>
        <w:t>[40] (damages under Misrepresentation Act 1967 </w:t>
      </w:r>
      <w:r>
        <w:rPr>
          <w:spacing w:val="-2"/>
        </w:rPr>
        <w:t>s.2(1)).</w:t>
      </w:r>
    </w:p>
    <w:p>
      <w:pPr>
        <w:pStyle w:val="BodyText"/>
        <w:spacing w:before="5"/>
      </w:pPr>
    </w:p>
    <w:p>
      <w:pPr>
        <w:pStyle w:val="BodyText"/>
        <w:tabs>
          <w:tab w:pos="705" w:val="left" w:leader="none"/>
        </w:tabs>
        <w:ind w:left="165"/>
      </w:pPr>
      <w:bookmarkStart w:name="_bookmark448" w:id="450"/>
      <w:bookmarkEnd w:id="450"/>
      <w:r>
        <w:rPr/>
      </w:r>
      <w:hyperlink w:history="true" w:anchor="_bookmark367">
        <w:r>
          <w:rPr>
            <w:color w:val="005DA1"/>
            <w:spacing w:val="-4"/>
            <w:position w:val="5"/>
            <w:sz w:val="14"/>
            <w:u w:val="single" w:color="005DA1"/>
          </w:rPr>
          <w:t>236</w:t>
        </w:r>
      </w:hyperlink>
      <w:r>
        <w:rPr>
          <w:spacing w:val="-4"/>
          <w:position w:val="5"/>
          <w:sz w:val="14"/>
        </w:rPr>
        <w:t>.</w:t>
      </w:r>
      <w:r>
        <w:rPr>
          <w:position w:val="5"/>
          <w:sz w:val="14"/>
        </w:rPr>
        <w:tab/>
      </w:r>
      <w:r>
        <w:rPr/>
        <w:t>See</w:t>
      </w:r>
      <w:r>
        <w:rPr>
          <w:spacing w:val="-2"/>
        </w:rPr>
        <w:t> </w:t>
      </w:r>
      <w:r>
        <w:rPr/>
        <w:t>below, para.7-</w:t>
      </w:r>
      <w:r>
        <w:rPr>
          <w:spacing w:val="-4"/>
        </w:rPr>
        <w:t>071.</w:t>
      </w:r>
    </w:p>
    <w:p>
      <w:pPr>
        <w:pStyle w:val="BodyText"/>
        <w:spacing w:before="9"/>
      </w:pPr>
    </w:p>
    <w:p>
      <w:pPr>
        <w:tabs>
          <w:tab w:pos="705" w:val="left" w:leader="none"/>
        </w:tabs>
        <w:spacing w:line="235" w:lineRule="auto" w:before="0"/>
        <w:ind w:left="705" w:right="168" w:hanging="541"/>
        <w:jc w:val="left"/>
        <w:rPr>
          <w:sz w:val="20"/>
        </w:rPr>
      </w:pPr>
      <w:bookmarkStart w:name="_bookmark449" w:id="451"/>
      <w:bookmarkEnd w:id="451"/>
      <w:r>
        <w:rPr/>
      </w:r>
      <w:hyperlink w:history="true" w:anchor="_bookmark367">
        <w:r>
          <w:rPr>
            <w:color w:val="005DA1"/>
            <w:spacing w:val="-4"/>
            <w:position w:val="5"/>
            <w:sz w:val="14"/>
            <w:u w:val="single" w:color="005DA1"/>
          </w:rPr>
          <w:t>237</w:t>
        </w:r>
      </w:hyperlink>
      <w:r>
        <w:rPr>
          <w:spacing w:val="-4"/>
          <w:position w:val="5"/>
          <w:sz w:val="14"/>
        </w:rPr>
        <w:t>.</w:t>
      </w:r>
      <w:r>
        <w:rPr>
          <w:position w:val="5"/>
          <w:sz w:val="14"/>
        </w:rPr>
        <w:tab/>
      </w:r>
      <w:r>
        <w:rPr>
          <w:rFonts w:ascii="Arial"/>
          <w:i/>
          <w:sz w:val="20"/>
        </w:rPr>
        <w:t>Alliance</w:t>
      </w:r>
      <w:r>
        <w:rPr>
          <w:rFonts w:ascii="Arial"/>
          <w:i/>
          <w:spacing w:val="-3"/>
          <w:sz w:val="20"/>
        </w:rPr>
        <w:t> </w:t>
      </w:r>
      <w:r>
        <w:rPr>
          <w:rFonts w:ascii="Arial"/>
          <w:i/>
          <w:sz w:val="20"/>
        </w:rPr>
        <w:t>and</w:t>
      </w:r>
      <w:r>
        <w:rPr>
          <w:rFonts w:ascii="Arial"/>
          <w:i/>
          <w:spacing w:val="-3"/>
          <w:sz w:val="20"/>
        </w:rPr>
        <w:t> </w:t>
      </w:r>
      <w:r>
        <w:rPr>
          <w:rFonts w:ascii="Arial"/>
          <w:i/>
          <w:sz w:val="20"/>
        </w:rPr>
        <w:t>Leicester</w:t>
      </w:r>
      <w:r>
        <w:rPr>
          <w:rFonts w:ascii="Arial"/>
          <w:i/>
          <w:spacing w:val="-3"/>
          <w:sz w:val="20"/>
        </w:rPr>
        <w:t> </w:t>
      </w:r>
      <w:r>
        <w:rPr>
          <w:rFonts w:ascii="Arial"/>
          <w:i/>
          <w:sz w:val="20"/>
        </w:rPr>
        <w:t>Building</w:t>
      </w:r>
      <w:r>
        <w:rPr>
          <w:rFonts w:ascii="Arial"/>
          <w:i/>
          <w:spacing w:val="-3"/>
          <w:sz w:val="20"/>
        </w:rPr>
        <w:t> </w:t>
      </w:r>
      <w:r>
        <w:rPr>
          <w:rFonts w:ascii="Arial"/>
          <w:i/>
          <w:sz w:val="20"/>
        </w:rPr>
        <w:t>Society</w:t>
      </w:r>
      <w:r>
        <w:rPr>
          <w:rFonts w:ascii="Arial"/>
          <w:i/>
          <w:spacing w:val="-3"/>
          <w:sz w:val="20"/>
        </w:rPr>
        <w:t> </w:t>
      </w:r>
      <w:r>
        <w:rPr>
          <w:rFonts w:ascii="Arial"/>
          <w:i/>
          <w:sz w:val="20"/>
        </w:rPr>
        <w:t>v</w:t>
      </w:r>
      <w:r>
        <w:rPr>
          <w:rFonts w:ascii="Arial"/>
          <w:i/>
          <w:spacing w:val="-3"/>
          <w:sz w:val="20"/>
        </w:rPr>
        <w:t> </w:t>
      </w:r>
      <w:r>
        <w:rPr>
          <w:rFonts w:ascii="Arial"/>
          <w:i/>
          <w:sz w:val="20"/>
        </w:rPr>
        <w:t>Edgestop</w:t>
      </w:r>
      <w:r>
        <w:rPr>
          <w:rFonts w:ascii="Arial"/>
          <w:i/>
          <w:spacing w:val="-3"/>
          <w:sz w:val="20"/>
        </w:rPr>
        <w:t> </w:t>
      </w:r>
      <w:r>
        <w:rPr>
          <w:rFonts w:ascii="Arial"/>
          <w:i/>
          <w:sz w:val="20"/>
        </w:rPr>
        <w:t>Ltd</w:t>
      </w:r>
      <w:r>
        <w:rPr>
          <w:rFonts w:ascii="Arial"/>
          <w:i/>
          <w:spacing w:val="-3"/>
          <w:sz w:val="20"/>
        </w:rPr>
        <w:t> </w:t>
      </w:r>
      <w:r>
        <w:rPr>
          <w:rFonts w:ascii="Arial"/>
          <w:i/>
          <w:sz w:val="20"/>
        </w:rPr>
        <w:t>[1994]</w:t>
      </w:r>
      <w:r>
        <w:rPr>
          <w:rFonts w:ascii="Arial"/>
          <w:i/>
          <w:spacing w:val="-3"/>
          <w:sz w:val="20"/>
        </w:rPr>
        <w:t> </w:t>
      </w:r>
      <w:r>
        <w:rPr>
          <w:rFonts w:ascii="Arial"/>
          <w:i/>
          <w:sz w:val="20"/>
        </w:rPr>
        <w:t>1</w:t>
      </w:r>
      <w:r>
        <w:rPr>
          <w:rFonts w:ascii="Arial"/>
          <w:i/>
          <w:spacing w:val="-3"/>
          <w:sz w:val="20"/>
        </w:rPr>
        <w:t> </w:t>
      </w:r>
      <w:r>
        <w:rPr>
          <w:rFonts w:ascii="Arial"/>
          <w:i/>
          <w:sz w:val="20"/>
        </w:rPr>
        <w:t>All</w:t>
      </w:r>
      <w:r>
        <w:rPr>
          <w:rFonts w:ascii="Arial"/>
          <w:i/>
          <w:spacing w:val="-3"/>
          <w:sz w:val="20"/>
        </w:rPr>
        <w:t> </w:t>
      </w:r>
      <w:r>
        <w:rPr>
          <w:rFonts w:ascii="Arial"/>
          <w:i/>
          <w:sz w:val="20"/>
        </w:rPr>
        <w:t>E.R.</w:t>
      </w:r>
      <w:r>
        <w:rPr>
          <w:rFonts w:ascii="Arial"/>
          <w:i/>
          <w:spacing w:val="-3"/>
          <w:sz w:val="20"/>
        </w:rPr>
        <w:t> </w:t>
      </w:r>
      <w:r>
        <w:rPr>
          <w:rFonts w:ascii="Arial"/>
          <w:i/>
          <w:sz w:val="20"/>
        </w:rPr>
        <w:t>38</w:t>
      </w:r>
      <w:r>
        <w:rPr>
          <w:sz w:val="20"/>
        </w:rPr>
        <w:t>;</w:t>
      </w:r>
      <w:r>
        <w:rPr>
          <w:spacing w:val="-3"/>
          <w:sz w:val="20"/>
        </w:rPr>
        <w:t> </w:t>
      </w:r>
      <w:r>
        <w:rPr>
          <w:rFonts w:ascii="Arial"/>
          <w:i/>
          <w:sz w:val="20"/>
        </w:rPr>
        <w:t>Standard</w:t>
      </w:r>
      <w:r>
        <w:rPr>
          <w:rFonts w:ascii="Arial"/>
          <w:i/>
          <w:spacing w:val="-3"/>
          <w:sz w:val="20"/>
        </w:rPr>
        <w:t> </w:t>
      </w:r>
      <w:r>
        <w:rPr>
          <w:rFonts w:ascii="Arial"/>
          <w:i/>
          <w:sz w:val="20"/>
        </w:rPr>
        <w:t>Chartered Bank v Pakistan National Shipping Corp (No.2) [2002] UKHL 43, [2003] 1 A.C. 959</w:t>
      </w:r>
      <w:r>
        <w:rPr>
          <w:sz w:val="20"/>
        </w:rPr>
        <w:t>.</w:t>
      </w: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bookmarkStart w:name="_bookmark450" w:id="452"/>
      <w:bookmarkEnd w:id="452"/>
      <w:r>
        <w:rPr/>
      </w:r>
      <w:hyperlink w:history="true" w:anchor="_bookmark368">
        <w:r>
          <w:rPr>
            <w:color w:val="005DA1"/>
            <w:spacing w:val="-4"/>
            <w:sz w:val="14"/>
            <w:u w:val="single" w:color="005DA1"/>
          </w:rPr>
          <w:t>238</w:t>
        </w:r>
      </w:hyperlink>
      <w:r>
        <w:rPr>
          <w:spacing w:val="-4"/>
          <w:sz w:val="14"/>
        </w:rPr>
        <w:t>.</w:t>
      </w:r>
    </w:p>
    <w:p>
      <w:pPr>
        <w:spacing w:line="227" w:lineRule="exact" w:before="208"/>
        <w:ind w:left="0" w:right="168" w:firstLine="0"/>
        <w:jc w:val="right"/>
        <w:rPr>
          <w:rFonts w:ascii="Arial" w:hAnsi="Arial"/>
          <w:i/>
          <w:sz w:val="20"/>
        </w:rPr>
      </w:pPr>
      <w:r>
        <w:rPr/>
        <w:br w:type="column"/>
      </w:r>
      <w:r>
        <w:rPr>
          <w:rFonts w:ascii="Arial" w:hAnsi="Arial"/>
          <w:i/>
          <w:sz w:val="20"/>
        </w:rPr>
        <w:t>Nocton</w:t>
      </w:r>
      <w:r>
        <w:rPr>
          <w:rFonts w:ascii="Arial" w:hAnsi="Arial"/>
          <w:i/>
          <w:spacing w:val="8"/>
          <w:sz w:val="20"/>
        </w:rPr>
        <w:t> </w:t>
      </w:r>
      <w:r>
        <w:rPr>
          <w:rFonts w:ascii="Arial" w:hAnsi="Arial"/>
          <w:i/>
          <w:sz w:val="20"/>
        </w:rPr>
        <w:t>v</w:t>
      </w:r>
      <w:r>
        <w:rPr>
          <w:rFonts w:ascii="Arial" w:hAnsi="Arial"/>
          <w:i/>
          <w:spacing w:val="9"/>
          <w:sz w:val="20"/>
        </w:rPr>
        <w:t> </w:t>
      </w:r>
      <w:r>
        <w:rPr>
          <w:rFonts w:ascii="Arial" w:hAnsi="Arial"/>
          <w:i/>
          <w:sz w:val="20"/>
        </w:rPr>
        <w:t>Ashburton</w:t>
      </w:r>
      <w:r>
        <w:rPr>
          <w:rFonts w:ascii="Arial" w:hAnsi="Arial"/>
          <w:i/>
          <w:spacing w:val="9"/>
          <w:sz w:val="20"/>
        </w:rPr>
        <w:t> </w:t>
      </w:r>
      <w:r>
        <w:rPr>
          <w:rFonts w:ascii="Arial" w:hAnsi="Arial"/>
          <w:i/>
          <w:sz w:val="20"/>
        </w:rPr>
        <w:t>[1914]</w:t>
      </w:r>
      <w:r>
        <w:rPr>
          <w:rFonts w:ascii="Arial" w:hAnsi="Arial"/>
          <w:i/>
          <w:spacing w:val="9"/>
          <w:sz w:val="20"/>
        </w:rPr>
        <w:t> </w:t>
      </w:r>
      <w:r>
        <w:rPr>
          <w:rFonts w:ascii="Arial" w:hAnsi="Arial"/>
          <w:i/>
          <w:sz w:val="20"/>
        </w:rPr>
        <w:t>A.C.</w:t>
      </w:r>
      <w:r>
        <w:rPr>
          <w:rFonts w:ascii="Arial" w:hAnsi="Arial"/>
          <w:i/>
          <w:spacing w:val="9"/>
          <w:sz w:val="20"/>
        </w:rPr>
        <w:t> </w:t>
      </w:r>
      <w:r>
        <w:rPr>
          <w:rFonts w:ascii="Arial" w:hAnsi="Arial"/>
          <w:i/>
          <w:sz w:val="20"/>
        </w:rPr>
        <w:t>932,</w:t>
      </w:r>
      <w:r>
        <w:rPr>
          <w:rFonts w:ascii="Arial" w:hAnsi="Arial"/>
          <w:i/>
          <w:spacing w:val="9"/>
          <w:sz w:val="20"/>
        </w:rPr>
        <w:t> </w:t>
      </w:r>
      <w:r>
        <w:rPr>
          <w:rFonts w:ascii="Arial" w:hAnsi="Arial"/>
          <w:i/>
          <w:sz w:val="20"/>
        </w:rPr>
        <w:t>962</w:t>
      </w:r>
      <w:r>
        <w:rPr>
          <w:sz w:val="20"/>
        </w:rPr>
        <w:t>;</w:t>
      </w:r>
      <w:r>
        <w:rPr>
          <w:spacing w:val="9"/>
          <w:sz w:val="20"/>
        </w:rPr>
        <w:t> </w:t>
      </w:r>
      <w:r>
        <w:rPr>
          <w:rFonts w:ascii="Arial" w:hAnsi="Arial"/>
          <w:i/>
          <w:sz w:val="20"/>
        </w:rPr>
        <w:t>The</w:t>
      </w:r>
      <w:r>
        <w:rPr>
          <w:rFonts w:ascii="Arial" w:hAnsi="Arial"/>
          <w:i/>
          <w:spacing w:val="9"/>
          <w:sz w:val="20"/>
        </w:rPr>
        <w:t> </w:t>
      </w:r>
      <w:r>
        <w:rPr>
          <w:rFonts w:ascii="Arial" w:hAnsi="Arial"/>
          <w:i/>
          <w:sz w:val="20"/>
        </w:rPr>
        <w:t>Arta</w:t>
      </w:r>
      <w:r>
        <w:rPr>
          <w:rFonts w:ascii="Arial" w:hAnsi="Arial"/>
          <w:i/>
          <w:spacing w:val="8"/>
          <w:sz w:val="20"/>
        </w:rPr>
        <w:t> </w:t>
      </w:r>
      <w:r>
        <w:rPr>
          <w:rFonts w:ascii="Arial" w:hAnsi="Arial"/>
          <w:i/>
          <w:sz w:val="20"/>
        </w:rPr>
        <w:t>[1985]</w:t>
      </w:r>
      <w:r>
        <w:rPr>
          <w:rFonts w:ascii="Arial" w:hAnsi="Arial"/>
          <w:i/>
          <w:spacing w:val="9"/>
          <w:sz w:val="20"/>
        </w:rPr>
        <w:t> </w:t>
      </w:r>
      <w:r>
        <w:rPr>
          <w:rFonts w:ascii="Arial" w:hAnsi="Arial"/>
          <w:i/>
          <w:sz w:val="20"/>
        </w:rPr>
        <w:t>1</w:t>
      </w:r>
      <w:r>
        <w:rPr>
          <w:rFonts w:ascii="Arial" w:hAnsi="Arial"/>
          <w:i/>
          <w:spacing w:val="9"/>
          <w:sz w:val="20"/>
        </w:rPr>
        <w:t> </w:t>
      </w:r>
      <w:r>
        <w:rPr>
          <w:rFonts w:ascii="Arial" w:hAnsi="Arial"/>
          <w:i/>
          <w:sz w:val="20"/>
        </w:rPr>
        <w:t>Lloyd’s</w:t>
      </w:r>
      <w:r>
        <w:rPr>
          <w:rFonts w:ascii="Arial" w:hAnsi="Arial"/>
          <w:i/>
          <w:spacing w:val="9"/>
          <w:sz w:val="20"/>
        </w:rPr>
        <w:t> </w:t>
      </w:r>
      <w:r>
        <w:rPr>
          <w:rFonts w:ascii="Arial" w:hAnsi="Arial"/>
          <w:i/>
          <w:sz w:val="20"/>
        </w:rPr>
        <w:t>Rep.</w:t>
      </w:r>
      <w:r>
        <w:rPr>
          <w:rFonts w:ascii="Arial" w:hAnsi="Arial"/>
          <w:i/>
          <w:spacing w:val="9"/>
          <w:sz w:val="20"/>
        </w:rPr>
        <w:t> </w:t>
      </w:r>
      <w:r>
        <w:rPr>
          <w:rFonts w:ascii="Arial" w:hAnsi="Arial"/>
          <w:i/>
          <w:sz w:val="20"/>
        </w:rPr>
        <w:t>534</w:t>
      </w:r>
      <w:r>
        <w:rPr>
          <w:sz w:val="20"/>
        </w:rPr>
        <w:t>;</w:t>
      </w:r>
      <w:r>
        <w:rPr>
          <w:spacing w:val="9"/>
          <w:sz w:val="20"/>
        </w:rPr>
        <w:t> </w:t>
      </w:r>
      <w:r>
        <w:rPr>
          <w:sz w:val="20"/>
        </w:rPr>
        <w:t>and</w:t>
      </w:r>
      <w:r>
        <w:rPr>
          <w:spacing w:val="9"/>
          <w:sz w:val="20"/>
        </w:rPr>
        <w:t> </w:t>
      </w:r>
      <w:r>
        <w:rPr>
          <w:rFonts w:ascii="Arial" w:hAnsi="Arial"/>
          <w:i/>
          <w:sz w:val="20"/>
        </w:rPr>
        <w:t>Strover</w:t>
      </w:r>
      <w:r>
        <w:rPr>
          <w:rFonts w:ascii="Arial" w:hAnsi="Arial"/>
          <w:i/>
          <w:spacing w:val="9"/>
          <w:sz w:val="20"/>
        </w:rPr>
        <w:t> </w:t>
      </w:r>
      <w:r>
        <w:rPr>
          <w:rFonts w:ascii="Arial" w:hAnsi="Arial"/>
          <w:i/>
          <w:spacing w:val="-10"/>
          <w:sz w:val="20"/>
        </w:rPr>
        <w:t>v</w:t>
      </w:r>
    </w:p>
    <w:p>
      <w:pPr>
        <w:spacing w:line="225" w:lineRule="exact" w:before="0"/>
        <w:ind w:left="0" w:right="168" w:firstLine="0"/>
        <w:jc w:val="right"/>
        <w:rPr>
          <w:rFonts w:ascii="Arial"/>
          <w:i/>
          <w:sz w:val="20"/>
        </w:rPr>
      </w:pPr>
      <w:r>
        <w:rPr>
          <w:rFonts w:ascii="Arial"/>
          <w:i/>
          <w:sz w:val="20"/>
        </w:rPr>
        <w:drawing>
          <wp:anchor distT="0" distB="0" distL="0" distR="0" allowOverlap="1" layoutInCell="1" locked="0" behindDoc="0" simplePos="0" relativeHeight="15754752">
            <wp:simplePos x="0" y="0"/>
            <wp:positionH relativeFrom="page">
              <wp:posOffset>1257846</wp:posOffset>
            </wp:positionH>
            <wp:positionV relativeFrom="paragraph">
              <wp:posOffset>-116030</wp:posOffset>
            </wp:positionV>
            <wp:extent cx="107988" cy="107988"/>
            <wp:effectExtent l="0" t="0" r="0" b="0"/>
            <wp:wrapNone/>
            <wp:docPr id="100" name="Image 100"/>
            <wp:cNvGraphicFramePr>
              <a:graphicFrameLocks/>
            </wp:cNvGraphicFramePr>
            <a:graphic>
              <a:graphicData uri="http://schemas.openxmlformats.org/drawingml/2006/picture">
                <pic:pic>
                  <pic:nvPicPr>
                    <pic:cNvPr id="100" name="Image 100"/>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Harrington</w:t>
      </w:r>
      <w:r>
        <w:rPr>
          <w:rFonts w:ascii="Arial"/>
          <w:i/>
          <w:spacing w:val="1"/>
          <w:sz w:val="20"/>
        </w:rPr>
        <w:t> </w:t>
      </w:r>
      <w:r>
        <w:rPr>
          <w:rFonts w:ascii="Arial"/>
          <w:i/>
          <w:sz w:val="20"/>
        </w:rPr>
        <w:t>[1988]</w:t>
      </w:r>
      <w:r>
        <w:rPr>
          <w:rFonts w:ascii="Arial"/>
          <w:i/>
          <w:spacing w:val="2"/>
          <w:sz w:val="20"/>
        </w:rPr>
        <w:t> </w:t>
      </w:r>
      <w:r>
        <w:rPr>
          <w:rFonts w:ascii="Arial"/>
          <w:i/>
          <w:sz w:val="20"/>
        </w:rPr>
        <w:t>Ch.</w:t>
      </w:r>
      <w:r>
        <w:rPr>
          <w:rFonts w:ascii="Arial"/>
          <w:i/>
          <w:spacing w:val="2"/>
          <w:sz w:val="20"/>
        </w:rPr>
        <w:t> </w:t>
      </w:r>
      <w:r>
        <w:rPr>
          <w:rFonts w:ascii="Arial"/>
          <w:i/>
          <w:sz w:val="20"/>
        </w:rPr>
        <w:t>390,</w:t>
      </w:r>
      <w:r>
        <w:rPr>
          <w:rFonts w:ascii="Arial"/>
          <w:i/>
          <w:spacing w:val="2"/>
          <w:sz w:val="20"/>
        </w:rPr>
        <w:t> </w:t>
      </w:r>
      <w:r>
        <w:rPr>
          <w:rFonts w:ascii="Arial"/>
          <w:i/>
          <w:sz w:val="20"/>
        </w:rPr>
        <w:t>410</w:t>
      </w:r>
      <w:r>
        <w:rPr>
          <w:sz w:val="20"/>
        </w:rPr>
        <w:t>:</w:t>
      </w:r>
      <w:r>
        <w:rPr>
          <w:spacing w:val="2"/>
          <w:sz w:val="20"/>
        </w:rPr>
        <w:t> </w:t>
      </w:r>
      <w:r>
        <w:rPr>
          <w:sz w:val="20"/>
        </w:rPr>
        <w:t>see</w:t>
      </w:r>
      <w:r>
        <w:rPr>
          <w:spacing w:val="2"/>
          <w:sz w:val="20"/>
        </w:rPr>
        <w:t> </w:t>
      </w:r>
      <w:r>
        <w:rPr>
          <w:rFonts w:ascii="Arial"/>
          <w:i/>
          <w:sz w:val="20"/>
        </w:rPr>
        <w:t>Taberna</w:t>
      </w:r>
      <w:r>
        <w:rPr>
          <w:rFonts w:ascii="Arial"/>
          <w:i/>
          <w:spacing w:val="2"/>
          <w:sz w:val="20"/>
        </w:rPr>
        <w:t> </w:t>
      </w:r>
      <w:r>
        <w:rPr>
          <w:rFonts w:ascii="Arial"/>
          <w:i/>
          <w:sz w:val="20"/>
        </w:rPr>
        <w:t>Europe</w:t>
      </w:r>
      <w:r>
        <w:rPr>
          <w:rFonts w:ascii="Arial"/>
          <w:i/>
          <w:spacing w:val="2"/>
          <w:sz w:val="20"/>
        </w:rPr>
        <w:t> </w:t>
      </w:r>
      <w:r>
        <w:rPr>
          <w:rFonts w:ascii="Arial"/>
          <w:i/>
          <w:sz w:val="20"/>
        </w:rPr>
        <w:t>CDO</w:t>
      </w:r>
      <w:r>
        <w:rPr>
          <w:rFonts w:ascii="Arial"/>
          <w:i/>
          <w:spacing w:val="2"/>
          <w:sz w:val="20"/>
        </w:rPr>
        <w:t> </w:t>
      </w:r>
      <w:r>
        <w:rPr>
          <w:rFonts w:ascii="Arial"/>
          <w:i/>
          <w:sz w:val="20"/>
        </w:rPr>
        <w:t>II</w:t>
      </w:r>
      <w:r>
        <w:rPr>
          <w:rFonts w:ascii="Arial"/>
          <w:i/>
          <w:spacing w:val="2"/>
          <w:sz w:val="20"/>
        </w:rPr>
        <w:t> </w:t>
      </w:r>
      <w:r>
        <w:rPr>
          <w:rFonts w:ascii="Arial"/>
          <w:i/>
          <w:sz w:val="20"/>
        </w:rPr>
        <w:t>Plc</w:t>
      </w:r>
      <w:r>
        <w:rPr>
          <w:rFonts w:ascii="Arial"/>
          <w:i/>
          <w:spacing w:val="2"/>
          <w:sz w:val="20"/>
        </w:rPr>
        <w:t> </w:t>
      </w:r>
      <w:r>
        <w:rPr>
          <w:rFonts w:ascii="Arial"/>
          <w:i/>
          <w:sz w:val="20"/>
        </w:rPr>
        <w:t>v</w:t>
      </w:r>
      <w:r>
        <w:rPr>
          <w:rFonts w:ascii="Arial"/>
          <w:i/>
          <w:spacing w:val="2"/>
          <w:sz w:val="20"/>
        </w:rPr>
        <w:t> </w:t>
      </w:r>
      <w:r>
        <w:rPr>
          <w:rFonts w:ascii="Arial"/>
          <w:i/>
          <w:sz w:val="20"/>
        </w:rPr>
        <w:t>Selskabet</w:t>
      </w:r>
      <w:r>
        <w:rPr>
          <w:rFonts w:ascii="Arial"/>
          <w:i/>
          <w:spacing w:val="2"/>
          <w:sz w:val="20"/>
        </w:rPr>
        <w:t> </w:t>
      </w:r>
      <w:r>
        <w:rPr>
          <w:rFonts w:ascii="Arial"/>
          <w:i/>
          <w:sz w:val="20"/>
        </w:rPr>
        <w:t>[2015]</w:t>
      </w:r>
      <w:r>
        <w:rPr>
          <w:rFonts w:ascii="Arial"/>
          <w:i/>
          <w:spacing w:val="2"/>
          <w:sz w:val="20"/>
        </w:rPr>
        <w:t> </w:t>
      </w:r>
      <w:r>
        <w:rPr>
          <w:rFonts w:ascii="Arial"/>
          <w:i/>
          <w:sz w:val="20"/>
        </w:rPr>
        <w:t>EWHC</w:t>
      </w:r>
      <w:r>
        <w:rPr>
          <w:rFonts w:ascii="Arial"/>
          <w:i/>
          <w:spacing w:val="2"/>
          <w:sz w:val="20"/>
        </w:rPr>
        <w:t> </w:t>
      </w:r>
      <w:r>
        <w:rPr>
          <w:rFonts w:ascii="Arial"/>
          <w:i/>
          <w:spacing w:val="-5"/>
          <w:sz w:val="20"/>
        </w:rPr>
        <w:t>871</w:t>
      </w:r>
    </w:p>
    <w:p>
      <w:pPr>
        <w:spacing w:line="227" w:lineRule="exact" w:before="0"/>
        <w:ind w:left="165" w:right="0" w:firstLine="0"/>
        <w:jc w:val="left"/>
        <w:rPr>
          <w:sz w:val="20"/>
        </w:rPr>
      </w:pPr>
      <w:r>
        <w:rPr>
          <w:rFonts w:ascii="Arial"/>
          <w:i/>
          <w:sz w:val="20"/>
        </w:rPr>
        <w:t>(Comm)</w:t>
      </w:r>
      <w:r>
        <w:rPr>
          <w:rFonts w:ascii="Arial"/>
          <w:i/>
          <w:spacing w:val="-1"/>
          <w:sz w:val="20"/>
        </w:rPr>
        <w:t> </w:t>
      </w:r>
      <w:r>
        <w:rPr>
          <w:sz w:val="20"/>
        </w:rPr>
        <w:t>at [181]; </w:t>
      </w:r>
      <w:r>
        <w:rPr>
          <w:rFonts w:ascii="Arial"/>
          <w:i/>
          <w:sz w:val="20"/>
        </w:rPr>
        <w:t>[2016] EWCA Civ 1262, [2017] Q.B. 633</w:t>
      </w:r>
      <w:r>
        <w:rPr>
          <w:rFonts w:ascii="Arial"/>
          <w:i/>
          <w:spacing w:val="-1"/>
          <w:sz w:val="20"/>
        </w:rPr>
        <w:t> </w:t>
      </w:r>
      <w:r>
        <w:rPr>
          <w:sz w:val="20"/>
        </w:rPr>
        <w:t>at </w:t>
      </w:r>
      <w:r>
        <w:rPr>
          <w:spacing w:val="-2"/>
          <w:sz w:val="20"/>
        </w:rPr>
        <w:t>[51].</w:t>
      </w:r>
    </w:p>
    <w:p>
      <w:pPr>
        <w:spacing w:after="0" w:line="227" w:lineRule="exact"/>
        <w:jc w:val="left"/>
        <w:rPr>
          <w:sz w:val="20"/>
        </w:rPr>
        <w:sectPr>
          <w:type w:val="continuous"/>
          <w:pgSz w:w="11900" w:h="16840"/>
          <w:pgMar w:header="971" w:footer="0" w:top="1160" w:bottom="280" w:left="1275" w:right="1275"/>
          <w:cols w:num="2" w:equalWidth="0">
            <w:col w:w="478" w:space="63"/>
            <w:col w:w="8809"/>
          </w:cols>
        </w:sectPr>
      </w:pPr>
    </w:p>
    <w:p>
      <w:pPr>
        <w:pStyle w:val="BodyText"/>
        <w:spacing w:before="5"/>
      </w:pPr>
    </w:p>
    <w:p>
      <w:pPr>
        <w:pStyle w:val="BodyText"/>
        <w:tabs>
          <w:tab w:pos="705" w:val="left" w:leader="none"/>
        </w:tabs>
        <w:spacing w:before="1"/>
        <w:ind w:left="165"/>
      </w:pPr>
      <w:bookmarkStart w:name="_bookmark451" w:id="453"/>
      <w:bookmarkEnd w:id="453"/>
      <w:r>
        <w:rPr/>
      </w:r>
      <w:hyperlink w:history="true" w:anchor="_bookmark369">
        <w:r>
          <w:rPr>
            <w:color w:val="005DA1"/>
            <w:spacing w:val="-4"/>
            <w:position w:val="5"/>
            <w:sz w:val="14"/>
            <w:u w:val="single" w:color="005DA1"/>
          </w:rPr>
          <w:t>239</w:t>
        </w:r>
      </w:hyperlink>
      <w:r>
        <w:rPr>
          <w:spacing w:val="-4"/>
          <w:position w:val="5"/>
          <w:sz w:val="14"/>
        </w:rPr>
        <w:t>.</w:t>
      </w:r>
      <w:r>
        <w:rPr>
          <w:position w:val="5"/>
          <w:sz w:val="14"/>
        </w:rPr>
        <w:tab/>
      </w:r>
      <w:r>
        <w:rPr/>
        <w:t>See</w:t>
      </w:r>
      <w:r>
        <w:rPr>
          <w:spacing w:val="-2"/>
        </w:rPr>
        <w:t> </w:t>
      </w:r>
      <w:r>
        <w:rPr/>
        <w:t>below, para.7-</w:t>
      </w:r>
      <w:r>
        <w:rPr>
          <w:spacing w:val="-4"/>
        </w:rPr>
        <w:t>082.</w:t>
      </w:r>
    </w:p>
    <w:p>
      <w:pPr>
        <w:pStyle w:val="BodyText"/>
        <w:spacing w:before="4"/>
      </w:pPr>
    </w:p>
    <w:p>
      <w:pPr>
        <w:pStyle w:val="BodyText"/>
        <w:tabs>
          <w:tab w:pos="705" w:val="left" w:leader="none"/>
        </w:tabs>
        <w:spacing w:before="1"/>
        <w:ind w:left="165"/>
      </w:pPr>
      <w:bookmarkStart w:name="_bookmark452" w:id="454"/>
      <w:bookmarkEnd w:id="454"/>
      <w:r>
        <w:rPr/>
      </w:r>
      <w:hyperlink w:history="true" w:anchor="_bookmark370">
        <w:r>
          <w:rPr>
            <w:color w:val="005DA1"/>
            <w:spacing w:val="-4"/>
            <w:position w:val="5"/>
            <w:sz w:val="14"/>
            <w:u w:val="single" w:color="005DA1"/>
          </w:rPr>
          <w:t>240</w:t>
        </w:r>
      </w:hyperlink>
      <w:r>
        <w:rPr>
          <w:spacing w:val="-4"/>
          <w:position w:val="5"/>
          <w:sz w:val="14"/>
        </w:rPr>
        <w:t>.</w:t>
      </w:r>
      <w:r>
        <w:rPr>
          <w:position w:val="5"/>
          <w:sz w:val="14"/>
        </w:rPr>
        <w:tab/>
      </w:r>
      <w:r>
        <w:rPr/>
        <w:t>See</w:t>
      </w:r>
      <w:r>
        <w:rPr>
          <w:spacing w:val="-2"/>
        </w:rPr>
        <w:t> </w:t>
      </w:r>
      <w:r>
        <w:rPr/>
        <w:t>below, para.7-</w:t>
      </w:r>
      <w:r>
        <w:rPr>
          <w:spacing w:val="-4"/>
        </w:rPr>
        <w:t>089.</w:t>
      </w:r>
    </w:p>
    <w:p>
      <w:pPr>
        <w:pStyle w:val="BodyText"/>
        <w:spacing w:before="8"/>
      </w:pPr>
    </w:p>
    <w:p>
      <w:pPr>
        <w:spacing w:line="235" w:lineRule="auto" w:before="0"/>
        <w:ind w:left="705" w:right="167" w:hanging="541"/>
        <w:jc w:val="both"/>
        <w:rPr>
          <w:sz w:val="20"/>
        </w:rPr>
      </w:pPr>
      <w:bookmarkStart w:name="_bookmark453" w:id="455"/>
      <w:bookmarkEnd w:id="455"/>
      <w:r>
        <w:rPr/>
      </w:r>
      <w:hyperlink w:history="true" w:anchor="_bookmark371">
        <w:r>
          <w:rPr>
            <w:color w:val="005DA1"/>
            <w:position w:val="5"/>
            <w:sz w:val="14"/>
            <w:u w:val="single" w:color="005DA1"/>
          </w:rPr>
          <w:t>241</w:t>
        </w:r>
      </w:hyperlink>
      <w:r>
        <w:rPr>
          <w:position w:val="5"/>
          <w:sz w:val="14"/>
        </w:rPr>
        <w:t>.</w:t>
      </w:r>
      <w:r>
        <w:rPr>
          <w:spacing w:val="80"/>
          <w:w w:val="150"/>
          <w:position w:val="5"/>
          <w:sz w:val="14"/>
        </w:rPr>
        <w:t> </w:t>
      </w:r>
      <w:r>
        <w:rPr>
          <w:rFonts w:ascii="Arial"/>
          <w:i/>
          <w:sz w:val="20"/>
        </w:rPr>
        <w:t>Gran Gelato Ltd v Richcliff (Group) Ltd [1992] Ch. 560</w:t>
      </w:r>
      <w:r>
        <w:rPr>
          <w:sz w:val="20"/>
        </w:rPr>
        <w:t>, especially at 574. See further below, para.7-082. In </w:t>
      </w:r>
      <w:r>
        <w:rPr>
          <w:rFonts w:ascii="Arial"/>
          <w:i/>
          <w:sz w:val="20"/>
        </w:rPr>
        <w:t>Smith v Eric S. Bush [1990] 1 A.C. 831 </w:t>
      </w:r>
      <w:r>
        <w:rPr>
          <w:sz w:val="20"/>
        </w:rPr>
        <w:t>(where there was no contract </w:t>
      </w:r>
      <w:r>
        <w:rPr>
          <w:sz w:val="20"/>
        </w:rPr>
        <w:t>between plaintiff and defendant) the plaintiff recovered although she might have had her own survey of the house she bought; but it was not reasonable to expect her to have her own survey of a modest property. Had the property been more expensive it might have been different and a disclaimer of liability might have been reasonable: </w:t>
      </w:r>
      <w:r>
        <w:rPr>
          <w:rFonts w:ascii="Arial"/>
          <w:i/>
          <w:sz w:val="20"/>
        </w:rPr>
        <w:t>Smith [1990] 1 A.C. 831, 854, 872</w:t>
      </w:r>
      <w:r>
        <w:rPr>
          <w:sz w:val="20"/>
        </w:rPr>
        <w:t>. See above, para.7-032 and below, para.15-104.</w:t>
      </w:r>
    </w:p>
    <w:p>
      <w:pPr>
        <w:spacing w:after="0" w:line="235" w:lineRule="auto"/>
        <w:jc w:val="both"/>
        <w:rPr>
          <w:sz w:val="20"/>
        </w:rPr>
        <w:sectPr>
          <w:type w:val="continuous"/>
          <w:pgSz w:w="11900" w:h="16840"/>
          <w:pgMar w:header="971" w:footer="0" w:top="1160" w:bottom="280" w:left="1275" w:right="1275"/>
        </w:sectPr>
      </w:pPr>
    </w:p>
    <w:p>
      <w:pPr>
        <w:pStyle w:val="BodyText"/>
        <w:rPr>
          <w:sz w:val="14"/>
        </w:rPr>
      </w:pPr>
    </w:p>
    <w:p>
      <w:pPr>
        <w:pStyle w:val="BodyText"/>
        <w:spacing w:before="56"/>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539" w:right="2543"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3889664">
                <wp:simplePos x="0" y="0"/>
                <wp:positionH relativeFrom="page">
                  <wp:posOffset>4851958</wp:posOffset>
                </wp:positionH>
                <wp:positionV relativeFrom="paragraph">
                  <wp:posOffset>377436</wp:posOffset>
                </wp:positionV>
                <wp:extent cx="4254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26816" from="382.044006pt,29.719406pt" to="385.380006pt,29.719406pt" stroked="true" strokeweight=".428pt" strokecolor="#005da1">
                <v:stroke dashstyle="solid"/>
                <w10:wrap type="none"/>
              </v:line>
            </w:pict>
          </mc:Fallback>
        </mc:AlternateContent>
      </w:r>
      <w:r>
        <w:rPr>
          <w:rFonts w:ascii="Arial"/>
          <w:b/>
          <w:sz w:val="24"/>
        </w:rPr>
        <w:t>Part 2 - Formation of Contract Chapter 7 - Misrepresentation</w:t>
      </w:r>
      <w:r>
        <w:rPr>
          <w:rFonts w:ascii="Arial"/>
          <w:b/>
          <w:spacing w:val="-1"/>
          <w:sz w:val="24"/>
        </w:rPr>
        <w:t> </w:t>
      </w:r>
      <w:r>
        <w:rPr>
          <w:rFonts w:ascii="Arial"/>
          <w:b/>
          <w:color w:val="005DA1"/>
          <w:spacing w:val="-10"/>
          <w:position w:val="11"/>
          <w:sz w:val="12"/>
        </w:rPr>
        <w:t>1</w:t>
      </w:r>
    </w:p>
    <w:p>
      <w:pPr>
        <w:spacing w:before="2"/>
        <w:ind w:left="940" w:right="943" w:firstLine="0"/>
        <w:jc w:val="center"/>
        <w:rPr>
          <w:rFonts w:ascii="Arial"/>
          <w:b/>
          <w:sz w:val="24"/>
        </w:rPr>
      </w:pPr>
      <w:r>
        <w:rPr>
          <w:rFonts w:ascii="Arial"/>
          <w:b/>
          <w:sz w:val="24"/>
        </w:rPr>
        <w:t>Section 3. - Damages for </w:t>
      </w:r>
      <w:r>
        <w:rPr>
          <w:rFonts w:ascii="Arial"/>
          <w:b/>
          <w:spacing w:val="-2"/>
          <w:sz w:val="24"/>
        </w:rPr>
        <w:t>Misrepresentation</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pacing w:val="-2"/>
          <w:sz w:val="18"/>
        </w:rPr>
        <w:t>Preliminary</w:t>
      </w:r>
    </w:p>
    <w:p>
      <w:pPr>
        <w:pStyle w:val="BodyText"/>
        <w:spacing w:before="41"/>
        <w:rPr>
          <w:rFonts w:ascii="Arial"/>
          <w:b/>
          <w:sz w:val="18"/>
        </w:rPr>
      </w:pPr>
    </w:p>
    <w:p>
      <w:pPr>
        <w:pStyle w:val="Heading2"/>
        <w:ind w:left="164"/>
      </w:pPr>
      <w:r>
        <w:rPr/>
        <w:t>7-</w:t>
      </w:r>
      <w:r>
        <w:rPr>
          <w:spacing w:val="-5"/>
        </w:rPr>
        <w:t>045</w:t>
      </w:r>
    </w:p>
    <w:p>
      <w:pPr>
        <w:pStyle w:val="BodyText"/>
        <w:spacing w:line="235" w:lineRule="auto" w:before="203"/>
        <w:ind w:left="165" w:right="167"/>
        <w:jc w:val="both"/>
      </w:pPr>
      <w:bookmarkStart w:name="_bookmark454" w:id="456"/>
      <w:bookmarkEnd w:id="456"/>
      <w:r>
        <w:rPr/>
      </w:r>
      <w:r>
        <w:rPr/>
        <w:t>Damages are always recoverable for a fraudulent misrepresentation, </w:t>
      </w:r>
      <w:r>
        <w:rPr>
          <w:color w:val="005DA1"/>
          <w:u w:val="single" w:color="005DA1"/>
          <w:vertAlign w:val="superscript"/>
        </w:rPr>
        <w:t>242</w:t>
      </w:r>
      <w:r>
        <w:rPr>
          <w:color w:val="005DA1"/>
          <w:vertAlign w:val="baseline"/>
        </w:rPr>
        <w:t> </w:t>
      </w:r>
      <w:r>
        <w:rPr>
          <w:vertAlign w:val="baseline"/>
        </w:rPr>
        <w:t>subject to the exception</w:t>
      </w:r>
      <w:r>
        <w:rPr>
          <w:spacing w:val="40"/>
          <w:vertAlign w:val="baseline"/>
        </w:rPr>
        <w:t> </w:t>
      </w:r>
      <w:bookmarkStart w:name="_bookmark455" w:id="457"/>
      <w:bookmarkEnd w:id="457"/>
      <w:r>
        <w:rPr>
          <w:vertAlign w:val="baseline"/>
        </w:rPr>
        <w:t>noted</w:t>
      </w:r>
      <w:r>
        <w:rPr>
          <w:vertAlign w:val="baseline"/>
        </w:rPr>
        <w:t> in the next paragraph. Under s.2(1) of the Misrepresentation Act 1967 damages </w:t>
      </w:r>
      <w:r>
        <w:rPr>
          <w:vertAlign w:val="baseline"/>
        </w:rPr>
        <w:t>are</w:t>
      </w:r>
      <w:r>
        <w:rPr>
          <w:spacing w:val="40"/>
          <w:vertAlign w:val="baseline"/>
        </w:rPr>
        <w:t> </w:t>
      </w:r>
      <w:r>
        <w:rPr>
          <w:vertAlign w:val="baseline"/>
        </w:rPr>
        <w:t>recoverable for (in effect) </w:t>
      </w:r>
      <w:r>
        <w:rPr>
          <w:color w:val="005DA1"/>
          <w:u w:val="single" w:color="005DA1"/>
          <w:vertAlign w:val="superscript"/>
        </w:rPr>
        <w:t>243</w:t>
      </w:r>
      <w:r>
        <w:rPr>
          <w:color w:val="005DA1"/>
          <w:vertAlign w:val="baseline"/>
        </w:rPr>
        <w:t> </w:t>
      </w:r>
      <w:r>
        <w:rPr>
          <w:vertAlign w:val="baseline"/>
        </w:rPr>
        <w:t>a negligent misrepresentation if they would have been so recoverable in </w:t>
      </w:r>
      <w:bookmarkStart w:name="_bookmark456" w:id="458"/>
      <w:bookmarkEnd w:id="458"/>
      <w:r>
        <w:rPr>
          <w:vertAlign w:val="baseline"/>
        </w:rPr>
        <w:t>fraud,</w:t>
      </w:r>
      <w:r>
        <w:rPr>
          <w:vertAlign w:val="baseline"/>
        </w:rPr>
        <w:t> where the representee enters into a contract with the representor as a result of the </w:t>
      </w:r>
      <w:bookmarkStart w:name="_bookmark457" w:id="459"/>
      <w:bookmarkEnd w:id="459"/>
      <w:r>
        <w:rPr>
          <w:vertAlign w:val="baseline"/>
        </w:rPr>
        <w:t>misrepresentation.</w:t>
      </w:r>
      <w:r>
        <w:rPr>
          <w:vertAlign w:val="baseline"/>
        </w:rPr>
        <w:t> </w:t>
      </w:r>
      <w:r>
        <w:rPr>
          <w:color w:val="005DA1"/>
          <w:u w:val="single" w:color="005DA1"/>
          <w:vertAlign w:val="superscript"/>
        </w:rPr>
        <w:t>244</w:t>
      </w:r>
      <w:r>
        <w:rPr>
          <w:color w:val="005DA1"/>
          <w:vertAlign w:val="baseline"/>
        </w:rPr>
        <w:t> </w:t>
      </w:r>
      <w:r>
        <w:rPr>
          <w:vertAlign w:val="baseline"/>
        </w:rPr>
        <w:t>Damages for negligent misrepresentation are also recoverable in some circumstances at common law, quite apart from the Act of 1967. </w:t>
      </w:r>
      <w:r>
        <w:rPr>
          <w:color w:val="005DA1"/>
          <w:u w:val="single" w:color="005DA1"/>
          <w:vertAlign w:val="superscript"/>
        </w:rPr>
        <w:t>245</w:t>
      </w:r>
      <w:r>
        <w:rPr>
          <w:color w:val="005DA1"/>
          <w:vertAlign w:val="baseline"/>
        </w:rPr>
        <w:t> </w:t>
      </w:r>
      <w:r>
        <w:rPr>
          <w:vertAlign w:val="baseline"/>
        </w:rPr>
        <w:t>Damages are not generally </w:t>
      </w:r>
      <w:bookmarkStart w:name="_bookmark458" w:id="460"/>
      <w:bookmarkEnd w:id="460"/>
      <w:r>
        <w:rPr>
          <w:vertAlign w:val="baseline"/>
        </w:rPr>
        <w:t>recoverable</w:t>
      </w:r>
      <w:r>
        <w:rPr>
          <w:vertAlign w:val="baseline"/>
        </w:rPr>
        <w:t> for innocent misrepresentation unless the representation is, or becomes, a contractual term, but there are a number of important exceptions to this principle. </w:t>
      </w:r>
      <w:r>
        <w:rPr>
          <w:color w:val="005DA1"/>
          <w:u w:val="single" w:color="005DA1"/>
          <w:vertAlign w:val="superscript"/>
        </w:rPr>
        <w:t>246</w:t>
      </w:r>
    </w:p>
    <w:p>
      <w:pPr>
        <w:pStyle w:val="BodyText"/>
      </w:pPr>
    </w:p>
    <w:p>
      <w:pPr>
        <w:pStyle w:val="BodyText"/>
        <w:spacing w:before="35"/>
      </w:pPr>
    </w:p>
    <w:p>
      <w:pPr>
        <w:spacing w:before="0"/>
        <w:ind w:left="165" w:right="0" w:firstLine="0"/>
        <w:jc w:val="left"/>
        <w:rPr>
          <w:rFonts w:ascii="Arial" w:hAnsi="Arial"/>
          <w:b/>
          <w:sz w:val="18"/>
        </w:rPr>
      </w:pPr>
      <w:r>
        <w:rPr>
          <w:rFonts w:ascii="Arial" w:hAnsi="Arial"/>
          <w:b/>
          <w:sz w:val="18"/>
        </w:rPr>
        <w:t>Lord Tenterden’s </w:t>
      </w:r>
      <w:r>
        <w:rPr>
          <w:rFonts w:ascii="Arial" w:hAnsi="Arial"/>
          <w:b/>
          <w:spacing w:val="-5"/>
          <w:sz w:val="18"/>
        </w:rPr>
        <w:t>Act</w:t>
      </w:r>
    </w:p>
    <w:p>
      <w:pPr>
        <w:pStyle w:val="BodyText"/>
        <w:spacing w:before="41"/>
        <w:rPr>
          <w:rFonts w:ascii="Arial"/>
          <w:b/>
          <w:sz w:val="18"/>
        </w:rPr>
      </w:pPr>
    </w:p>
    <w:p>
      <w:pPr>
        <w:pStyle w:val="Heading2"/>
        <w:spacing w:before="1"/>
      </w:pPr>
      <w:r>
        <w:rPr/>
        <w:t>7-</w:t>
      </w:r>
      <w:r>
        <w:rPr>
          <w:spacing w:val="-5"/>
        </w:rPr>
        <w:t>046</w:t>
      </w:r>
    </w:p>
    <w:p>
      <w:pPr>
        <w:pStyle w:val="BodyText"/>
        <w:spacing w:line="235" w:lineRule="auto" w:before="202"/>
        <w:ind w:left="165" w:right="167"/>
        <w:jc w:val="both"/>
      </w:pPr>
      <w:r>
        <w:rPr/>
        <w:t>Exceptionally, no action may be brought on a fraudulent misrepresentation as to a person’s </w:t>
      </w:r>
      <w:r>
        <w:rPr/>
        <w:t>“relating</w:t>
      </w:r>
      <w:r>
        <w:rPr>
          <w:spacing w:val="40"/>
        </w:rPr>
        <w:t> </w:t>
      </w:r>
      <w:r>
        <w:rPr/>
        <w:t>to the character, conduct, credit, ability, trade, or dealings of any other person” unless the </w:t>
      </w:r>
      <w:bookmarkStart w:name="_bookmark459" w:id="461"/>
      <w:bookmarkEnd w:id="461"/>
      <w:r>
        <w:rPr/>
        <w:t>representation</w:t>
      </w:r>
      <w:r>
        <w:rPr/>
        <w:t> is in writing and signed by the representor: Statute of Frauds Amendment Act 1828 </w:t>
      </w:r>
      <w:bookmarkStart w:name="_bookmark460" w:id="462"/>
      <w:bookmarkEnd w:id="462"/>
      <w:r>
        <w:rPr/>
        <w:t>(Lord</w:t>
      </w:r>
      <w:r>
        <w:rPr/>
        <w:t> Tenterden’s Act) s.6. This applies only to claims of fraud </w:t>
      </w:r>
      <w:r>
        <w:rPr>
          <w:color w:val="005DA1"/>
          <w:u w:val="single" w:color="005DA1"/>
          <w:vertAlign w:val="superscript"/>
        </w:rPr>
        <w:t>247</w:t>
      </w:r>
      <w:r>
        <w:rPr>
          <w:color w:val="005DA1"/>
          <w:vertAlign w:val="baseline"/>
        </w:rPr>
        <w:t> </w:t>
      </w:r>
      <w:r>
        <w:rPr>
          <w:vertAlign w:val="baseline"/>
        </w:rPr>
        <w:t>and possibly to claims under Misrepresentation Act 1967 s.2(1). </w:t>
      </w:r>
      <w:r>
        <w:rPr>
          <w:color w:val="005DA1"/>
          <w:u w:val="single" w:color="005DA1"/>
          <w:vertAlign w:val="superscript"/>
        </w:rPr>
        <w:t>248</w:t>
      </w:r>
    </w:p>
    <w:p>
      <w:pPr>
        <w:pStyle w:val="BodyText"/>
      </w:pPr>
    </w:p>
    <w:p>
      <w:pPr>
        <w:pStyle w:val="BodyText"/>
        <w:spacing w:before="38"/>
      </w:pPr>
      <w:r>
        <w:rPr/>
        <mc:AlternateContent>
          <mc:Choice Requires="wps">
            <w:drawing>
              <wp:anchor distT="0" distB="0" distL="0" distR="0" allowOverlap="1" layoutInCell="1" locked="0" behindDoc="1" simplePos="0" relativeHeight="487614464">
                <wp:simplePos x="0" y="0"/>
                <wp:positionH relativeFrom="page">
                  <wp:posOffset>914400</wp:posOffset>
                </wp:positionH>
                <wp:positionV relativeFrom="paragraph">
                  <wp:posOffset>185751</wp:posOffset>
                </wp:positionV>
                <wp:extent cx="5724525" cy="1270"/>
                <wp:effectExtent l="0" t="0" r="0" b="0"/>
                <wp:wrapTopAndBottom/>
                <wp:docPr id="103" name="Graphic 103"/>
                <wp:cNvGraphicFramePr>
                  <a:graphicFrameLocks/>
                </wp:cNvGraphicFramePr>
                <a:graphic>
                  <a:graphicData uri="http://schemas.microsoft.com/office/word/2010/wordprocessingShape">
                    <wps:wsp>
                      <wps:cNvPr id="103" name="Graphic 10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26137pt;width:450.75pt;height:.1pt;mso-position-horizontal-relative:page;mso-position-vertical-relative:paragraph;z-index:-15702016;mso-wrap-distance-left:0;mso-wrap-distance-right:0" id="docshape10"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3890176">
                <wp:simplePos x="0" y="0"/>
                <wp:positionH relativeFrom="page">
                  <wp:posOffset>914400</wp:posOffset>
                </wp:positionH>
                <wp:positionV relativeFrom="paragraph">
                  <wp:posOffset>94576</wp:posOffset>
                </wp:positionV>
                <wp:extent cx="4953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26304" from="72pt,7.446977pt" to="75.892pt,7.446977pt" stroked="true" strokeweight=".5pt" strokecolor="#005da1">
                <v:stroke dashstyle="solid"/>
                <w10:wrap type="none"/>
              </v:line>
            </w:pict>
          </mc:Fallback>
        </mc:AlternateContent>
      </w:r>
      <w:hyperlink w:history="true" w:anchor="_bookmark1576">
        <w:r>
          <w:rPr>
            <w:color w:val="005DA1"/>
            <w:spacing w:val="-6"/>
            <w:position w:val="5"/>
            <w:sz w:val="14"/>
          </w:rPr>
          <w:t>1</w:t>
        </w:r>
      </w:hyperlink>
      <w:r>
        <w:rPr>
          <w:spacing w:val="-6"/>
          <w:position w:val="5"/>
          <w:sz w:val="14"/>
        </w:rPr>
        <w:t>.</w:t>
      </w:r>
      <w:r>
        <w:rPr>
          <w:position w:val="5"/>
          <w:sz w:val="14"/>
        </w:rPr>
        <w:tab/>
      </w:r>
      <w:r>
        <w:rPr>
          <w:sz w:val="20"/>
        </w:rPr>
        <w:t>See Allen, </w:t>
      </w:r>
      <w:r>
        <w:rPr>
          <w:rFonts w:ascii="Arial"/>
          <w:i/>
          <w:sz w:val="20"/>
        </w:rPr>
        <w:t>Misrepresentation </w:t>
      </w:r>
      <w:r>
        <w:rPr>
          <w:sz w:val="20"/>
        </w:rPr>
        <w:t>(1988); Cartwright, </w:t>
      </w:r>
      <w:r>
        <w:rPr>
          <w:rFonts w:ascii="Arial"/>
          <w:i/>
          <w:sz w:val="20"/>
        </w:rPr>
        <w:t>Unequal Bargaining </w:t>
      </w:r>
      <w:r>
        <w:rPr>
          <w:sz w:val="20"/>
        </w:rPr>
        <w:t>(1991), Ch.3; </w:t>
      </w:r>
      <w:r>
        <w:rPr>
          <w:sz w:val="20"/>
        </w:rPr>
        <w:t>Cartwright, Misrepresentation, Mistake and Non-disclosure, 4th edn (2016); Spencer Bower and Handley, </w:t>
      </w:r>
      <w:r>
        <w:rPr>
          <w:rFonts w:ascii="Arial"/>
          <w:i/>
          <w:sz w:val="20"/>
        </w:rPr>
        <w:t>Actionable Misrepresentation</w:t>
      </w:r>
      <w:r>
        <w:rPr>
          <w:sz w:val="20"/>
        </w:rPr>
        <w:t>, 5th edn (2014).</w:t>
      </w:r>
    </w:p>
    <w:p>
      <w:pPr>
        <w:pStyle w:val="BodyText"/>
        <w:spacing w:before="5"/>
      </w:pPr>
    </w:p>
    <w:p>
      <w:pPr>
        <w:pStyle w:val="BodyText"/>
        <w:tabs>
          <w:tab w:pos="705" w:val="left" w:leader="none"/>
        </w:tabs>
        <w:ind w:left="165"/>
      </w:pPr>
      <w:bookmarkStart w:name="_bookmark461" w:id="463"/>
      <w:bookmarkEnd w:id="463"/>
      <w:r>
        <w:rPr/>
      </w:r>
      <w:hyperlink w:history="true" w:anchor="_bookmark454">
        <w:r>
          <w:rPr>
            <w:color w:val="005DA1"/>
            <w:spacing w:val="-4"/>
            <w:position w:val="5"/>
            <w:sz w:val="14"/>
            <w:u w:val="single" w:color="005DA1"/>
          </w:rPr>
          <w:t>242</w:t>
        </w:r>
      </w:hyperlink>
      <w:r>
        <w:rPr>
          <w:spacing w:val="-4"/>
          <w:position w:val="5"/>
          <w:sz w:val="14"/>
        </w:rPr>
        <w:t>.</w:t>
      </w:r>
      <w:r>
        <w:rPr>
          <w:position w:val="5"/>
          <w:sz w:val="14"/>
        </w:rPr>
        <w:tab/>
      </w:r>
      <w:r>
        <w:rPr/>
        <w:t>Below,</w:t>
      </w:r>
      <w:r>
        <w:rPr>
          <w:spacing w:val="-2"/>
        </w:rPr>
        <w:t> </w:t>
      </w:r>
      <w:r>
        <w:rPr/>
        <w:t>paras 7-047—7-</w:t>
      </w:r>
      <w:r>
        <w:rPr>
          <w:spacing w:val="-4"/>
        </w:rPr>
        <w:t>073.</w:t>
      </w:r>
    </w:p>
    <w:p>
      <w:pPr>
        <w:pStyle w:val="BodyText"/>
        <w:spacing w:before="5"/>
      </w:pPr>
    </w:p>
    <w:p>
      <w:pPr>
        <w:pStyle w:val="BodyText"/>
        <w:tabs>
          <w:tab w:pos="705" w:val="left" w:leader="none"/>
        </w:tabs>
        <w:ind w:left="165"/>
      </w:pPr>
      <w:bookmarkStart w:name="_bookmark462" w:id="464"/>
      <w:bookmarkEnd w:id="464"/>
      <w:r>
        <w:rPr/>
      </w:r>
      <w:hyperlink w:history="true" w:anchor="_bookmark455">
        <w:r>
          <w:rPr>
            <w:color w:val="005DA1"/>
            <w:spacing w:val="-4"/>
            <w:position w:val="5"/>
            <w:sz w:val="14"/>
            <w:u w:val="single" w:color="005DA1"/>
          </w:rPr>
          <w:t>243</w:t>
        </w:r>
      </w:hyperlink>
      <w:r>
        <w:rPr>
          <w:spacing w:val="-4"/>
          <w:position w:val="5"/>
          <w:sz w:val="14"/>
        </w:rPr>
        <w:t>.</w:t>
      </w:r>
      <w:r>
        <w:rPr>
          <w:position w:val="5"/>
          <w:sz w:val="14"/>
        </w:rPr>
        <w:tab/>
      </w:r>
      <w:r>
        <w:rPr/>
        <w:t>See</w:t>
      </w:r>
      <w:r>
        <w:rPr>
          <w:spacing w:val="-2"/>
        </w:rPr>
        <w:t> </w:t>
      </w:r>
      <w:r>
        <w:rPr/>
        <w:t>below, para.7-</w:t>
      </w:r>
      <w:r>
        <w:rPr>
          <w:spacing w:val="-4"/>
        </w:rPr>
        <w:t>076.</w:t>
      </w:r>
    </w:p>
    <w:p>
      <w:pPr>
        <w:pStyle w:val="BodyText"/>
        <w:spacing w:before="5"/>
      </w:pPr>
    </w:p>
    <w:p>
      <w:pPr>
        <w:pStyle w:val="BodyText"/>
        <w:tabs>
          <w:tab w:pos="705" w:val="left" w:leader="none"/>
        </w:tabs>
        <w:ind w:left="165"/>
      </w:pPr>
      <w:bookmarkStart w:name="_bookmark463" w:id="465"/>
      <w:bookmarkEnd w:id="465"/>
      <w:r>
        <w:rPr/>
      </w:r>
      <w:hyperlink w:history="true" w:anchor="_bookmark456">
        <w:r>
          <w:rPr>
            <w:color w:val="005DA1"/>
            <w:spacing w:val="-4"/>
            <w:position w:val="5"/>
            <w:sz w:val="14"/>
            <w:u w:val="single" w:color="005DA1"/>
          </w:rPr>
          <w:t>244</w:t>
        </w:r>
      </w:hyperlink>
      <w:r>
        <w:rPr>
          <w:spacing w:val="-4"/>
          <w:position w:val="5"/>
          <w:sz w:val="14"/>
        </w:rPr>
        <w:t>.</w:t>
      </w:r>
      <w:r>
        <w:rPr>
          <w:position w:val="5"/>
          <w:sz w:val="14"/>
        </w:rPr>
        <w:tab/>
      </w:r>
      <w:r>
        <w:rPr/>
        <w:t>Below,</w:t>
      </w:r>
      <w:r>
        <w:rPr>
          <w:spacing w:val="-2"/>
        </w:rPr>
        <w:t> </w:t>
      </w:r>
      <w:r>
        <w:rPr/>
        <w:t>paras 7-075—7-</w:t>
      </w:r>
      <w:r>
        <w:rPr>
          <w:spacing w:val="-4"/>
        </w:rPr>
        <w:t>085.</w:t>
      </w:r>
    </w:p>
    <w:p>
      <w:pPr>
        <w:pStyle w:val="BodyText"/>
        <w:spacing w:before="5"/>
      </w:pPr>
    </w:p>
    <w:p>
      <w:pPr>
        <w:pStyle w:val="BodyText"/>
        <w:tabs>
          <w:tab w:pos="705" w:val="left" w:leader="none"/>
        </w:tabs>
        <w:ind w:left="165"/>
      </w:pPr>
      <w:bookmarkStart w:name="_bookmark464" w:id="466"/>
      <w:bookmarkEnd w:id="466"/>
      <w:r>
        <w:rPr/>
      </w:r>
      <w:hyperlink w:history="true" w:anchor="_bookmark457">
        <w:r>
          <w:rPr>
            <w:color w:val="005DA1"/>
            <w:spacing w:val="-4"/>
            <w:position w:val="5"/>
            <w:sz w:val="14"/>
            <w:u w:val="single" w:color="005DA1"/>
          </w:rPr>
          <w:t>245</w:t>
        </w:r>
      </w:hyperlink>
      <w:r>
        <w:rPr>
          <w:spacing w:val="-4"/>
          <w:position w:val="5"/>
          <w:sz w:val="14"/>
        </w:rPr>
        <w:t>.</w:t>
      </w:r>
      <w:r>
        <w:rPr>
          <w:position w:val="5"/>
          <w:sz w:val="14"/>
        </w:rPr>
        <w:tab/>
      </w:r>
      <w:r>
        <w:rPr/>
        <w:t>Below,</w:t>
      </w:r>
      <w:r>
        <w:rPr>
          <w:spacing w:val="-2"/>
        </w:rPr>
        <w:t> </w:t>
      </w:r>
      <w:r>
        <w:rPr/>
        <w:t>paras 7-086—7-</w:t>
      </w:r>
      <w:r>
        <w:rPr>
          <w:spacing w:val="-4"/>
        </w:rPr>
        <w:t>097.</w:t>
      </w:r>
    </w:p>
    <w:p>
      <w:pPr>
        <w:pStyle w:val="BodyText"/>
        <w:spacing w:before="5"/>
      </w:pPr>
    </w:p>
    <w:p>
      <w:pPr>
        <w:pStyle w:val="BodyText"/>
        <w:tabs>
          <w:tab w:pos="705" w:val="left" w:leader="none"/>
        </w:tabs>
        <w:ind w:left="165"/>
      </w:pPr>
      <w:bookmarkStart w:name="_bookmark465" w:id="467"/>
      <w:bookmarkEnd w:id="467"/>
      <w:r>
        <w:rPr/>
      </w:r>
      <w:hyperlink w:history="true" w:anchor="_bookmark458">
        <w:r>
          <w:rPr>
            <w:color w:val="005DA1"/>
            <w:spacing w:val="-4"/>
            <w:position w:val="5"/>
            <w:sz w:val="14"/>
            <w:u w:val="single" w:color="005DA1"/>
          </w:rPr>
          <w:t>246</w:t>
        </w:r>
      </w:hyperlink>
      <w:r>
        <w:rPr>
          <w:spacing w:val="-4"/>
          <w:position w:val="5"/>
          <w:sz w:val="14"/>
        </w:rPr>
        <w:t>.</w:t>
      </w:r>
      <w:r>
        <w:rPr>
          <w:position w:val="5"/>
          <w:sz w:val="14"/>
        </w:rPr>
        <w:tab/>
      </w:r>
      <w:r>
        <w:rPr/>
        <w:t>Below,</w:t>
      </w:r>
      <w:r>
        <w:rPr>
          <w:spacing w:val="-2"/>
        </w:rPr>
        <w:t> </w:t>
      </w:r>
      <w:r>
        <w:rPr/>
        <w:t>paras 7-102—7-</w:t>
      </w:r>
      <w:r>
        <w:rPr>
          <w:spacing w:val="-4"/>
        </w:rPr>
        <w:t>109.</w:t>
      </w:r>
    </w:p>
    <w:p>
      <w:pPr>
        <w:pStyle w:val="BodyText"/>
        <w:spacing w:before="9"/>
      </w:pPr>
    </w:p>
    <w:p>
      <w:pPr>
        <w:spacing w:line="235" w:lineRule="auto" w:before="0"/>
        <w:ind w:left="705" w:right="167" w:hanging="541"/>
        <w:jc w:val="both"/>
        <w:rPr>
          <w:sz w:val="20"/>
        </w:rPr>
      </w:pPr>
      <w:bookmarkStart w:name="_bookmark466" w:id="468"/>
      <w:bookmarkEnd w:id="468"/>
      <w:r>
        <w:rPr/>
      </w:r>
      <w:hyperlink w:history="true" w:anchor="_bookmark459">
        <w:r>
          <w:rPr>
            <w:color w:val="005DA1"/>
            <w:position w:val="5"/>
            <w:sz w:val="14"/>
            <w:u w:val="single" w:color="005DA1"/>
          </w:rPr>
          <w:t>247</w:t>
        </w:r>
      </w:hyperlink>
      <w:r>
        <w:rPr>
          <w:position w:val="5"/>
          <w:sz w:val="14"/>
        </w:rPr>
        <w:t>.</w:t>
      </w:r>
      <w:r>
        <w:rPr>
          <w:spacing w:val="40"/>
          <w:position w:val="5"/>
          <w:sz w:val="14"/>
        </w:rPr>
        <w:t>  </w:t>
      </w:r>
      <w:r>
        <w:rPr>
          <w:rFonts w:ascii="Arial"/>
          <w:i/>
          <w:sz w:val="20"/>
        </w:rPr>
        <w:t>Banbury v Bank of Montreal [1918] A.C. 626 (HL)</w:t>
      </w:r>
      <w:r>
        <w:rPr>
          <w:sz w:val="20"/>
        </w:rPr>
        <w:t>. The Act may be satisfied by a representation implied by a signed writing but a representation by conduct would not suffice: </w:t>
      </w:r>
      <w:r>
        <w:rPr>
          <w:rFonts w:ascii="Arial"/>
          <w:i/>
          <w:sz w:val="20"/>
        </w:rPr>
        <w:t>Contex </w:t>
      </w:r>
      <w:r>
        <w:rPr>
          <w:rFonts w:ascii="Arial"/>
          <w:i/>
          <w:sz w:val="20"/>
        </w:rPr>
        <w:t>Drouzhba v Wiseman [2007] EWCA Civ 1201, [2007] All E.R. (D) 293 (Nov)</w:t>
      </w:r>
      <w:r>
        <w:rPr>
          <w:sz w:val="20"/>
        </w:rPr>
        <w:t>. The representation may be made</w:t>
      </w:r>
      <w:r>
        <w:rPr>
          <w:spacing w:val="21"/>
          <w:sz w:val="20"/>
        </w:rPr>
        <w:t> </w:t>
      </w:r>
      <w:r>
        <w:rPr>
          <w:sz w:val="20"/>
        </w:rPr>
        <w:t>in</w:t>
      </w:r>
      <w:r>
        <w:rPr>
          <w:spacing w:val="23"/>
          <w:sz w:val="20"/>
        </w:rPr>
        <w:t> </w:t>
      </w:r>
      <w:r>
        <w:rPr>
          <w:sz w:val="20"/>
        </w:rPr>
        <w:t>an</w:t>
      </w:r>
      <w:r>
        <w:rPr>
          <w:spacing w:val="23"/>
          <w:sz w:val="20"/>
        </w:rPr>
        <w:t> </w:t>
      </w:r>
      <w:r>
        <w:rPr>
          <w:sz w:val="20"/>
        </w:rPr>
        <w:t>email,</w:t>
      </w:r>
      <w:r>
        <w:rPr>
          <w:spacing w:val="23"/>
          <w:sz w:val="20"/>
        </w:rPr>
        <w:t> </w:t>
      </w:r>
      <w:r>
        <w:rPr>
          <w:sz w:val="20"/>
        </w:rPr>
        <w:t>provided</w:t>
      </w:r>
      <w:r>
        <w:rPr>
          <w:spacing w:val="23"/>
          <w:sz w:val="20"/>
        </w:rPr>
        <w:t> </w:t>
      </w:r>
      <w:r>
        <w:rPr>
          <w:sz w:val="20"/>
        </w:rPr>
        <w:t>that</w:t>
      </w:r>
      <w:r>
        <w:rPr>
          <w:spacing w:val="23"/>
          <w:sz w:val="20"/>
        </w:rPr>
        <w:t> </w:t>
      </w:r>
      <w:r>
        <w:rPr>
          <w:sz w:val="20"/>
        </w:rPr>
        <w:t>the</w:t>
      </w:r>
      <w:r>
        <w:rPr>
          <w:spacing w:val="23"/>
          <w:sz w:val="20"/>
        </w:rPr>
        <w:t> </w:t>
      </w:r>
      <w:r>
        <w:rPr>
          <w:sz w:val="20"/>
        </w:rPr>
        <w:t>email</w:t>
      </w:r>
      <w:r>
        <w:rPr>
          <w:spacing w:val="23"/>
          <w:sz w:val="20"/>
        </w:rPr>
        <w:t> </w:t>
      </w:r>
      <w:r>
        <w:rPr>
          <w:sz w:val="20"/>
        </w:rPr>
        <w:t>includes</w:t>
      </w:r>
      <w:r>
        <w:rPr>
          <w:spacing w:val="23"/>
          <w:sz w:val="20"/>
        </w:rPr>
        <w:t> </w:t>
      </w:r>
      <w:r>
        <w:rPr>
          <w:sz w:val="20"/>
        </w:rPr>
        <w:t>a</w:t>
      </w:r>
      <w:r>
        <w:rPr>
          <w:spacing w:val="23"/>
          <w:sz w:val="20"/>
        </w:rPr>
        <w:t> </w:t>
      </w:r>
      <w:r>
        <w:rPr>
          <w:sz w:val="20"/>
        </w:rPr>
        <w:t>written</w:t>
      </w:r>
      <w:r>
        <w:rPr>
          <w:spacing w:val="23"/>
          <w:sz w:val="20"/>
        </w:rPr>
        <w:t> </w:t>
      </w:r>
      <w:r>
        <w:rPr>
          <w:sz w:val="20"/>
        </w:rPr>
        <w:t>indication</w:t>
      </w:r>
      <w:r>
        <w:rPr>
          <w:spacing w:val="23"/>
          <w:sz w:val="20"/>
        </w:rPr>
        <w:t> </w:t>
      </w:r>
      <w:r>
        <w:rPr>
          <w:sz w:val="20"/>
        </w:rPr>
        <w:t>of</w:t>
      </w:r>
      <w:r>
        <w:rPr>
          <w:spacing w:val="23"/>
          <w:sz w:val="20"/>
        </w:rPr>
        <w:t> </w:t>
      </w:r>
      <w:r>
        <w:rPr>
          <w:sz w:val="20"/>
        </w:rPr>
        <w:t>who</w:t>
      </w:r>
      <w:r>
        <w:rPr>
          <w:spacing w:val="23"/>
          <w:sz w:val="20"/>
        </w:rPr>
        <w:t> </w:t>
      </w:r>
      <w:r>
        <w:rPr>
          <w:sz w:val="20"/>
        </w:rPr>
        <w:t>is</w:t>
      </w:r>
      <w:r>
        <w:rPr>
          <w:spacing w:val="23"/>
          <w:sz w:val="20"/>
        </w:rPr>
        <w:t> </w:t>
      </w:r>
      <w:r>
        <w:rPr>
          <w:sz w:val="20"/>
        </w:rPr>
        <w:t>sending</w:t>
      </w:r>
      <w:r>
        <w:rPr>
          <w:spacing w:val="23"/>
          <w:sz w:val="20"/>
        </w:rPr>
        <w:t> </w:t>
      </w:r>
      <w:r>
        <w:rPr>
          <w:spacing w:val="-5"/>
          <w:sz w:val="20"/>
        </w:rPr>
        <w:t>the</w:t>
      </w:r>
    </w:p>
    <w:p>
      <w:pPr>
        <w:spacing w:after="0" w:line="235" w:lineRule="auto"/>
        <w:jc w:val="both"/>
        <w:rPr>
          <w:sz w:val="20"/>
        </w:rPr>
        <w:sectPr>
          <w:headerReference w:type="default" r:id="rId10"/>
          <w:pgSz w:w="11900" w:h="16840"/>
          <w:pgMar w:header="971" w:footer="0" w:top="1160" w:bottom="280" w:left="1275" w:right="1275"/>
          <w:pgNumType w:start="1"/>
        </w:sectPr>
      </w:pPr>
    </w:p>
    <w:p>
      <w:pPr>
        <w:pStyle w:val="BodyText"/>
        <w:spacing w:before="24"/>
      </w:pPr>
    </w:p>
    <w:p>
      <w:pPr>
        <w:spacing w:line="235" w:lineRule="auto" w:before="1"/>
        <w:ind w:left="705" w:right="0" w:firstLine="0"/>
        <w:jc w:val="left"/>
        <w:rPr>
          <w:sz w:val="20"/>
        </w:rPr>
      </w:pPr>
      <w:r>
        <w:rPr>
          <w:sz w:val="20"/>
        </w:rPr>
        <w:t>email and some form of “signature”: </w:t>
      </w:r>
      <w:r>
        <w:rPr>
          <w:rFonts w:ascii="Arial" w:hAnsi="Arial"/>
          <w:i/>
          <w:sz w:val="20"/>
        </w:rPr>
        <w:t>J Pereira Fernandes SA v Mehta [2006] EWHC 813 (Ch), [2006]</w:t>
      </w:r>
      <w:r>
        <w:rPr>
          <w:rFonts w:ascii="Arial" w:hAnsi="Arial"/>
          <w:i/>
          <w:spacing w:val="20"/>
          <w:sz w:val="20"/>
        </w:rPr>
        <w:t> </w:t>
      </w:r>
      <w:r>
        <w:rPr>
          <w:rFonts w:ascii="Arial" w:hAnsi="Arial"/>
          <w:i/>
          <w:sz w:val="20"/>
        </w:rPr>
        <w:t>1</w:t>
      </w:r>
      <w:r>
        <w:rPr>
          <w:rFonts w:ascii="Arial" w:hAnsi="Arial"/>
          <w:i/>
          <w:spacing w:val="21"/>
          <w:sz w:val="20"/>
        </w:rPr>
        <w:t> </w:t>
      </w:r>
      <w:r>
        <w:rPr>
          <w:rFonts w:ascii="Arial" w:hAnsi="Arial"/>
          <w:i/>
          <w:sz w:val="20"/>
        </w:rPr>
        <w:t>W.L.R.</w:t>
      </w:r>
      <w:r>
        <w:rPr>
          <w:rFonts w:ascii="Arial" w:hAnsi="Arial"/>
          <w:i/>
          <w:spacing w:val="21"/>
          <w:sz w:val="20"/>
        </w:rPr>
        <w:t> </w:t>
      </w:r>
      <w:r>
        <w:rPr>
          <w:rFonts w:ascii="Arial" w:hAnsi="Arial"/>
          <w:i/>
          <w:sz w:val="20"/>
        </w:rPr>
        <w:t>1543</w:t>
      </w:r>
      <w:r>
        <w:rPr>
          <w:sz w:val="20"/>
        </w:rPr>
        <w:t>;</w:t>
      </w:r>
      <w:r>
        <w:rPr>
          <w:spacing w:val="21"/>
          <w:sz w:val="20"/>
        </w:rPr>
        <w:t> </w:t>
      </w:r>
      <w:r>
        <w:rPr>
          <w:rFonts w:ascii="Arial" w:hAnsi="Arial"/>
          <w:i/>
          <w:sz w:val="20"/>
        </w:rPr>
        <w:t>Lindsay</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O’Loughnane</w:t>
      </w:r>
      <w:r>
        <w:rPr>
          <w:rFonts w:ascii="Arial" w:hAnsi="Arial"/>
          <w:i/>
          <w:spacing w:val="21"/>
          <w:sz w:val="20"/>
        </w:rPr>
        <w:t> </w:t>
      </w:r>
      <w:r>
        <w:rPr>
          <w:rFonts w:ascii="Arial" w:hAnsi="Arial"/>
          <w:i/>
          <w:sz w:val="20"/>
        </w:rPr>
        <w:t>[2010]</w:t>
      </w:r>
      <w:r>
        <w:rPr>
          <w:rFonts w:ascii="Arial" w:hAnsi="Arial"/>
          <w:i/>
          <w:spacing w:val="21"/>
          <w:sz w:val="20"/>
        </w:rPr>
        <w:t> </w:t>
      </w:r>
      <w:r>
        <w:rPr>
          <w:rFonts w:ascii="Arial" w:hAnsi="Arial"/>
          <w:i/>
          <w:sz w:val="20"/>
        </w:rPr>
        <w:t>EWHC</w:t>
      </w:r>
      <w:r>
        <w:rPr>
          <w:rFonts w:ascii="Arial" w:hAnsi="Arial"/>
          <w:i/>
          <w:spacing w:val="21"/>
          <w:sz w:val="20"/>
        </w:rPr>
        <w:t> </w:t>
      </w:r>
      <w:r>
        <w:rPr>
          <w:rFonts w:ascii="Arial" w:hAnsi="Arial"/>
          <w:i/>
          <w:sz w:val="20"/>
        </w:rPr>
        <w:t>529</w:t>
      </w:r>
      <w:r>
        <w:rPr>
          <w:rFonts w:ascii="Arial" w:hAnsi="Arial"/>
          <w:i/>
          <w:spacing w:val="21"/>
          <w:sz w:val="20"/>
        </w:rPr>
        <w:t> </w:t>
      </w:r>
      <w:r>
        <w:rPr>
          <w:rFonts w:ascii="Arial" w:hAnsi="Arial"/>
          <w:i/>
          <w:sz w:val="20"/>
        </w:rPr>
        <w:t>(QB),</w:t>
      </w:r>
      <w:r>
        <w:rPr>
          <w:rFonts w:ascii="Arial" w:hAnsi="Arial"/>
          <w:i/>
          <w:spacing w:val="21"/>
          <w:sz w:val="20"/>
        </w:rPr>
        <w:t> </w:t>
      </w:r>
      <w:r>
        <w:rPr>
          <w:rFonts w:ascii="Arial" w:hAnsi="Arial"/>
          <w:i/>
          <w:sz w:val="20"/>
        </w:rPr>
        <w:t>[2012]</w:t>
      </w:r>
      <w:r>
        <w:rPr>
          <w:rFonts w:ascii="Arial" w:hAnsi="Arial"/>
          <w:i/>
          <w:spacing w:val="21"/>
          <w:sz w:val="20"/>
        </w:rPr>
        <w:t> </w:t>
      </w:r>
      <w:r>
        <w:rPr>
          <w:rFonts w:ascii="Arial" w:hAnsi="Arial"/>
          <w:i/>
          <w:sz w:val="20"/>
        </w:rPr>
        <w:t>B.C.C.</w:t>
      </w:r>
      <w:r>
        <w:rPr>
          <w:rFonts w:ascii="Arial" w:hAnsi="Arial"/>
          <w:i/>
          <w:spacing w:val="21"/>
          <w:sz w:val="20"/>
        </w:rPr>
        <w:t> </w:t>
      </w:r>
      <w:r>
        <w:rPr>
          <w:rFonts w:ascii="Arial" w:hAnsi="Arial"/>
          <w:i/>
          <w:sz w:val="20"/>
        </w:rPr>
        <w:t>153</w:t>
      </w:r>
      <w:r>
        <w:rPr>
          <w:rFonts w:ascii="Arial" w:hAnsi="Arial"/>
          <w:i/>
          <w:spacing w:val="20"/>
          <w:sz w:val="20"/>
        </w:rPr>
        <w:t> </w:t>
      </w:r>
      <w:r>
        <w:rPr>
          <w:spacing w:val="-5"/>
          <w:sz w:val="20"/>
        </w:rPr>
        <w:t>at</w:t>
      </w:r>
    </w:p>
    <w:p>
      <w:pPr>
        <w:pStyle w:val="BodyText"/>
        <w:spacing w:line="225" w:lineRule="exact"/>
        <w:ind w:left="705"/>
      </w:pPr>
      <w:r>
        <w:rPr>
          <w:spacing w:val="-2"/>
        </w:rPr>
        <w:t>[95].</w:t>
      </w:r>
    </w:p>
    <w:p>
      <w:pPr>
        <w:pStyle w:val="BodyText"/>
        <w:spacing w:before="8"/>
      </w:pPr>
    </w:p>
    <w:p>
      <w:pPr>
        <w:tabs>
          <w:tab w:pos="705" w:val="left" w:leader="none"/>
        </w:tabs>
        <w:spacing w:line="235" w:lineRule="auto" w:before="0"/>
        <w:ind w:left="705" w:right="168" w:hanging="541"/>
        <w:jc w:val="left"/>
        <w:rPr>
          <w:sz w:val="20"/>
        </w:rPr>
      </w:pPr>
      <w:bookmarkStart w:name="_bookmark467" w:id="469"/>
      <w:bookmarkEnd w:id="469"/>
      <w:r>
        <w:rPr/>
      </w:r>
      <w:hyperlink w:history="true" w:anchor="_bookmark460">
        <w:r>
          <w:rPr>
            <w:color w:val="005DA1"/>
            <w:spacing w:val="-4"/>
            <w:position w:val="5"/>
            <w:sz w:val="14"/>
            <w:u w:val="single" w:color="005DA1"/>
          </w:rPr>
          <w:t>248</w:t>
        </w:r>
      </w:hyperlink>
      <w:r>
        <w:rPr>
          <w:spacing w:val="-4"/>
          <w:position w:val="5"/>
          <w:sz w:val="14"/>
        </w:rPr>
        <w:t>.</w:t>
      </w:r>
      <w:r>
        <w:rPr>
          <w:position w:val="5"/>
          <w:sz w:val="14"/>
        </w:rPr>
        <w:tab/>
      </w:r>
      <w:r>
        <w:rPr>
          <w:rFonts w:ascii="Arial"/>
          <w:i/>
          <w:sz w:val="20"/>
        </w:rPr>
        <w:t>UBAF</w:t>
      </w:r>
      <w:r>
        <w:rPr>
          <w:rFonts w:ascii="Arial"/>
          <w:i/>
          <w:spacing w:val="64"/>
          <w:sz w:val="20"/>
        </w:rPr>
        <w:t> </w:t>
      </w:r>
      <w:r>
        <w:rPr>
          <w:rFonts w:ascii="Arial"/>
          <w:i/>
          <w:sz w:val="20"/>
        </w:rPr>
        <w:t>Ltd</w:t>
      </w:r>
      <w:r>
        <w:rPr>
          <w:rFonts w:ascii="Arial"/>
          <w:i/>
          <w:spacing w:val="64"/>
          <w:sz w:val="20"/>
        </w:rPr>
        <w:t> </w:t>
      </w:r>
      <w:r>
        <w:rPr>
          <w:rFonts w:ascii="Arial"/>
          <w:i/>
          <w:sz w:val="20"/>
        </w:rPr>
        <w:t>v</w:t>
      </w:r>
      <w:r>
        <w:rPr>
          <w:rFonts w:ascii="Arial"/>
          <w:i/>
          <w:spacing w:val="64"/>
          <w:sz w:val="20"/>
        </w:rPr>
        <w:t> </w:t>
      </w:r>
      <w:r>
        <w:rPr>
          <w:rFonts w:ascii="Arial"/>
          <w:i/>
          <w:sz w:val="20"/>
        </w:rPr>
        <w:t>European</w:t>
      </w:r>
      <w:r>
        <w:rPr>
          <w:rFonts w:ascii="Arial"/>
          <w:i/>
          <w:spacing w:val="64"/>
          <w:sz w:val="20"/>
        </w:rPr>
        <w:t> </w:t>
      </w:r>
      <w:r>
        <w:rPr>
          <w:rFonts w:ascii="Arial"/>
          <w:i/>
          <w:sz w:val="20"/>
        </w:rPr>
        <w:t>American</w:t>
      </w:r>
      <w:r>
        <w:rPr>
          <w:rFonts w:ascii="Arial"/>
          <w:i/>
          <w:spacing w:val="64"/>
          <w:sz w:val="20"/>
        </w:rPr>
        <w:t> </w:t>
      </w:r>
      <w:r>
        <w:rPr>
          <w:rFonts w:ascii="Arial"/>
          <w:i/>
          <w:sz w:val="20"/>
        </w:rPr>
        <w:t>Banking</w:t>
      </w:r>
      <w:r>
        <w:rPr>
          <w:rFonts w:ascii="Arial"/>
          <w:i/>
          <w:spacing w:val="64"/>
          <w:sz w:val="20"/>
        </w:rPr>
        <w:t> </w:t>
      </w:r>
      <w:r>
        <w:rPr>
          <w:rFonts w:ascii="Arial"/>
          <w:i/>
          <w:sz w:val="20"/>
        </w:rPr>
        <w:t>Corp</w:t>
      </w:r>
      <w:r>
        <w:rPr>
          <w:rFonts w:ascii="Arial"/>
          <w:i/>
          <w:spacing w:val="64"/>
          <w:sz w:val="20"/>
        </w:rPr>
        <w:t> </w:t>
      </w:r>
      <w:r>
        <w:rPr>
          <w:rFonts w:ascii="Arial"/>
          <w:i/>
          <w:sz w:val="20"/>
        </w:rPr>
        <w:t>[1984]</w:t>
      </w:r>
      <w:r>
        <w:rPr>
          <w:rFonts w:ascii="Arial"/>
          <w:i/>
          <w:spacing w:val="64"/>
          <w:sz w:val="20"/>
        </w:rPr>
        <w:t> </w:t>
      </w:r>
      <w:r>
        <w:rPr>
          <w:rFonts w:ascii="Arial"/>
          <w:i/>
          <w:sz w:val="20"/>
        </w:rPr>
        <w:t>Q.B.</w:t>
      </w:r>
      <w:r>
        <w:rPr>
          <w:rFonts w:ascii="Arial"/>
          <w:i/>
          <w:spacing w:val="64"/>
          <w:sz w:val="20"/>
        </w:rPr>
        <w:t> </w:t>
      </w:r>
      <w:r>
        <w:rPr>
          <w:rFonts w:ascii="Arial"/>
          <w:i/>
          <w:sz w:val="20"/>
        </w:rPr>
        <w:t>713</w:t>
      </w:r>
      <w:r>
        <w:rPr>
          <w:rFonts w:ascii="Arial"/>
          <w:i/>
          <w:spacing w:val="64"/>
          <w:sz w:val="20"/>
        </w:rPr>
        <w:t> </w:t>
      </w:r>
      <w:r>
        <w:rPr>
          <w:rFonts w:ascii="Arial"/>
          <w:i/>
          <w:sz w:val="20"/>
        </w:rPr>
        <w:t>CA</w:t>
      </w:r>
      <w:r>
        <w:rPr>
          <w:sz w:val="20"/>
        </w:rPr>
        <w:t>:</w:t>
      </w:r>
      <w:r>
        <w:rPr>
          <w:spacing w:val="64"/>
          <w:sz w:val="20"/>
        </w:rPr>
        <w:t> </w:t>
      </w:r>
      <w:r>
        <w:rPr>
          <w:sz w:val="20"/>
        </w:rPr>
        <w:t>see</w:t>
      </w:r>
      <w:r>
        <w:rPr>
          <w:spacing w:val="64"/>
          <w:sz w:val="20"/>
        </w:rPr>
        <w:t> </w:t>
      </w:r>
      <w:r>
        <w:rPr>
          <w:sz w:val="20"/>
        </w:rPr>
        <w:t>further</w:t>
      </w:r>
      <w:r>
        <w:rPr>
          <w:spacing w:val="64"/>
          <w:sz w:val="20"/>
        </w:rPr>
        <w:t> </w:t>
      </w:r>
      <w:r>
        <w:rPr>
          <w:sz w:val="20"/>
        </w:rPr>
        <w:t>below, </w:t>
      </w:r>
      <w:r>
        <w:rPr>
          <w:spacing w:val="-2"/>
          <w:sz w:val="20"/>
        </w:rPr>
        <w:t>para.7-078.</w:t>
      </w:r>
    </w:p>
    <w:p>
      <w:pPr>
        <w:pStyle w:val="BodyText"/>
        <w:spacing w:before="193"/>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539" w:right="2543"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3890688">
                <wp:simplePos x="0" y="0"/>
                <wp:positionH relativeFrom="page">
                  <wp:posOffset>4851958</wp:posOffset>
                </wp:positionH>
                <wp:positionV relativeFrom="paragraph">
                  <wp:posOffset>377436</wp:posOffset>
                </wp:positionV>
                <wp:extent cx="4254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25792" from="382.044006pt,29.719406pt" to="385.380006pt,29.719406pt" stroked="true" strokeweight=".428pt" strokecolor="#005da1">
                <v:stroke dashstyle="solid"/>
                <w10:wrap type="none"/>
              </v:line>
            </w:pict>
          </mc:Fallback>
        </mc:AlternateContent>
      </w:r>
      <w:r>
        <w:rPr>
          <w:rFonts w:ascii="Arial"/>
          <w:b/>
          <w:sz w:val="24"/>
        </w:rPr>
        <w:t>Part 2 - Formation of Contract Chapter 7 - Misrepresentation</w:t>
      </w:r>
      <w:r>
        <w:rPr>
          <w:rFonts w:ascii="Arial"/>
          <w:b/>
          <w:spacing w:val="-1"/>
          <w:sz w:val="24"/>
        </w:rPr>
        <w:t> </w:t>
      </w:r>
      <w:r>
        <w:rPr>
          <w:rFonts w:ascii="Arial"/>
          <w:b/>
          <w:color w:val="005DA1"/>
          <w:spacing w:val="-10"/>
          <w:position w:val="11"/>
          <w:sz w:val="12"/>
        </w:rPr>
        <w:t>1</w:t>
      </w:r>
    </w:p>
    <w:p>
      <w:pPr>
        <w:spacing w:before="2"/>
        <w:ind w:left="940" w:right="943" w:firstLine="0"/>
        <w:jc w:val="center"/>
        <w:rPr>
          <w:rFonts w:ascii="Arial"/>
          <w:b/>
          <w:sz w:val="24"/>
        </w:rPr>
      </w:pPr>
      <w:r>
        <w:rPr>
          <w:rFonts w:ascii="Arial"/>
          <w:b/>
          <w:sz w:val="24"/>
        </w:rPr>
        <w:t>Section 3. - Damages for </w:t>
      </w:r>
      <w:r>
        <w:rPr>
          <w:rFonts w:ascii="Arial"/>
          <w:b/>
          <w:spacing w:val="-2"/>
          <w:sz w:val="24"/>
        </w:rPr>
        <w:t>Misrepresentation</w:t>
      </w:r>
    </w:p>
    <w:p>
      <w:pPr>
        <w:spacing w:before="194"/>
        <w:ind w:left="2731" w:right="0" w:firstLine="0"/>
        <w:jc w:val="left"/>
        <w:rPr>
          <w:rFonts w:ascii="Arial"/>
          <w:b/>
          <w:sz w:val="24"/>
        </w:rPr>
      </w:pPr>
      <w:r>
        <w:rPr>
          <w:rFonts w:ascii="Arial"/>
          <w:b/>
          <w:sz w:val="24"/>
        </w:rPr>
        <w:t>(a) - Fraudulent </w:t>
      </w:r>
      <w:r>
        <w:rPr>
          <w:rFonts w:ascii="Arial"/>
          <w:b/>
          <w:spacing w:val="-2"/>
          <w:sz w:val="24"/>
        </w:rPr>
        <w:t>Misrepresentation</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Claims for damages for </w:t>
      </w:r>
      <w:r>
        <w:rPr>
          <w:rFonts w:ascii="Arial"/>
          <w:b/>
          <w:spacing w:val="-2"/>
          <w:sz w:val="18"/>
        </w:rPr>
        <w:t>fraud</w:t>
      </w:r>
    </w:p>
    <w:p>
      <w:pPr>
        <w:pStyle w:val="BodyText"/>
        <w:spacing w:before="41"/>
        <w:rPr>
          <w:rFonts w:ascii="Arial"/>
          <w:b/>
          <w:sz w:val="18"/>
        </w:rPr>
      </w:pPr>
    </w:p>
    <w:p>
      <w:pPr>
        <w:pStyle w:val="Heading2"/>
        <w:ind w:left="164"/>
      </w:pPr>
      <w:r>
        <w:rPr/>
        <w:t>7-</w:t>
      </w:r>
      <w:r>
        <w:rPr>
          <w:spacing w:val="-5"/>
        </w:rPr>
        <w:t>047</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Where a person has been induced to enter into a contract as a result of a </w:t>
      </w:r>
      <w:r>
        <w:rPr/>
        <w:t>fraudulent </w:t>
      </w:r>
      <w:bookmarkStart w:name="_bookmark468" w:id="470"/>
      <w:bookmarkEnd w:id="470"/>
      <w:r>
        <w:rPr/>
        <w:t>misrepresentation</w:t>
      </w:r>
      <w:r>
        <w:rPr/>
        <w:t> by the other contracting party, he may rescind the contract, or claim damages, or both. </w:t>
      </w:r>
      <w:r>
        <w:rPr>
          <w:color w:val="005DA1"/>
          <w:u w:val="single" w:color="005DA1"/>
          <w:vertAlign w:val="superscript"/>
        </w:rPr>
        <w:t>249</w:t>
      </w:r>
      <w:r>
        <w:rPr>
          <w:color w:val="005DA1"/>
          <w:vertAlign w:val="baseline"/>
        </w:rPr>
        <w:t> </w:t>
      </w:r>
      <w:r>
        <w:rPr>
          <w:vertAlign w:val="baseline"/>
        </w:rPr>
        <w:t>Rescission is dealt with in the next section. </w:t>
      </w:r>
      <w:r>
        <w:rPr>
          <w:color w:val="005DA1"/>
          <w:u w:val="single" w:color="005DA1"/>
          <w:vertAlign w:val="superscript"/>
        </w:rPr>
        <w:t>250</w:t>
      </w:r>
      <w:r>
        <w:rPr>
          <w:color w:val="005DA1"/>
          <w:vertAlign w:val="baseline"/>
        </w:rPr>
        <w:t> </w:t>
      </w:r>
      <w:r>
        <w:rPr>
          <w:vertAlign w:val="baseline"/>
        </w:rPr>
        <w:t>In cases in which the parties have entered a contract as the result of the misrepresentation, damages for fraud are perhaps less important than they used to be, as a result of the Misrepresentation Act 1967: claims for damages by a person who </w:t>
      </w:r>
      <w:bookmarkStart w:name="_bookmark469" w:id="471"/>
      <w:bookmarkEnd w:id="471"/>
      <w:r>
        <w:rPr>
          <w:vertAlign w:val="baseline"/>
        </w:rPr>
        <w:t>has</w:t>
      </w:r>
      <w:r>
        <w:rPr>
          <w:vertAlign w:val="baseline"/>
        </w:rPr>
        <w:t> been induced to enter into a contract by the misrepresentation of another party thereto may now be based either on fraud or on (in effect) </w:t>
      </w:r>
      <w:r>
        <w:rPr>
          <w:color w:val="005DA1"/>
          <w:u w:val="single" w:color="005DA1"/>
          <w:vertAlign w:val="superscript"/>
        </w:rPr>
        <w:t>251</w:t>
      </w:r>
      <w:r>
        <w:rPr>
          <w:color w:val="005DA1"/>
          <w:vertAlign w:val="baseline"/>
        </w:rPr>
        <w:t> </w:t>
      </w:r>
      <w:r>
        <w:rPr>
          <w:vertAlign w:val="baseline"/>
        </w:rPr>
        <w:t>negligence. As will be seen in detail below, </w:t>
      </w:r>
      <w:r>
        <w:rPr>
          <w:color w:val="005DA1"/>
          <w:u w:val="single" w:color="005DA1"/>
          <w:vertAlign w:val="superscript"/>
        </w:rPr>
        <w:t>252</w:t>
      </w:r>
      <w:r>
        <w:rPr>
          <w:color w:val="005DA1"/>
          <w:vertAlign w:val="baseline"/>
        </w:rPr>
        <w:t> </w:t>
      </w:r>
      <w:r>
        <w:rPr>
          <w:vertAlign w:val="baseline"/>
        </w:rPr>
        <w:t>s.2(1) of this Act allows a person who has been induced to enter into a contract by a misrepresentation to</w:t>
      </w:r>
      <w:r>
        <w:rPr>
          <w:spacing w:val="40"/>
          <w:vertAlign w:val="baseline"/>
        </w:rPr>
        <w:t> </w:t>
      </w:r>
      <w:r>
        <w:rPr>
          <w:vertAlign w:val="baseline"/>
        </w:rPr>
        <w:t>make a claim for damages as of right, as though the representation had been fraudulent, unless the representor “proves that he had reasonable ground to believe and did believe up to the time the contract was made that the facts represented were true”. In an action under this subsection, it is for </w:t>
      </w:r>
      <w:bookmarkStart w:name="_bookmark470" w:id="472"/>
      <w:bookmarkEnd w:id="472"/>
      <w:r>
        <w:rPr>
          <w:vertAlign w:val="baseline"/>
        </w:rPr>
        <w:t>the</w:t>
      </w:r>
      <w:r>
        <w:rPr>
          <w:spacing w:val="54"/>
          <w:vertAlign w:val="baseline"/>
        </w:rPr>
        <w:t> </w:t>
      </w:r>
      <w:r>
        <w:rPr>
          <w:vertAlign w:val="baseline"/>
        </w:rPr>
        <w:t>representor</w:t>
      </w:r>
      <w:r>
        <w:rPr>
          <w:spacing w:val="54"/>
          <w:vertAlign w:val="baseline"/>
        </w:rPr>
        <w:t> </w:t>
      </w:r>
      <w:r>
        <w:rPr>
          <w:vertAlign w:val="baseline"/>
        </w:rPr>
        <w:t>to</w:t>
      </w:r>
      <w:r>
        <w:rPr>
          <w:spacing w:val="54"/>
          <w:vertAlign w:val="baseline"/>
        </w:rPr>
        <w:t> </w:t>
      </w:r>
      <w:r>
        <w:rPr>
          <w:vertAlign w:val="baseline"/>
        </w:rPr>
        <w:t>disprove</w:t>
      </w:r>
      <w:r>
        <w:rPr>
          <w:spacing w:val="54"/>
          <w:vertAlign w:val="baseline"/>
        </w:rPr>
        <w:t> </w:t>
      </w:r>
      <w:r>
        <w:rPr>
          <w:vertAlign w:val="baseline"/>
        </w:rPr>
        <w:t>negligence,</w:t>
      </w:r>
      <w:r>
        <w:rPr>
          <w:spacing w:val="54"/>
          <w:vertAlign w:val="baseline"/>
        </w:rPr>
        <w:t> </w:t>
      </w:r>
      <w:r>
        <w:rPr>
          <w:vertAlign w:val="baseline"/>
        </w:rPr>
        <w:t>whereas</w:t>
      </w:r>
      <w:r>
        <w:rPr>
          <w:spacing w:val="54"/>
          <w:vertAlign w:val="baseline"/>
        </w:rPr>
        <w:t> </w:t>
      </w:r>
      <w:r>
        <w:rPr>
          <w:vertAlign w:val="baseline"/>
        </w:rPr>
        <w:t>in</w:t>
      </w:r>
      <w:r>
        <w:rPr>
          <w:spacing w:val="54"/>
          <w:vertAlign w:val="baseline"/>
        </w:rPr>
        <w:t> </w:t>
      </w:r>
      <w:r>
        <w:rPr>
          <w:vertAlign w:val="baseline"/>
        </w:rPr>
        <w:t>an</w:t>
      </w:r>
      <w:r>
        <w:rPr>
          <w:spacing w:val="54"/>
          <w:vertAlign w:val="baseline"/>
        </w:rPr>
        <w:t> </w:t>
      </w:r>
      <w:r>
        <w:rPr>
          <w:vertAlign w:val="baseline"/>
        </w:rPr>
        <w:t>action</w:t>
      </w:r>
      <w:r>
        <w:rPr>
          <w:spacing w:val="54"/>
          <w:vertAlign w:val="baseline"/>
        </w:rPr>
        <w:t> </w:t>
      </w:r>
      <w:r>
        <w:rPr>
          <w:vertAlign w:val="baseline"/>
        </w:rPr>
        <w:t>in</w:t>
      </w:r>
      <w:r>
        <w:rPr>
          <w:spacing w:val="54"/>
          <w:vertAlign w:val="baseline"/>
        </w:rPr>
        <w:t> </w:t>
      </w:r>
      <w:r>
        <w:rPr>
          <w:vertAlign w:val="baseline"/>
        </w:rPr>
        <w:t>fraud</w:t>
      </w:r>
      <w:r>
        <w:rPr>
          <w:spacing w:val="54"/>
          <w:vertAlign w:val="baseline"/>
        </w:rPr>
        <w:t> </w:t>
      </w:r>
      <w:r>
        <w:rPr>
          <w:vertAlign w:val="baseline"/>
        </w:rPr>
        <w:t>it</w:t>
      </w:r>
      <w:r>
        <w:rPr>
          <w:spacing w:val="54"/>
          <w:vertAlign w:val="baseline"/>
        </w:rPr>
        <w:t> </w:t>
      </w:r>
      <w:r>
        <w:rPr>
          <w:vertAlign w:val="baseline"/>
        </w:rPr>
        <w:t>is</w:t>
      </w:r>
      <w:r>
        <w:rPr>
          <w:spacing w:val="54"/>
          <w:vertAlign w:val="baseline"/>
        </w:rPr>
        <w:t> </w:t>
      </w:r>
      <w:r>
        <w:rPr>
          <w:vertAlign w:val="baseline"/>
        </w:rPr>
        <w:t>for</w:t>
      </w:r>
      <w:r>
        <w:rPr>
          <w:spacing w:val="54"/>
          <w:vertAlign w:val="baseline"/>
        </w:rPr>
        <w:t> </w:t>
      </w:r>
      <w:r>
        <w:rPr>
          <w:vertAlign w:val="baseline"/>
        </w:rPr>
        <w:t>the</w:t>
      </w:r>
      <w:r>
        <w:rPr>
          <w:spacing w:val="54"/>
          <w:vertAlign w:val="baseline"/>
        </w:rPr>
        <w:t> </w:t>
      </w:r>
      <w:r>
        <w:rPr>
          <w:spacing w:val="-2"/>
          <w:vertAlign w:val="baseline"/>
        </w:rPr>
        <w:t>representee</w:t>
      </w:r>
    </w:p>
    <w:p>
      <w:pPr>
        <w:pStyle w:val="BodyText"/>
        <w:spacing w:line="235" w:lineRule="auto" w:before="115"/>
        <w:ind w:left="165" w:right="167"/>
        <w:jc w:val="both"/>
      </w:pPr>
      <w:r>
        <w:rPr/>
        <w:t>affirmatively to prove the fraud—and the burden is no light one. </w:t>
      </w:r>
      <w:r>
        <w:rPr>
          <w:color w:val="005DA1"/>
          <w:u w:val="single" w:color="005DA1"/>
          <w:vertAlign w:val="superscript"/>
        </w:rPr>
        <w:t>253</w:t>
      </w:r>
      <w:r>
        <w:rPr>
          <w:color w:val="005DA1"/>
          <w:spacing w:val="80"/>
          <w:vertAlign w:val="baseline"/>
        </w:rPr>
        <w:t> </w:t>
      </w:r>
      <w:r>
        <w:rPr>
          <w:color w:val="005DA1"/>
          <w:spacing w:val="25"/>
          <w:position w:val="-2"/>
          <w:vertAlign w:val="baseline"/>
        </w:rPr>
        <w:drawing>
          <wp:inline distT="0" distB="0" distL="0" distR="0">
            <wp:extent cx="107988" cy="107988"/>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hAnsi="Times New Roman"/>
          <w:color w:val="005DA1"/>
          <w:spacing w:val="-12"/>
          <w:vertAlign w:val="baseline"/>
        </w:rPr>
        <w:t> </w:t>
      </w:r>
      <w:r>
        <w:rPr>
          <w:vertAlign w:val="baseline"/>
        </w:rPr>
        <w:t>However, claims for damages against</w:t>
      </w:r>
      <w:r>
        <w:rPr>
          <w:spacing w:val="-1"/>
          <w:vertAlign w:val="baseline"/>
        </w:rPr>
        <w:t> </w:t>
      </w:r>
      <w:r>
        <w:rPr>
          <w:vertAlign w:val="baseline"/>
        </w:rPr>
        <w:t>a</w:t>
      </w:r>
      <w:r>
        <w:rPr>
          <w:spacing w:val="-1"/>
          <w:vertAlign w:val="baseline"/>
        </w:rPr>
        <w:t> </w:t>
      </w:r>
      <w:r>
        <w:rPr>
          <w:vertAlign w:val="baseline"/>
        </w:rPr>
        <w:t>representor</w:t>
      </w:r>
      <w:r>
        <w:rPr>
          <w:spacing w:val="-1"/>
          <w:vertAlign w:val="baseline"/>
        </w:rPr>
        <w:t> </w:t>
      </w:r>
      <w:r>
        <w:rPr>
          <w:vertAlign w:val="baseline"/>
        </w:rPr>
        <w:t>who</w:t>
      </w:r>
      <w:r>
        <w:rPr>
          <w:spacing w:val="-1"/>
          <w:vertAlign w:val="baseline"/>
        </w:rPr>
        <w:t> </w:t>
      </w:r>
      <w:r>
        <w:rPr>
          <w:vertAlign w:val="baseline"/>
        </w:rPr>
        <w:t>does</w:t>
      </w:r>
      <w:r>
        <w:rPr>
          <w:spacing w:val="-1"/>
          <w:vertAlign w:val="baseline"/>
        </w:rPr>
        <w:t> </w:t>
      </w:r>
      <w:r>
        <w:rPr>
          <w:vertAlign w:val="baseline"/>
        </w:rPr>
        <w:t>not</w:t>
      </w:r>
      <w:r>
        <w:rPr>
          <w:spacing w:val="-1"/>
          <w:vertAlign w:val="baseline"/>
        </w:rPr>
        <w:t> </w:t>
      </w:r>
      <w:r>
        <w:rPr>
          <w:vertAlign w:val="baseline"/>
        </w:rPr>
        <w:t>subsequently</w:t>
      </w:r>
      <w:r>
        <w:rPr>
          <w:spacing w:val="-1"/>
          <w:vertAlign w:val="baseline"/>
        </w:rPr>
        <w:t> </w:t>
      </w:r>
      <w:r>
        <w:rPr>
          <w:vertAlign w:val="baseline"/>
        </w:rPr>
        <w:t>enter</w:t>
      </w:r>
      <w:r>
        <w:rPr>
          <w:spacing w:val="-1"/>
          <w:vertAlign w:val="baseline"/>
        </w:rPr>
        <w:t> </w:t>
      </w:r>
      <w:r>
        <w:rPr>
          <w:vertAlign w:val="baseline"/>
        </w:rPr>
        <w:t>into</w:t>
      </w:r>
      <w:r>
        <w:rPr>
          <w:spacing w:val="-1"/>
          <w:vertAlign w:val="baseline"/>
        </w:rPr>
        <w:t> </w:t>
      </w:r>
      <w:r>
        <w:rPr>
          <w:vertAlign w:val="baseline"/>
        </w:rPr>
        <w:t>a</w:t>
      </w:r>
      <w:r>
        <w:rPr>
          <w:spacing w:val="-1"/>
          <w:vertAlign w:val="baseline"/>
        </w:rPr>
        <w:t> </w:t>
      </w:r>
      <w:r>
        <w:rPr>
          <w:vertAlign w:val="baseline"/>
        </w:rPr>
        <w:t>contract</w:t>
      </w:r>
      <w:r>
        <w:rPr>
          <w:spacing w:val="-1"/>
          <w:vertAlign w:val="baseline"/>
        </w:rPr>
        <w:t> </w:t>
      </w:r>
      <w:r>
        <w:rPr>
          <w:vertAlign w:val="baseline"/>
        </w:rPr>
        <w:t>with</w:t>
      </w:r>
      <w:r>
        <w:rPr>
          <w:spacing w:val="-1"/>
          <w:vertAlign w:val="baseline"/>
        </w:rPr>
        <w:t> </w:t>
      </w:r>
      <w:r>
        <w:rPr>
          <w:vertAlign w:val="baseline"/>
        </w:rPr>
        <w:t>the</w:t>
      </w:r>
      <w:r>
        <w:rPr>
          <w:spacing w:val="-1"/>
          <w:vertAlign w:val="baseline"/>
        </w:rPr>
        <w:t> </w:t>
      </w:r>
      <w:r>
        <w:rPr>
          <w:vertAlign w:val="baseline"/>
        </w:rPr>
        <w:t>representee</w:t>
      </w:r>
      <w:r>
        <w:rPr>
          <w:spacing w:val="-1"/>
          <w:vertAlign w:val="baseline"/>
        </w:rPr>
        <w:t> </w:t>
      </w:r>
      <w:r>
        <w:rPr>
          <w:vertAlign w:val="baseline"/>
        </w:rPr>
        <w:t>may</w:t>
      </w:r>
      <w:r>
        <w:rPr>
          <w:spacing w:val="-1"/>
          <w:vertAlign w:val="baseline"/>
        </w:rPr>
        <w:t> </w:t>
      </w:r>
      <w:r>
        <w:rPr>
          <w:vertAlign w:val="baseline"/>
        </w:rPr>
        <w:t>have </w:t>
      </w:r>
      <w:bookmarkStart w:name="_bookmark471" w:id="473"/>
      <w:bookmarkEnd w:id="473"/>
      <w:r>
        <w:rPr>
          <w:vertAlign w:val="baseline"/>
        </w:rPr>
        <w:t>to</w:t>
      </w:r>
      <w:r>
        <w:rPr>
          <w:vertAlign w:val="baseline"/>
        </w:rPr>
        <w:t> be brought in fraud, for although even here negligence may sometimes suffice, it will not always do </w:t>
      </w:r>
      <w:bookmarkStart w:name="_bookmark472" w:id="474"/>
      <w:bookmarkEnd w:id="474"/>
      <w:r>
        <w:rPr>
          <w:vertAlign w:val="baseline"/>
        </w:rPr>
        <w:t>so.</w:t>
      </w:r>
      <w:r>
        <w:rPr>
          <w:spacing w:val="-3"/>
          <w:vertAlign w:val="baseline"/>
        </w:rPr>
        <w:t> </w:t>
      </w:r>
      <w:r>
        <w:rPr>
          <w:color w:val="005DA1"/>
          <w:u w:val="single" w:color="005DA1"/>
          <w:vertAlign w:val="superscript"/>
        </w:rPr>
        <w:t>254</w:t>
      </w:r>
      <w:r>
        <w:rPr>
          <w:color w:val="005DA1"/>
          <w:spacing w:val="-3"/>
          <w:vertAlign w:val="baseline"/>
        </w:rPr>
        <w:t> </w:t>
      </w:r>
      <w:r>
        <w:rPr>
          <w:vertAlign w:val="baseline"/>
        </w:rPr>
        <w:t>Further,</w:t>
      </w:r>
      <w:r>
        <w:rPr>
          <w:spacing w:val="-3"/>
          <w:vertAlign w:val="baseline"/>
        </w:rPr>
        <w:t> </w:t>
      </w:r>
      <w:r>
        <w:rPr>
          <w:vertAlign w:val="baseline"/>
        </w:rPr>
        <w:t>as</w:t>
      </w:r>
      <w:r>
        <w:rPr>
          <w:spacing w:val="-3"/>
          <w:vertAlign w:val="baseline"/>
        </w:rPr>
        <w:t> </w:t>
      </w:r>
      <w:r>
        <w:rPr>
          <w:vertAlign w:val="baseline"/>
        </w:rPr>
        <w:t>will</w:t>
      </w:r>
      <w:r>
        <w:rPr>
          <w:spacing w:val="-3"/>
          <w:vertAlign w:val="baseline"/>
        </w:rPr>
        <w:t> </w:t>
      </w:r>
      <w:r>
        <w:rPr>
          <w:vertAlign w:val="baseline"/>
        </w:rPr>
        <w:t>be</w:t>
      </w:r>
      <w:r>
        <w:rPr>
          <w:spacing w:val="-3"/>
          <w:vertAlign w:val="baseline"/>
        </w:rPr>
        <w:t> </w:t>
      </w:r>
      <w:r>
        <w:rPr>
          <w:vertAlign w:val="baseline"/>
        </w:rPr>
        <w:t>seen</w:t>
      </w:r>
      <w:r>
        <w:rPr>
          <w:spacing w:val="-3"/>
          <w:vertAlign w:val="baseline"/>
        </w:rPr>
        <w:t> </w:t>
      </w:r>
      <w:r>
        <w:rPr>
          <w:vertAlign w:val="baseline"/>
        </w:rPr>
        <w:t>below,</w:t>
      </w:r>
      <w:r>
        <w:rPr>
          <w:spacing w:val="-3"/>
          <w:vertAlign w:val="baseline"/>
        </w:rPr>
        <w:t> </w:t>
      </w:r>
      <w:r>
        <w:rPr>
          <w:vertAlign w:val="baseline"/>
        </w:rPr>
        <w:t>the</w:t>
      </w:r>
      <w:r>
        <w:rPr>
          <w:spacing w:val="-3"/>
          <w:vertAlign w:val="baseline"/>
        </w:rPr>
        <w:t> </w:t>
      </w:r>
      <w:r>
        <w:rPr>
          <w:vertAlign w:val="baseline"/>
        </w:rPr>
        <w:t>Misrepresentation</w:t>
      </w:r>
      <w:r>
        <w:rPr>
          <w:spacing w:val="-3"/>
          <w:vertAlign w:val="baseline"/>
        </w:rPr>
        <w:t> </w:t>
      </w:r>
      <w:r>
        <w:rPr>
          <w:vertAlign w:val="baseline"/>
        </w:rPr>
        <w:t>Act</w:t>
      </w:r>
      <w:r>
        <w:rPr>
          <w:spacing w:val="-3"/>
          <w:vertAlign w:val="baseline"/>
        </w:rPr>
        <w:t> </w:t>
      </w:r>
      <w:r>
        <w:rPr>
          <w:vertAlign w:val="baseline"/>
        </w:rPr>
        <w:t>has</w:t>
      </w:r>
      <w:r>
        <w:rPr>
          <w:spacing w:val="-3"/>
          <w:vertAlign w:val="baseline"/>
        </w:rPr>
        <w:t> </w:t>
      </w:r>
      <w:r>
        <w:rPr>
          <w:vertAlign w:val="baseline"/>
        </w:rPr>
        <w:t>created</w:t>
      </w:r>
      <w:r>
        <w:rPr>
          <w:spacing w:val="-3"/>
          <w:vertAlign w:val="baseline"/>
        </w:rPr>
        <w:t> </w:t>
      </w:r>
      <w:r>
        <w:rPr>
          <w:vertAlign w:val="baseline"/>
        </w:rPr>
        <w:t>a</w:t>
      </w:r>
      <w:r>
        <w:rPr>
          <w:spacing w:val="-3"/>
          <w:vertAlign w:val="baseline"/>
        </w:rPr>
        <w:t> </w:t>
      </w:r>
      <w:r>
        <w:rPr>
          <w:vertAlign w:val="baseline"/>
        </w:rPr>
        <w:t>new</w:t>
      </w:r>
      <w:r>
        <w:rPr>
          <w:spacing w:val="-3"/>
          <w:vertAlign w:val="baseline"/>
        </w:rPr>
        <w:t> </w:t>
      </w:r>
      <w:r>
        <w:rPr>
          <w:vertAlign w:val="baseline"/>
        </w:rPr>
        <w:t>distinction</w:t>
      </w:r>
      <w:r>
        <w:rPr>
          <w:spacing w:val="-3"/>
          <w:vertAlign w:val="baseline"/>
        </w:rPr>
        <w:t> </w:t>
      </w:r>
      <w:r>
        <w:rPr>
          <w:vertAlign w:val="baseline"/>
        </w:rPr>
        <w:t>of</w:t>
      </w:r>
      <w:r>
        <w:rPr>
          <w:spacing w:val="-3"/>
          <w:vertAlign w:val="baseline"/>
        </w:rPr>
        <w:t> </w:t>
      </w:r>
      <w:r>
        <w:rPr>
          <w:vertAlign w:val="baseline"/>
        </w:rPr>
        <w:t>some importance between fraudulent and other misrepresentations in connection with rescission. </w:t>
      </w:r>
      <w:r>
        <w:rPr>
          <w:color w:val="005DA1"/>
          <w:u w:val="single" w:color="005DA1"/>
          <w:vertAlign w:val="superscript"/>
        </w:rPr>
        <w:t>255</w:t>
      </w:r>
    </w:p>
    <w:p>
      <w:pPr>
        <w:pStyle w:val="BodyText"/>
      </w:pPr>
    </w:p>
    <w:p>
      <w:pPr>
        <w:pStyle w:val="BodyText"/>
        <w:spacing w:before="37"/>
      </w:pPr>
    </w:p>
    <w:p>
      <w:pPr>
        <w:spacing w:before="0"/>
        <w:ind w:left="165" w:right="0" w:firstLine="0"/>
        <w:jc w:val="both"/>
        <w:rPr>
          <w:rFonts w:ascii="Arial"/>
          <w:b/>
          <w:sz w:val="18"/>
        </w:rPr>
      </w:pPr>
      <w:r>
        <w:rPr>
          <w:rFonts w:ascii="Arial"/>
          <w:b/>
          <w:sz w:val="18"/>
        </w:rPr>
        <w:t>Definition of </w:t>
      </w:r>
      <w:r>
        <w:rPr>
          <w:rFonts w:ascii="Arial"/>
          <w:b/>
          <w:spacing w:val="-2"/>
          <w:sz w:val="18"/>
        </w:rPr>
        <w:t>fraud</w:t>
      </w:r>
    </w:p>
    <w:p>
      <w:pPr>
        <w:pStyle w:val="BodyText"/>
        <w:spacing w:before="41"/>
        <w:rPr>
          <w:rFonts w:ascii="Arial"/>
          <w:b/>
          <w:sz w:val="18"/>
        </w:rPr>
      </w:pPr>
    </w:p>
    <w:p>
      <w:pPr>
        <w:pStyle w:val="Heading2"/>
      </w:pPr>
      <w:r>
        <w:rPr/>
        <w:t>7-</w:t>
      </w:r>
      <w:r>
        <w:rPr>
          <w:spacing w:val="-5"/>
        </w:rPr>
        <w:t>048</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473" w:id="475"/>
      <w:bookmarkEnd w:id="475"/>
      <w:r>
        <w:rPr>
          <w:rFonts w:ascii="Times New Roman"/>
          <w:spacing w:val="6"/>
        </w:rPr>
      </w:r>
      <w:r>
        <w:rPr/>
        <w:t>The</w:t>
      </w:r>
      <w:r>
        <w:rPr>
          <w:spacing w:val="-2"/>
        </w:rPr>
        <w:t> </w:t>
      </w:r>
      <w:r>
        <w:rPr/>
        <w:t>common</w:t>
      </w:r>
      <w:r>
        <w:rPr>
          <w:spacing w:val="-2"/>
        </w:rPr>
        <w:t> </w:t>
      </w:r>
      <w:r>
        <w:rPr/>
        <w:t>law</w:t>
      </w:r>
      <w:r>
        <w:rPr>
          <w:spacing w:val="-2"/>
        </w:rPr>
        <w:t> </w:t>
      </w:r>
      <w:r>
        <w:rPr/>
        <w:t>relating</w:t>
      </w:r>
      <w:r>
        <w:rPr>
          <w:spacing w:val="-2"/>
        </w:rPr>
        <w:t> </w:t>
      </w:r>
      <w:r>
        <w:rPr/>
        <w:t>to</w:t>
      </w:r>
      <w:r>
        <w:rPr>
          <w:spacing w:val="-2"/>
        </w:rPr>
        <w:t> </w:t>
      </w:r>
      <w:r>
        <w:rPr/>
        <w:t>fraud</w:t>
      </w:r>
      <w:r>
        <w:rPr>
          <w:spacing w:val="-2"/>
        </w:rPr>
        <w:t> </w:t>
      </w:r>
      <w:r>
        <w:rPr/>
        <w:t>was</w:t>
      </w:r>
      <w:r>
        <w:rPr>
          <w:spacing w:val="-2"/>
        </w:rPr>
        <w:t> </w:t>
      </w:r>
      <w:r>
        <w:rPr/>
        <w:t>established</w:t>
      </w:r>
      <w:r>
        <w:rPr>
          <w:spacing w:val="-2"/>
        </w:rPr>
        <w:t> </w:t>
      </w:r>
      <w:r>
        <w:rPr/>
        <w:t>by</w:t>
      </w:r>
      <w:r>
        <w:rPr>
          <w:spacing w:val="-2"/>
        </w:rPr>
        <w:t> </w:t>
      </w:r>
      <w:r>
        <w:rPr/>
        <w:t>the</w:t>
      </w:r>
      <w:r>
        <w:rPr>
          <w:spacing w:val="-2"/>
        </w:rPr>
        <w:t> </w:t>
      </w:r>
      <w:r>
        <w:rPr/>
        <w:t>House</w:t>
      </w:r>
      <w:r>
        <w:rPr>
          <w:spacing w:val="-2"/>
        </w:rPr>
        <w:t> </w:t>
      </w:r>
      <w:r>
        <w:rPr/>
        <w:t>of</w:t>
      </w:r>
      <w:r>
        <w:rPr>
          <w:spacing w:val="-2"/>
        </w:rPr>
        <w:t> </w:t>
      </w:r>
      <w:r>
        <w:rPr/>
        <w:t>Lords</w:t>
      </w:r>
      <w:r>
        <w:rPr>
          <w:spacing w:val="-2"/>
        </w:rPr>
        <w:t> </w:t>
      </w:r>
      <w:r>
        <w:rPr/>
        <w:t>in</w:t>
      </w:r>
      <w:r>
        <w:rPr>
          <w:spacing w:val="-3"/>
        </w:rPr>
        <w:t> </w:t>
      </w:r>
      <w:r>
        <w:rPr>
          <w:rFonts w:ascii="Arial"/>
          <w:i/>
        </w:rPr>
        <w:t>Derry</w:t>
      </w:r>
      <w:r>
        <w:rPr>
          <w:rFonts w:ascii="Arial"/>
          <w:i/>
          <w:spacing w:val="-2"/>
        </w:rPr>
        <w:t> </w:t>
      </w:r>
      <w:r>
        <w:rPr>
          <w:rFonts w:ascii="Arial"/>
          <w:i/>
        </w:rPr>
        <w:t>v</w:t>
      </w:r>
      <w:r>
        <w:rPr>
          <w:rFonts w:ascii="Arial"/>
          <w:i/>
          <w:spacing w:val="-2"/>
        </w:rPr>
        <w:t> </w:t>
      </w:r>
      <w:r>
        <w:rPr>
          <w:rFonts w:ascii="Arial"/>
          <w:i/>
        </w:rPr>
        <w:t>Peek</w:t>
      </w:r>
      <w:r>
        <w:rPr/>
        <w:t>.</w:t>
      </w:r>
      <w:r>
        <w:rPr>
          <w:spacing w:val="-2"/>
        </w:rPr>
        <w:t> </w:t>
      </w:r>
      <w:r>
        <w:rPr>
          <w:color w:val="005DA1"/>
          <w:u w:val="single" w:color="005DA1"/>
          <w:vertAlign w:val="superscript"/>
        </w:rPr>
        <w:t>256</w:t>
      </w:r>
      <w:r>
        <w:rPr>
          <w:color w:val="005DA1"/>
          <w:spacing w:val="-2"/>
          <w:vertAlign w:val="baseline"/>
        </w:rPr>
        <w:t> </w:t>
      </w:r>
      <w:r>
        <w:rPr>
          <w:vertAlign w:val="baseline"/>
        </w:rPr>
        <w:t>It</w:t>
      </w:r>
      <w:r>
        <w:rPr>
          <w:spacing w:val="-2"/>
          <w:vertAlign w:val="baseline"/>
        </w:rPr>
        <w:t> </w:t>
      </w:r>
      <w:r>
        <w:rPr>
          <w:vertAlign w:val="baseline"/>
        </w:rPr>
        <w:t>was </w:t>
      </w:r>
      <w:bookmarkStart w:name="_bookmark474" w:id="476"/>
      <w:bookmarkEnd w:id="476"/>
      <w:r>
        <w:rPr>
          <w:vertAlign w:val="baseline"/>
        </w:rPr>
        <w:t>there</w:t>
      </w:r>
      <w:r>
        <w:rPr>
          <w:vertAlign w:val="baseline"/>
        </w:rPr>
        <w:t> decided that in order for fraud to be established, it is necessary to prove the absence of an honest belief in the truth of that which has been stated. </w:t>
      </w:r>
      <w:r>
        <w:rPr>
          <w:color w:val="005DA1"/>
          <w:u w:val="single" w:color="005DA1"/>
          <w:vertAlign w:val="superscript"/>
        </w:rPr>
        <w:t>257</w:t>
      </w:r>
      <w:r>
        <w:rPr>
          <w:color w:val="005DA1"/>
          <w:vertAlign w:val="baseline"/>
        </w:rPr>
        <w:t> </w:t>
      </w:r>
      <w:r>
        <w:rPr>
          <w:vertAlign w:val="baseline"/>
        </w:rPr>
        <w:t>In the words of Lord Herschell:</w:t>
      </w:r>
    </w:p>
    <w:p>
      <w:pPr>
        <w:pStyle w:val="BodyText"/>
      </w:pPr>
    </w:p>
    <w:p>
      <w:pPr>
        <w:pStyle w:val="BodyText"/>
        <w:spacing w:before="125"/>
      </w:pPr>
    </w:p>
    <w:p>
      <w:pPr>
        <w:pStyle w:val="BodyText"/>
        <w:spacing w:line="235" w:lineRule="auto" w:before="1"/>
        <w:ind w:left="1245" w:right="167"/>
        <w:jc w:val="both"/>
      </w:pPr>
      <w:r>
        <w:rPr/>
        <w:t>“… fraud is proved when it is shown that a false representation has been made: </w:t>
      </w:r>
      <w:r>
        <w:rPr/>
        <w:t>(1) </w:t>
      </w:r>
      <w:bookmarkStart w:name="_bookmark475" w:id="477"/>
      <w:bookmarkEnd w:id="477"/>
      <w:r>
        <w:rPr/>
        <w:t>knowingly;</w:t>
      </w:r>
      <w:r>
        <w:rPr/>
        <w:t> or (2) without belief in its truth; or (3) recklessly, careless whether it be true or false.” </w:t>
      </w:r>
      <w:r>
        <w:rPr>
          <w:color w:val="005DA1"/>
          <w:u w:val="single" w:color="005DA1"/>
          <w:vertAlign w:val="superscript"/>
        </w:rPr>
        <w:t>258</w:t>
      </w:r>
    </w:p>
    <w:p>
      <w:pPr>
        <w:pStyle w:val="BodyText"/>
        <w:spacing w:before="115"/>
      </w:pPr>
    </w:p>
    <w:p>
      <w:pPr>
        <w:pStyle w:val="BodyText"/>
        <w:spacing w:line="235" w:lineRule="auto"/>
        <w:ind w:left="164" w:right="167"/>
        <w:jc w:val="both"/>
      </w:pPr>
      <w:r>
        <w:rPr/>
        <w:t>The converse of this is that however negligent a person may be, he cannot be liable for fraud, </w:t>
      </w:r>
      <w:bookmarkStart w:name="_bookmark476" w:id="478"/>
      <w:bookmarkEnd w:id="478"/>
      <w:r>
        <w:rPr/>
        <w:t>provided</w:t>
      </w:r>
      <w:r>
        <w:rPr>
          <w:spacing w:val="24"/>
        </w:rPr>
        <w:t> </w:t>
      </w:r>
      <w:r>
        <w:rPr/>
        <w:t>that</w:t>
      </w:r>
      <w:r>
        <w:rPr>
          <w:spacing w:val="26"/>
        </w:rPr>
        <w:t> </w:t>
      </w:r>
      <w:r>
        <w:rPr/>
        <w:t>his</w:t>
      </w:r>
      <w:r>
        <w:rPr>
          <w:spacing w:val="26"/>
        </w:rPr>
        <w:t> </w:t>
      </w:r>
      <w:r>
        <w:rPr/>
        <w:t>belief</w:t>
      </w:r>
      <w:r>
        <w:rPr>
          <w:spacing w:val="26"/>
        </w:rPr>
        <w:t> </w:t>
      </w:r>
      <w:r>
        <w:rPr/>
        <w:t>is</w:t>
      </w:r>
      <w:r>
        <w:rPr>
          <w:spacing w:val="26"/>
        </w:rPr>
        <w:t> </w:t>
      </w:r>
      <w:r>
        <w:rPr/>
        <w:t>honest;</w:t>
      </w:r>
      <w:r>
        <w:rPr>
          <w:spacing w:val="26"/>
        </w:rPr>
        <w:t> </w:t>
      </w:r>
      <w:r>
        <w:rPr/>
        <w:t>mere</w:t>
      </w:r>
      <w:r>
        <w:rPr>
          <w:spacing w:val="26"/>
        </w:rPr>
        <w:t> </w:t>
      </w:r>
      <w:r>
        <w:rPr/>
        <w:t>carelessness</w:t>
      </w:r>
      <w:r>
        <w:rPr>
          <w:spacing w:val="26"/>
        </w:rPr>
        <w:t> </w:t>
      </w:r>
      <w:r>
        <w:rPr/>
        <w:t>is</w:t>
      </w:r>
      <w:r>
        <w:rPr>
          <w:spacing w:val="26"/>
        </w:rPr>
        <w:t> </w:t>
      </w:r>
      <w:r>
        <w:rPr/>
        <w:t>not</w:t>
      </w:r>
      <w:r>
        <w:rPr>
          <w:spacing w:val="26"/>
        </w:rPr>
        <w:t> </w:t>
      </w:r>
      <w:r>
        <w:rPr/>
        <w:t>sufficient,</w:t>
      </w:r>
      <w:r>
        <w:rPr>
          <w:spacing w:val="26"/>
        </w:rPr>
        <w:t> </w:t>
      </w:r>
      <w:r>
        <w:rPr/>
        <w:t>although</w:t>
      </w:r>
      <w:r>
        <w:rPr>
          <w:spacing w:val="26"/>
        </w:rPr>
        <w:t> </w:t>
      </w:r>
      <w:r>
        <w:rPr/>
        <w:t>gross</w:t>
      </w:r>
      <w:r>
        <w:rPr>
          <w:spacing w:val="26"/>
        </w:rPr>
        <w:t> </w:t>
      </w:r>
      <w:r>
        <w:rPr>
          <w:spacing w:val="-2"/>
        </w:rPr>
        <w:t>carelessness</w:t>
      </w:r>
    </w:p>
    <w:p>
      <w:pPr>
        <w:pStyle w:val="BodyText"/>
        <w:spacing w:before="116"/>
        <w:ind w:left="164"/>
        <w:jc w:val="both"/>
        <w:rPr>
          <w:position w:val="-2"/>
        </w:rPr>
      </w:pPr>
      <w:r>
        <w:rPr/>
        <w:t>may justify an inference that he was not honest. </w:t>
      </w:r>
      <w:r>
        <w:rPr>
          <w:color w:val="005DA1"/>
          <w:u w:val="single" w:color="005DA1"/>
          <w:vertAlign w:val="superscript"/>
        </w:rPr>
        <w:t>259</w:t>
      </w:r>
      <w:r>
        <w:rPr>
          <w:color w:val="005DA1"/>
          <w:spacing w:val="80"/>
          <w:w w:val="150"/>
          <w:vertAlign w:val="baseline"/>
        </w:rPr>
        <w:t> </w:t>
      </w:r>
      <w:r>
        <w:rPr>
          <w:color w:val="005DA1"/>
          <w:position w:val="-2"/>
          <w:vertAlign w:val="baseline"/>
        </w:rPr>
        <w:drawing>
          <wp:inline distT="0" distB="0" distL="0" distR="0">
            <wp:extent cx="107988" cy="107988"/>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after="0"/>
        <w:jc w:val="both"/>
        <w:rPr>
          <w:position w:val="-2"/>
        </w:rPr>
        <w:sectPr>
          <w:headerReference w:type="default" r:id="rId11"/>
          <w:pgSz w:w="11900" w:h="16840"/>
          <w:pgMar w:header="971" w:footer="0" w:top="1160" w:bottom="280" w:left="1275" w:right="1275"/>
          <w:pgNumType w:start="1"/>
        </w:sectPr>
      </w:pPr>
    </w:p>
    <w:p>
      <w:pPr>
        <w:pStyle w:val="BodyText"/>
        <w:rPr>
          <w:sz w:val="18"/>
        </w:rPr>
      </w:pPr>
    </w:p>
    <w:p>
      <w:pPr>
        <w:pStyle w:val="BodyText"/>
        <w:spacing w:before="179"/>
        <w:rPr>
          <w:sz w:val="18"/>
        </w:rPr>
      </w:pPr>
    </w:p>
    <w:p>
      <w:pPr>
        <w:spacing w:before="0"/>
        <w:ind w:left="165" w:right="0" w:firstLine="0"/>
        <w:jc w:val="left"/>
        <w:rPr>
          <w:rFonts w:ascii="Arial"/>
          <w:b/>
          <w:sz w:val="18"/>
        </w:rPr>
      </w:pPr>
      <w:r>
        <w:rPr>
          <w:rFonts w:ascii="Arial"/>
          <w:b/>
          <w:sz w:val="18"/>
        </w:rPr>
        <w:t>Absence of honest </w:t>
      </w:r>
      <w:r>
        <w:rPr>
          <w:rFonts w:ascii="Arial"/>
          <w:b/>
          <w:spacing w:val="-2"/>
          <w:sz w:val="18"/>
        </w:rPr>
        <w:t>belief</w:t>
      </w:r>
    </w:p>
    <w:p>
      <w:pPr>
        <w:pStyle w:val="BodyText"/>
        <w:spacing w:before="41"/>
        <w:rPr>
          <w:rFonts w:ascii="Arial"/>
          <w:b/>
          <w:sz w:val="18"/>
        </w:rPr>
      </w:pPr>
    </w:p>
    <w:p>
      <w:pPr>
        <w:pStyle w:val="Heading2"/>
        <w:spacing w:before="1"/>
      </w:pPr>
      <w:r>
        <w:rPr/>
        <w:t>7-</w:t>
      </w:r>
      <w:r>
        <w:rPr>
          <w:spacing w:val="-5"/>
        </w:rPr>
        <w:t>049</w:t>
      </w:r>
    </w:p>
    <w:p>
      <w:pPr>
        <w:pStyle w:val="BodyText"/>
        <w:spacing w:line="235" w:lineRule="auto" w:before="202"/>
        <w:ind w:left="165" w:right="167"/>
        <w:jc w:val="both"/>
      </w:pPr>
      <w:r>
        <w:rPr/>
        <w:t>That the claimant who alleges fraud must prove the absence of an honest belief is demonstrated by </w:t>
      </w:r>
      <w:r>
        <w:rPr>
          <w:rFonts w:ascii="Arial" w:hAnsi="Arial"/>
          <w:i/>
        </w:rPr>
        <w:t>Derry v Peek </w:t>
      </w:r>
      <w:r>
        <w:rPr/>
        <w:t>itself. A company issued a prospectus stating that it was entitled to use steam power to run trams; the respondents obtained shares on the strength of this representation, which was in </w:t>
      </w:r>
      <w:r>
        <w:rPr/>
        <w:t>fact false, although at the time the company had reason to believe that permission would be granted by the Board of Trade as a matter of course. Permission to use steam power was, however, not granted and the company was wound up. In an action for deceit the House of Lords held that the directors </w:t>
      </w:r>
      <w:bookmarkStart w:name="_bookmark477" w:id="479"/>
      <w:bookmarkEnd w:id="479"/>
      <w:r>
        <w:rPr/>
        <w:t>were</w:t>
      </w:r>
      <w:r>
        <w:rPr/>
        <w:t> not liable in damages for fraudulent misrepresentation. The decisive factor, in Lord Herschell’s words, was that “they honestly believed that what they asserted was true”. </w:t>
      </w:r>
      <w:r>
        <w:rPr>
          <w:color w:val="005DA1"/>
          <w:u w:val="single" w:color="005DA1"/>
          <w:vertAlign w:val="superscript"/>
        </w:rPr>
        <w:t>260</w:t>
      </w:r>
    </w:p>
    <w:p>
      <w:pPr>
        <w:pStyle w:val="BodyText"/>
      </w:pPr>
    </w:p>
    <w:p>
      <w:pPr>
        <w:pStyle w:val="BodyText"/>
        <w:spacing w:before="36"/>
      </w:pPr>
    </w:p>
    <w:p>
      <w:pPr>
        <w:spacing w:before="0"/>
        <w:ind w:left="165" w:right="0" w:firstLine="0"/>
        <w:jc w:val="left"/>
        <w:rPr>
          <w:rFonts w:ascii="Arial" w:hAnsi="Arial"/>
          <w:b/>
          <w:sz w:val="18"/>
        </w:rPr>
      </w:pPr>
      <w:r>
        <w:rPr>
          <w:rFonts w:ascii="Arial" w:hAnsi="Arial"/>
          <w:b/>
          <w:sz w:val="18"/>
        </w:rPr>
        <w:t>Defendant’s knowledge of falsity of </w:t>
      </w:r>
      <w:r>
        <w:rPr>
          <w:rFonts w:ascii="Arial" w:hAnsi="Arial"/>
          <w:b/>
          <w:spacing w:val="-2"/>
          <w:sz w:val="18"/>
        </w:rPr>
        <w:t>statement</w:t>
      </w:r>
    </w:p>
    <w:p>
      <w:pPr>
        <w:pStyle w:val="BodyText"/>
        <w:spacing w:before="41"/>
        <w:rPr>
          <w:rFonts w:ascii="Arial"/>
          <w:b/>
          <w:sz w:val="18"/>
        </w:rPr>
      </w:pPr>
    </w:p>
    <w:p>
      <w:pPr>
        <w:pStyle w:val="Heading2"/>
      </w:pPr>
      <w:r>
        <w:rPr/>
        <w:t>7-</w:t>
      </w:r>
      <w:r>
        <w:rPr>
          <w:spacing w:val="-5"/>
        </w:rPr>
        <w:t>050</w:t>
      </w:r>
    </w:p>
    <w:p>
      <w:pPr>
        <w:pStyle w:val="BodyText"/>
        <w:spacing w:line="235" w:lineRule="auto" w:before="203"/>
        <w:ind w:left="165" w:right="167"/>
        <w:jc w:val="both"/>
      </w:pPr>
      <w:r>
        <w:rPr/>
        <w:t>The requirement of proof of the absence of honest belief does not, however, mean that the </w:t>
      </w:r>
      <w:r>
        <w:rPr/>
        <w:t>claimant must prove the defendant’s knowledge of the falsity of the statement. It is enough to establish that the latter suspected that his statement might be inaccurate, or that he neglected to inquire into its accuracy, without proving that he actually knew that it was false. Thus where directors issued a </w:t>
      </w:r>
      <w:bookmarkStart w:name="_bookmark478" w:id="480"/>
      <w:bookmarkEnd w:id="480"/>
      <w:r>
        <w:rPr/>
        <w:t>prospectus</w:t>
      </w:r>
      <w:r>
        <w:rPr/>
        <w:t> setting out the advantages of working a particular mine, without having ascertained the truth of these representations, they were held to have committed a fraud. </w:t>
      </w:r>
      <w:r>
        <w:rPr>
          <w:color w:val="005DA1"/>
          <w:u w:val="single" w:color="005DA1"/>
          <w:vertAlign w:val="superscript"/>
        </w:rPr>
        <w:t>261</w:t>
      </w:r>
      <w:r>
        <w:rPr>
          <w:color w:val="005DA1"/>
          <w:vertAlign w:val="baseline"/>
        </w:rPr>
        <w:t> </w:t>
      </w:r>
      <w:r>
        <w:rPr>
          <w:vertAlign w:val="baseline"/>
        </w:rPr>
        <w:t>Lord Cairns expressed the principle as follows:</w:t>
      </w:r>
    </w:p>
    <w:p>
      <w:pPr>
        <w:pStyle w:val="BodyText"/>
      </w:pPr>
    </w:p>
    <w:p>
      <w:pPr>
        <w:pStyle w:val="BodyText"/>
        <w:spacing w:before="124"/>
      </w:pPr>
    </w:p>
    <w:p>
      <w:pPr>
        <w:pStyle w:val="BodyText"/>
        <w:spacing w:line="235" w:lineRule="auto"/>
        <w:ind w:left="1245" w:right="167"/>
        <w:jc w:val="both"/>
      </w:pPr>
      <w:r>
        <w:rPr/>
        <w:t>“… if persons take upon themselves to make assertions as to which they are ignorant </w:t>
      </w:r>
      <w:bookmarkStart w:name="_bookmark479" w:id="481"/>
      <w:bookmarkEnd w:id="481"/>
      <w:r>
        <w:rPr/>
        <w:t>whether</w:t>
      </w:r>
      <w:r>
        <w:rPr/>
        <w:t> they are true or untrue, they must, in a civil point of view, be held as </w:t>
      </w:r>
      <w:r>
        <w:rPr/>
        <w:t>responsible as if they had asserted that which they know to be untrue.” </w:t>
      </w:r>
      <w:r>
        <w:rPr>
          <w:color w:val="005DA1"/>
          <w:u w:val="single" w:color="005DA1"/>
          <w:vertAlign w:val="superscript"/>
        </w:rPr>
        <w:t>262</w:t>
      </w:r>
    </w:p>
    <w:p>
      <w:pPr>
        <w:pStyle w:val="BodyText"/>
      </w:pPr>
    </w:p>
    <w:p>
      <w:pPr>
        <w:pStyle w:val="BodyText"/>
      </w:pPr>
    </w:p>
    <w:p>
      <w:pPr>
        <w:pStyle w:val="BodyText"/>
        <w:spacing w:before="154"/>
      </w:pPr>
    </w:p>
    <w:p>
      <w:pPr>
        <w:spacing w:before="0"/>
        <w:ind w:left="165" w:right="0" w:firstLine="0"/>
        <w:jc w:val="left"/>
        <w:rPr>
          <w:rFonts w:ascii="Arial"/>
          <w:b/>
          <w:sz w:val="18"/>
        </w:rPr>
      </w:pPr>
      <w:r>
        <w:rPr>
          <w:rFonts w:ascii="Arial"/>
          <w:b/>
          <w:sz w:val="18"/>
        </w:rPr>
        <w:t>Motive </w:t>
      </w:r>
      <w:r>
        <w:rPr>
          <w:rFonts w:ascii="Arial"/>
          <w:b/>
          <w:spacing w:val="-2"/>
          <w:sz w:val="18"/>
        </w:rPr>
        <w:t>irrelevant</w:t>
      </w:r>
    </w:p>
    <w:p>
      <w:pPr>
        <w:pStyle w:val="BodyText"/>
        <w:spacing w:before="41"/>
        <w:rPr>
          <w:rFonts w:ascii="Arial"/>
          <w:b/>
          <w:sz w:val="18"/>
        </w:rPr>
      </w:pPr>
    </w:p>
    <w:p>
      <w:pPr>
        <w:pStyle w:val="Heading2"/>
        <w:spacing w:before="1"/>
      </w:pPr>
      <w:r>
        <w:rPr/>
        <w:t>7-</w:t>
      </w:r>
      <w:r>
        <w:rPr>
          <w:spacing w:val="-5"/>
        </w:rPr>
        <w:t>051</w:t>
      </w:r>
    </w:p>
    <w:p>
      <w:pPr>
        <w:pStyle w:val="BodyText"/>
        <w:spacing w:line="235" w:lineRule="auto" w:before="202"/>
        <w:ind w:left="165" w:right="167"/>
        <w:jc w:val="both"/>
      </w:pPr>
      <w:bookmarkStart w:name="_bookmark480" w:id="482"/>
      <w:bookmarkEnd w:id="482"/>
      <w:r>
        <w:rPr/>
      </w:r>
      <w:r>
        <w:rPr/>
        <w:t>Further, it is not necessary to establish that the defendant’s motive was dishonest. </w:t>
      </w:r>
      <w:r>
        <w:rPr>
          <w:color w:val="005DA1"/>
          <w:u w:val="single" w:color="005DA1"/>
          <w:vertAlign w:val="superscript"/>
        </w:rPr>
        <w:t>263</w:t>
      </w:r>
      <w:r>
        <w:rPr>
          <w:color w:val="005DA1"/>
          <w:vertAlign w:val="baseline"/>
        </w:rPr>
        <w:t> </w:t>
      </w:r>
      <w:r>
        <w:rPr>
          <w:vertAlign w:val="baseline"/>
        </w:rPr>
        <w:t>However, </w:t>
      </w:r>
      <w:r>
        <w:rPr>
          <w:vertAlign w:val="baseline"/>
        </w:rPr>
        <w:t>it </w:t>
      </w:r>
      <w:bookmarkStart w:name="_bookmark481" w:id="483"/>
      <w:bookmarkEnd w:id="483"/>
      <w:r>
        <w:rPr>
          <w:vertAlign w:val="baseline"/>
        </w:rPr>
        <w:t>must</w:t>
      </w:r>
      <w:r>
        <w:rPr>
          <w:vertAlign w:val="baseline"/>
        </w:rPr>
        <w:t> be shown that the representor intended the representee to act on the representation, if the requisite dishonest intention is to be shown. </w:t>
      </w:r>
      <w:r>
        <w:rPr>
          <w:color w:val="005DA1"/>
          <w:u w:val="single" w:color="005DA1"/>
          <w:vertAlign w:val="superscript"/>
        </w:rPr>
        <w:t>264</w:t>
      </w:r>
    </w:p>
    <w:p>
      <w:pPr>
        <w:pStyle w:val="BodyText"/>
      </w:pPr>
    </w:p>
    <w:p>
      <w:pPr>
        <w:pStyle w:val="BodyText"/>
        <w:spacing w:before="38"/>
      </w:pPr>
    </w:p>
    <w:p>
      <w:pPr>
        <w:spacing w:before="0"/>
        <w:ind w:left="164" w:right="0" w:firstLine="0"/>
        <w:jc w:val="left"/>
        <w:rPr>
          <w:rFonts w:ascii="Arial"/>
          <w:b/>
          <w:sz w:val="18"/>
        </w:rPr>
      </w:pPr>
      <w:r>
        <w:rPr>
          <w:rFonts w:ascii="Arial"/>
          <w:b/>
          <w:spacing w:val="-2"/>
          <w:sz w:val="18"/>
        </w:rPr>
        <w:t>Ambiguity</w:t>
      </w:r>
    </w:p>
    <w:p>
      <w:pPr>
        <w:pStyle w:val="BodyText"/>
        <w:spacing w:before="41"/>
        <w:rPr>
          <w:rFonts w:ascii="Arial"/>
          <w:b/>
          <w:sz w:val="18"/>
        </w:rPr>
      </w:pPr>
    </w:p>
    <w:p>
      <w:pPr>
        <w:pStyle w:val="Heading2"/>
        <w:ind w:left="164"/>
      </w:pPr>
      <w:r>
        <w:rPr/>
        <w:t>7-</w:t>
      </w:r>
      <w:r>
        <w:rPr>
          <w:spacing w:val="-5"/>
        </w:rPr>
        <w:t>052</w:t>
      </w:r>
    </w:p>
    <w:p>
      <w:pPr>
        <w:pStyle w:val="BodyText"/>
        <w:spacing w:line="235" w:lineRule="auto" w:before="203"/>
        <w:ind w:left="164" w:right="167"/>
        <w:jc w:val="both"/>
      </w:pPr>
      <w:bookmarkStart w:name="_bookmark482" w:id="484"/>
      <w:bookmarkEnd w:id="484"/>
      <w:r>
        <w:rPr/>
      </w:r>
      <w:r>
        <w:rPr/>
        <w:t>If the statement is ambiguous, the representee must first prove that he understood the statement in </w:t>
      </w:r>
      <w:r>
        <w:rPr/>
        <w:t>a sense in which it is in fact false. </w:t>
      </w:r>
      <w:r>
        <w:rPr>
          <w:color w:val="005DA1"/>
          <w:u w:val="single" w:color="005DA1"/>
          <w:vertAlign w:val="superscript"/>
        </w:rPr>
        <w:t>265</w:t>
      </w:r>
      <w:r>
        <w:rPr>
          <w:color w:val="005DA1"/>
          <w:vertAlign w:val="baseline"/>
        </w:rPr>
        <w:t> </w:t>
      </w:r>
      <w:r>
        <w:rPr>
          <w:vertAlign w:val="baseline"/>
        </w:rPr>
        <w:t>If the representor intended the statement to be understood in that sense, he will be guilty of fraud. But a person who makes a statement honestly believing it to be true </w:t>
      </w:r>
      <w:bookmarkStart w:name="_bookmark483" w:id="485"/>
      <w:bookmarkEnd w:id="485"/>
      <w:r>
        <w:rPr>
          <w:vertAlign w:val="baseline"/>
        </w:rPr>
        <w:t>in</w:t>
      </w:r>
      <w:r>
        <w:rPr>
          <w:vertAlign w:val="baseline"/>
        </w:rPr>
        <w:t> the sense which he understands it to bear is not guilty of fraud merely because the representee understands it in a different sense which is false to the knowledge of the representor. </w:t>
      </w:r>
      <w:r>
        <w:rPr>
          <w:color w:val="005DA1"/>
          <w:u w:val="single" w:color="005DA1"/>
          <w:vertAlign w:val="superscript"/>
        </w:rPr>
        <w:t>266</w:t>
      </w:r>
      <w:r>
        <w:rPr>
          <w:color w:val="005DA1"/>
          <w:vertAlign w:val="baseline"/>
        </w:rPr>
        <w:t> </w:t>
      </w:r>
      <w:r>
        <w:rPr>
          <w:vertAlign w:val="baseline"/>
        </w:rPr>
        <w:t>And this is </w:t>
      </w:r>
      <w:bookmarkStart w:name="_bookmark484" w:id="486"/>
      <w:bookmarkEnd w:id="486"/>
      <w:r>
        <w:rPr>
          <w:vertAlign w:val="baseline"/>
        </w:rPr>
        <w:t>still</w:t>
      </w:r>
      <w:r>
        <w:rPr>
          <w:vertAlign w:val="baseline"/>
        </w:rPr>
        <w:t> the case even though the court may agree that the sense in which the representee understands the statement is the meaning which, on its true construction, it ought to bear. </w:t>
      </w:r>
      <w:r>
        <w:rPr>
          <w:color w:val="005DA1"/>
          <w:u w:val="single" w:color="005DA1"/>
          <w:vertAlign w:val="superscript"/>
        </w:rPr>
        <w:t>267</w:t>
      </w:r>
      <w:r>
        <w:rPr>
          <w:color w:val="005DA1"/>
          <w:vertAlign w:val="baseline"/>
        </w:rPr>
        <w:t> </w:t>
      </w:r>
      <w:r>
        <w:rPr>
          <w:vertAlign w:val="baseline"/>
        </w:rPr>
        <w:t>To hold a person </w:t>
      </w:r>
      <w:bookmarkStart w:name="_bookmark485" w:id="487"/>
      <w:bookmarkEnd w:id="487"/>
      <w:r>
        <w:rPr>
          <w:vertAlign w:val="baseline"/>
        </w:rPr>
        <w:t>guilty</w:t>
      </w:r>
      <w:r>
        <w:rPr>
          <w:spacing w:val="-2"/>
          <w:vertAlign w:val="baseline"/>
        </w:rPr>
        <w:t> </w:t>
      </w:r>
      <w:r>
        <w:rPr>
          <w:vertAlign w:val="baseline"/>
        </w:rPr>
        <w:t>of</w:t>
      </w:r>
      <w:r>
        <w:rPr>
          <w:spacing w:val="-2"/>
          <w:vertAlign w:val="baseline"/>
        </w:rPr>
        <w:t> </w:t>
      </w:r>
      <w:r>
        <w:rPr>
          <w:vertAlign w:val="baseline"/>
        </w:rPr>
        <w:t>fraud</w:t>
      </w:r>
      <w:r>
        <w:rPr>
          <w:spacing w:val="-2"/>
          <w:vertAlign w:val="baseline"/>
        </w:rPr>
        <w:t> </w:t>
      </w:r>
      <w:r>
        <w:rPr>
          <w:vertAlign w:val="baseline"/>
        </w:rPr>
        <w:t>it</w:t>
      </w:r>
      <w:r>
        <w:rPr>
          <w:spacing w:val="-2"/>
          <w:vertAlign w:val="baseline"/>
        </w:rPr>
        <w:t> </w:t>
      </w:r>
      <w:r>
        <w:rPr>
          <w:vertAlign w:val="baseline"/>
        </w:rPr>
        <w:t>must</w:t>
      </w:r>
      <w:r>
        <w:rPr>
          <w:spacing w:val="-2"/>
          <w:vertAlign w:val="baseline"/>
        </w:rPr>
        <w:t> </w:t>
      </w:r>
      <w:r>
        <w:rPr>
          <w:vertAlign w:val="baseline"/>
        </w:rPr>
        <w:t>be</w:t>
      </w:r>
      <w:r>
        <w:rPr>
          <w:spacing w:val="-2"/>
          <w:vertAlign w:val="baseline"/>
        </w:rPr>
        <w:t> </w:t>
      </w:r>
      <w:r>
        <w:rPr>
          <w:vertAlign w:val="baseline"/>
        </w:rPr>
        <w:t>shown</w:t>
      </w:r>
      <w:r>
        <w:rPr>
          <w:spacing w:val="-2"/>
          <w:vertAlign w:val="baseline"/>
        </w:rPr>
        <w:t> </w:t>
      </w:r>
      <w:r>
        <w:rPr>
          <w:vertAlign w:val="baseline"/>
        </w:rPr>
        <w:t>that</w:t>
      </w:r>
      <w:r>
        <w:rPr>
          <w:spacing w:val="-2"/>
          <w:vertAlign w:val="baseline"/>
        </w:rPr>
        <w:t> </w:t>
      </w:r>
      <w:r>
        <w:rPr>
          <w:vertAlign w:val="baseline"/>
        </w:rPr>
        <w:t>he</w:t>
      </w:r>
      <w:r>
        <w:rPr>
          <w:spacing w:val="-2"/>
          <w:vertAlign w:val="baseline"/>
        </w:rPr>
        <w:t> </w:t>
      </w:r>
      <w:r>
        <w:rPr>
          <w:vertAlign w:val="baseline"/>
        </w:rPr>
        <w:t>intended,</w:t>
      </w:r>
      <w:r>
        <w:rPr>
          <w:spacing w:val="-2"/>
          <w:vertAlign w:val="baseline"/>
        </w:rPr>
        <w:t> </w:t>
      </w:r>
      <w:r>
        <w:rPr>
          <w:vertAlign w:val="baseline"/>
        </w:rPr>
        <w:t>or</w:t>
      </w:r>
      <w:r>
        <w:rPr>
          <w:spacing w:val="-2"/>
          <w:vertAlign w:val="baseline"/>
        </w:rPr>
        <w:t> </w:t>
      </w:r>
      <w:r>
        <w:rPr>
          <w:vertAlign w:val="baseline"/>
        </w:rPr>
        <w:t>at</w:t>
      </w:r>
      <w:r>
        <w:rPr>
          <w:spacing w:val="-2"/>
          <w:vertAlign w:val="baseline"/>
        </w:rPr>
        <w:t> </w:t>
      </w:r>
      <w:r>
        <w:rPr>
          <w:vertAlign w:val="baseline"/>
        </w:rPr>
        <w:t>least</w:t>
      </w:r>
      <w:r>
        <w:rPr>
          <w:spacing w:val="-2"/>
          <w:vertAlign w:val="baseline"/>
        </w:rPr>
        <w:t> </w:t>
      </w:r>
      <w:r>
        <w:rPr>
          <w:vertAlign w:val="baseline"/>
        </w:rPr>
        <w:t>was</w:t>
      </w:r>
      <w:r>
        <w:rPr>
          <w:spacing w:val="-2"/>
          <w:vertAlign w:val="baseline"/>
        </w:rPr>
        <w:t> </w:t>
      </w:r>
      <w:r>
        <w:rPr>
          <w:vertAlign w:val="baseline"/>
        </w:rPr>
        <w:t>willing,</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representation</w:t>
      </w:r>
      <w:r>
        <w:rPr>
          <w:spacing w:val="-2"/>
          <w:vertAlign w:val="baseline"/>
        </w:rPr>
        <w:t> </w:t>
      </w:r>
      <w:r>
        <w:rPr>
          <w:vertAlign w:val="baseline"/>
        </w:rPr>
        <w:t>should be understood in a sense which is false. </w:t>
      </w:r>
      <w:r>
        <w:rPr>
          <w:color w:val="005DA1"/>
          <w:u w:val="single" w:color="005DA1"/>
          <w:vertAlign w:val="superscript"/>
        </w:rPr>
        <w:t>268</w:t>
      </w:r>
    </w:p>
    <w:p>
      <w:pPr>
        <w:pStyle w:val="BodyText"/>
        <w:spacing w:after="0" w:line="235" w:lineRule="auto"/>
        <w:jc w:val="both"/>
        <w:sectPr>
          <w:pgSz w:w="11900" w:h="16840"/>
          <w:pgMar w:header="971" w:footer="0" w:top="1160" w:bottom="280" w:left="1275" w:right="1275"/>
        </w:sectPr>
      </w:pPr>
    </w:p>
    <w:p>
      <w:pPr>
        <w:pStyle w:val="BodyText"/>
        <w:spacing w:before="146"/>
        <w:rPr>
          <w:sz w:val="18"/>
        </w:rPr>
      </w:pPr>
    </w:p>
    <w:p>
      <w:pPr>
        <w:spacing w:before="0"/>
        <w:ind w:left="165" w:right="0" w:firstLine="0"/>
        <w:jc w:val="left"/>
        <w:rPr>
          <w:rFonts w:ascii="Arial"/>
          <w:b/>
          <w:sz w:val="18"/>
        </w:rPr>
      </w:pPr>
      <w:r>
        <w:rPr>
          <w:rFonts w:ascii="Arial"/>
          <w:b/>
          <w:sz w:val="18"/>
        </w:rPr>
        <w:t>Principal and </w:t>
      </w:r>
      <w:r>
        <w:rPr>
          <w:rFonts w:ascii="Arial"/>
          <w:b/>
          <w:spacing w:val="-2"/>
          <w:sz w:val="18"/>
        </w:rPr>
        <w:t>agent</w:t>
      </w:r>
    </w:p>
    <w:p>
      <w:pPr>
        <w:pStyle w:val="BodyText"/>
        <w:spacing w:before="41"/>
        <w:rPr>
          <w:rFonts w:ascii="Arial"/>
          <w:b/>
          <w:sz w:val="18"/>
        </w:rPr>
      </w:pPr>
    </w:p>
    <w:p>
      <w:pPr>
        <w:pStyle w:val="Heading2"/>
        <w:spacing w:before="1"/>
      </w:pPr>
      <w:r>
        <w:rPr/>
        <w:t>7-</w:t>
      </w:r>
      <w:r>
        <w:rPr>
          <w:spacing w:val="-5"/>
        </w:rPr>
        <w:t>053</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Much difficulty has arisen in dealing with cases where responsibility for a statement is </w:t>
      </w:r>
      <w:r>
        <w:rPr/>
        <w:t>divided between</w:t>
      </w:r>
      <w:r>
        <w:rPr>
          <w:spacing w:val="-1"/>
        </w:rPr>
        <w:t> </w:t>
      </w:r>
      <w:r>
        <w:rPr/>
        <w:t>principal</w:t>
      </w:r>
      <w:r>
        <w:rPr>
          <w:spacing w:val="-1"/>
        </w:rPr>
        <w:t> </w:t>
      </w:r>
      <w:r>
        <w:rPr/>
        <w:t>and</w:t>
      </w:r>
      <w:r>
        <w:rPr>
          <w:spacing w:val="-1"/>
        </w:rPr>
        <w:t> </w:t>
      </w:r>
      <w:r>
        <w:rPr/>
        <w:t>agent,</w:t>
      </w:r>
      <w:r>
        <w:rPr>
          <w:spacing w:val="-1"/>
        </w:rPr>
        <w:t> </w:t>
      </w:r>
      <w:r>
        <w:rPr/>
        <w:t>or</w:t>
      </w:r>
      <w:r>
        <w:rPr>
          <w:spacing w:val="-1"/>
        </w:rPr>
        <w:t> </w:t>
      </w:r>
      <w:r>
        <w:rPr/>
        <w:t>between</w:t>
      </w:r>
      <w:r>
        <w:rPr>
          <w:spacing w:val="-1"/>
        </w:rPr>
        <w:t> </w:t>
      </w:r>
      <w:r>
        <w:rPr/>
        <w:t>several</w:t>
      </w:r>
      <w:r>
        <w:rPr>
          <w:spacing w:val="-1"/>
        </w:rPr>
        <w:t> </w:t>
      </w:r>
      <w:r>
        <w:rPr/>
        <w:t>agents</w:t>
      </w:r>
      <w:r>
        <w:rPr>
          <w:spacing w:val="-1"/>
        </w:rPr>
        <w:t> </w:t>
      </w:r>
      <w:r>
        <w:rPr/>
        <w:t>of</w:t>
      </w:r>
      <w:r>
        <w:rPr>
          <w:spacing w:val="-1"/>
        </w:rPr>
        <w:t> </w:t>
      </w:r>
      <w:r>
        <w:rPr/>
        <w:t>one</w:t>
      </w:r>
      <w:r>
        <w:rPr>
          <w:spacing w:val="-1"/>
        </w:rPr>
        <w:t> </w:t>
      </w:r>
      <w:r>
        <w:rPr/>
        <w:t>principal.</w:t>
      </w:r>
      <w:r>
        <w:rPr>
          <w:spacing w:val="-1"/>
        </w:rPr>
        <w:t> </w:t>
      </w:r>
      <w:r>
        <w:rPr/>
        <w:t>It</w:t>
      </w:r>
      <w:r>
        <w:rPr>
          <w:spacing w:val="-1"/>
        </w:rPr>
        <w:t> </w:t>
      </w:r>
      <w:r>
        <w:rPr/>
        <w:t>has</w:t>
      </w:r>
      <w:r>
        <w:rPr>
          <w:spacing w:val="-1"/>
        </w:rPr>
        <w:t> </w:t>
      </w:r>
      <w:r>
        <w:rPr/>
        <w:t>been</w:t>
      </w:r>
      <w:r>
        <w:rPr>
          <w:spacing w:val="-1"/>
        </w:rPr>
        <w:t> </w:t>
      </w:r>
      <w:r>
        <w:rPr/>
        <w:t>held</w:t>
      </w:r>
      <w:r>
        <w:rPr>
          <w:spacing w:val="-1"/>
        </w:rPr>
        <w:t> </w:t>
      </w:r>
      <w:r>
        <w:rPr/>
        <w:t>that</w:t>
      </w:r>
      <w:r>
        <w:rPr>
          <w:spacing w:val="-1"/>
        </w:rPr>
        <w:t> </w:t>
      </w:r>
      <w:r>
        <w:rPr/>
        <w:t>the</w:t>
      </w:r>
      <w:r>
        <w:rPr>
          <w:spacing w:val="-1"/>
        </w:rPr>
        <w:t> </w:t>
      </w:r>
      <w:r>
        <w:rPr/>
        <w:t>law does not recognise any conception of “composite fraud”, i.e. an action in fraud will not lie where a </w:t>
      </w:r>
      <w:bookmarkStart w:name="_bookmark486" w:id="488"/>
      <w:bookmarkEnd w:id="488"/>
      <w:r>
        <w:rPr/>
        <w:t>statement</w:t>
      </w:r>
      <w:r>
        <w:rPr>
          <w:spacing w:val="15"/>
        </w:rPr>
        <w:t> </w:t>
      </w:r>
      <w:r>
        <w:rPr/>
        <w:t>is</w:t>
      </w:r>
      <w:r>
        <w:rPr>
          <w:spacing w:val="15"/>
        </w:rPr>
        <w:t> </w:t>
      </w:r>
      <w:r>
        <w:rPr/>
        <w:t>made</w:t>
      </w:r>
      <w:r>
        <w:rPr>
          <w:spacing w:val="15"/>
        </w:rPr>
        <w:t> </w:t>
      </w:r>
      <w:r>
        <w:rPr/>
        <w:t>by</w:t>
      </w:r>
      <w:r>
        <w:rPr>
          <w:spacing w:val="15"/>
        </w:rPr>
        <w:t> </w:t>
      </w:r>
      <w:r>
        <w:rPr/>
        <w:t>an</w:t>
      </w:r>
      <w:r>
        <w:rPr>
          <w:spacing w:val="15"/>
        </w:rPr>
        <w:t> </w:t>
      </w:r>
      <w:r>
        <w:rPr/>
        <w:t>agent</w:t>
      </w:r>
      <w:r>
        <w:rPr>
          <w:spacing w:val="15"/>
        </w:rPr>
        <w:t> </w:t>
      </w:r>
      <w:r>
        <w:rPr/>
        <w:t>who</w:t>
      </w:r>
      <w:r>
        <w:rPr>
          <w:spacing w:val="15"/>
        </w:rPr>
        <w:t> </w:t>
      </w:r>
      <w:r>
        <w:rPr/>
        <w:t>honestly</w:t>
      </w:r>
      <w:r>
        <w:rPr>
          <w:spacing w:val="15"/>
        </w:rPr>
        <w:t> </w:t>
      </w:r>
      <w:r>
        <w:rPr/>
        <w:t>believes</w:t>
      </w:r>
      <w:r>
        <w:rPr>
          <w:spacing w:val="15"/>
        </w:rPr>
        <w:t> </w:t>
      </w:r>
      <w:r>
        <w:rPr/>
        <w:t>it</w:t>
      </w:r>
      <w:r>
        <w:rPr>
          <w:spacing w:val="15"/>
        </w:rPr>
        <w:t> </w:t>
      </w:r>
      <w:r>
        <w:rPr/>
        <w:t>to</w:t>
      </w:r>
      <w:r>
        <w:rPr>
          <w:spacing w:val="15"/>
        </w:rPr>
        <w:t> </w:t>
      </w:r>
      <w:r>
        <w:rPr/>
        <w:t>be</w:t>
      </w:r>
      <w:r>
        <w:rPr>
          <w:spacing w:val="15"/>
        </w:rPr>
        <w:t> </w:t>
      </w:r>
      <w:r>
        <w:rPr/>
        <w:t>true,</w:t>
      </w:r>
      <w:r>
        <w:rPr>
          <w:spacing w:val="15"/>
        </w:rPr>
        <w:t> </w:t>
      </w:r>
      <w:r>
        <w:rPr/>
        <w:t>merely</w:t>
      </w:r>
      <w:r>
        <w:rPr>
          <w:spacing w:val="15"/>
        </w:rPr>
        <w:t> </w:t>
      </w:r>
      <w:r>
        <w:rPr/>
        <w:t>because</w:t>
      </w:r>
      <w:r>
        <w:rPr>
          <w:spacing w:val="15"/>
        </w:rPr>
        <w:t> </w:t>
      </w:r>
      <w:r>
        <w:rPr/>
        <w:t>the</w:t>
      </w:r>
      <w:r>
        <w:rPr>
          <w:spacing w:val="15"/>
        </w:rPr>
        <w:t> </w:t>
      </w:r>
      <w:r>
        <w:rPr/>
        <w:t>principal,</w:t>
      </w:r>
      <w:r>
        <w:rPr>
          <w:spacing w:val="15"/>
        </w:rPr>
        <w:t> </w:t>
      </w:r>
      <w:r>
        <w:rPr>
          <w:spacing w:val="-5"/>
        </w:rPr>
        <w:t>or</w:t>
      </w:r>
    </w:p>
    <w:p>
      <w:pPr>
        <w:pStyle w:val="BodyText"/>
        <w:spacing w:line="235" w:lineRule="auto" w:before="119"/>
        <w:ind w:left="165" w:right="167"/>
        <w:jc w:val="both"/>
      </w:pPr>
      <w:r>
        <w:rPr/>
        <w:t>another agent, knew the statement to be false. </w:t>
      </w:r>
      <w:r>
        <w:rPr>
          <w:color w:val="005DA1"/>
          <w:u w:val="single" w:color="005DA1"/>
          <w:vertAlign w:val="superscript"/>
        </w:rPr>
        <w:t>269</w:t>
      </w:r>
      <w:r>
        <w:rPr>
          <w:color w:val="005DA1"/>
          <w:spacing w:val="80"/>
          <w:w w:val="150"/>
          <w:vertAlign w:val="baseline"/>
        </w:rPr>
        <w:t> </w:t>
      </w:r>
      <w:r>
        <w:rPr>
          <w:color w:val="005DA1"/>
          <w:spacing w:val="20"/>
          <w:position w:val="-2"/>
          <w:vertAlign w:val="baseline"/>
        </w:rPr>
        <w:drawing>
          <wp:inline distT="0" distB="0" distL="0" distR="0">
            <wp:extent cx="107988" cy="107988"/>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color w:val="005DA1"/>
          <w:spacing w:val="-10"/>
          <w:vertAlign w:val="baseline"/>
        </w:rPr>
        <w:t> </w:t>
      </w:r>
      <w:r>
        <w:rPr>
          <w:vertAlign w:val="baseline"/>
        </w:rPr>
        <w:t>But a principal is vicariously liable for the fraud </w:t>
      </w:r>
      <w:bookmarkStart w:name="_bookmark487" w:id="489"/>
      <w:bookmarkEnd w:id="489"/>
      <w:r>
        <w:rPr>
          <w:vertAlign w:val="baseline"/>
        </w:rPr>
        <w:t>of</w:t>
      </w:r>
      <w:r>
        <w:rPr>
          <w:vertAlign w:val="baseline"/>
        </w:rPr>
        <w:t> an agent, so that if an agent makes a statement in the scope of his authority, and the agent </w:t>
      </w:r>
      <w:r>
        <w:rPr>
          <w:vertAlign w:val="baseline"/>
        </w:rPr>
        <w:t>is himself fraudulent, the principal will be liable. </w:t>
      </w:r>
      <w:r>
        <w:rPr>
          <w:color w:val="005DA1"/>
          <w:u w:val="single" w:color="005DA1"/>
          <w:vertAlign w:val="superscript"/>
        </w:rPr>
        <w:t>270</w:t>
      </w:r>
      <w:r>
        <w:rPr>
          <w:color w:val="005DA1"/>
          <w:vertAlign w:val="baseline"/>
        </w:rPr>
        <w:t> </w:t>
      </w:r>
      <w:r>
        <w:rPr>
          <w:vertAlign w:val="baseline"/>
        </w:rPr>
        <w:t>And if one agent makes a fraudulent statement to another agent, intending the latter to pass the statement on to a third party, and this is done, the </w:t>
      </w:r>
      <w:bookmarkStart w:name="_bookmark488" w:id="490"/>
      <w:bookmarkEnd w:id="490"/>
      <w:r>
        <w:rPr>
          <w:vertAlign w:val="baseline"/>
        </w:rPr>
        <w:t>principal</w:t>
      </w:r>
      <w:r>
        <w:rPr>
          <w:vertAlign w:val="baseline"/>
        </w:rPr>
        <w:t> will again be liable; for in these circumstances, the first agent is guilty of the complete tort of fraudulent misrepresentation, the second agent being his innocent agent. </w:t>
      </w:r>
      <w:r>
        <w:rPr>
          <w:color w:val="005DA1"/>
          <w:u w:val="single" w:color="005DA1"/>
          <w:vertAlign w:val="superscript"/>
        </w:rPr>
        <w:t>271</w:t>
      </w:r>
      <w:r>
        <w:rPr>
          <w:color w:val="005DA1"/>
          <w:vertAlign w:val="baseline"/>
        </w:rPr>
        <w:t> </w:t>
      </w:r>
      <w:r>
        <w:rPr>
          <w:vertAlign w:val="baseline"/>
        </w:rPr>
        <w:t>Again, if one agent makes a statement honestly believing it to be true, but another agent or the principal himself knows </w:t>
      </w:r>
      <w:bookmarkStart w:name="_bookmark489" w:id="491"/>
      <w:bookmarkEnd w:id="491"/>
      <w:r>
        <w:rPr>
          <w:vertAlign w:val="baseline"/>
        </w:rPr>
        <w:t>that</w:t>
      </w:r>
      <w:r>
        <w:rPr>
          <w:vertAlign w:val="baseline"/>
        </w:rPr>
        <w:t> it is not true, knows that the statement will be or has been made, and deliberately abstains from intervening, the principal will be liable. </w:t>
      </w:r>
      <w:r>
        <w:rPr>
          <w:color w:val="005DA1"/>
          <w:u w:val="single" w:color="005DA1"/>
          <w:vertAlign w:val="superscript"/>
        </w:rPr>
        <w:t>272</w:t>
      </w:r>
      <w:r>
        <w:rPr>
          <w:color w:val="005DA1"/>
          <w:vertAlign w:val="baseline"/>
        </w:rPr>
        <w:t> </w:t>
      </w:r>
      <w:r>
        <w:rPr>
          <w:vertAlign w:val="baseline"/>
        </w:rPr>
        <w:t>In these circumstances the party with the guilty knowledge can himself be treated as being guilty of fraud.</w:t>
      </w:r>
    </w:p>
    <w:p>
      <w:pPr>
        <w:pStyle w:val="BodyText"/>
      </w:pPr>
    </w:p>
    <w:p>
      <w:pPr>
        <w:pStyle w:val="BodyText"/>
        <w:spacing w:before="34"/>
      </w:pPr>
    </w:p>
    <w:p>
      <w:pPr>
        <w:spacing w:before="1"/>
        <w:ind w:left="165" w:right="0" w:firstLine="0"/>
        <w:jc w:val="both"/>
        <w:rPr>
          <w:rFonts w:ascii="Arial"/>
          <w:b/>
          <w:sz w:val="18"/>
        </w:rPr>
      </w:pPr>
      <w:r>
        <w:rPr>
          <w:rFonts w:ascii="Arial"/>
          <w:b/>
          <w:sz w:val="18"/>
        </w:rPr>
        <w:t>Causation in damages for </w:t>
      </w:r>
      <w:r>
        <w:rPr>
          <w:rFonts w:ascii="Arial"/>
          <w:b/>
          <w:spacing w:val="-2"/>
          <w:sz w:val="18"/>
        </w:rPr>
        <w:t>fraud</w:t>
      </w:r>
    </w:p>
    <w:p>
      <w:pPr>
        <w:pStyle w:val="BodyText"/>
        <w:spacing w:before="41"/>
        <w:rPr>
          <w:rFonts w:ascii="Arial"/>
          <w:b/>
          <w:sz w:val="18"/>
        </w:rPr>
      </w:pPr>
    </w:p>
    <w:p>
      <w:pPr>
        <w:pStyle w:val="Heading2"/>
      </w:pPr>
      <w:r>
        <w:rPr/>
        <w:t>7-</w:t>
      </w:r>
      <w:r>
        <w:rPr>
          <w:spacing w:val="-5"/>
        </w:rPr>
        <w:t>054</w:t>
      </w:r>
    </w:p>
    <w:p>
      <w:pPr>
        <w:pStyle w:val="BodyText"/>
        <w:spacing w:line="235" w:lineRule="auto" w:before="203"/>
        <w:ind w:left="164" w:right="167"/>
        <w:jc w:val="both"/>
      </w:pPr>
      <w:bookmarkStart w:name="_bookmark490" w:id="492"/>
      <w:bookmarkEnd w:id="492"/>
      <w:r>
        <w:rPr/>
      </w:r>
      <w:r>
        <w:rPr/>
        <w:t>As</w:t>
      </w:r>
      <w:r>
        <w:rPr>
          <w:spacing w:val="-2"/>
        </w:rPr>
        <w:t> </w:t>
      </w:r>
      <w:r>
        <w:rPr/>
        <w:t>stated</w:t>
      </w:r>
      <w:r>
        <w:rPr>
          <w:spacing w:val="-2"/>
        </w:rPr>
        <w:t> </w:t>
      </w:r>
      <w:r>
        <w:rPr/>
        <w:t>earlier,</w:t>
      </w:r>
      <w:r>
        <w:rPr>
          <w:spacing w:val="-2"/>
        </w:rPr>
        <w:t> </w:t>
      </w:r>
      <w:r>
        <w:rPr>
          <w:color w:val="005DA1"/>
          <w:u w:val="single" w:color="005DA1"/>
          <w:vertAlign w:val="superscript"/>
        </w:rPr>
        <w:t>273</w:t>
      </w:r>
      <w:r>
        <w:rPr>
          <w:color w:val="005DA1"/>
          <w:spacing w:val="-2"/>
          <w:vertAlign w:val="baseline"/>
        </w:rPr>
        <w:t> </w:t>
      </w:r>
      <w:r>
        <w:rPr>
          <w:vertAlign w:val="baseline"/>
        </w:rPr>
        <w:t>when</w:t>
      </w:r>
      <w:r>
        <w:rPr>
          <w:spacing w:val="-2"/>
          <w:vertAlign w:val="baseline"/>
        </w:rPr>
        <w:t> </w:t>
      </w:r>
      <w:r>
        <w:rPr>
          <w:vertAlign w:val="baseline"/>
        </w:rPr>
        <w:t>the</w:t>
      </w:r>
      <w:r>
        <w:rPr>
          <w:spacing w:val="-2"/>
          <w:vertAlign w:val="baseline"/>
        </w:rPr>
        <w:t> </w:t>
      </w:r>
      <w:r>
        <w:rPr>
          <w:vertAlign w:val="baseline"/>
        </w:rPr>
        <w:t>claimant</w:t>
      </w:r>
      <w:r>
        <w:rPr>
          <w:spacing w:val="-2"/>
          <w:vertAlign w:val="baseline"/>
        </w:rPr>
        <w:t> </w:t>
      </w:r>
      <w:r>
        <w:rPr>
          <w:vertAlign w:val="baseline"/>
        </w:rPr>
        <w:t>seeks</w:t>
      </w:r>
      <w:r>
        <w:rPr>
          <w:spacing w:val="-2"/>
          <w:vertAlign w:val="baseline"/>
        </w:rPr>
        <w:t> </w:t>
      </w:r>
      <w:r>
        <w:rPr>
          <w:vertAlign w:val="baseline"/>
        </w:rPr>
        <w:t>damages</w:t>
      </w:r>
      <w:r>
        <w:rPr>
          <w:spacing w:val="-2"/>
          <w:vertAlign w:val="baseline"/>
        </w:rPr>
        <w:t> </w:t>
      </w:r>
      <w:r>
        <w:rPr>
          <w:vertAlign w:val="baseline"/>
        </w:rPr>
        <w:t>for</w:t>
      </w:r>
      <w:r>
        <w:rPr>
          <w:spacing w:val="-2"/>
          <w:vertAlign w:val="baseline"/>
        </w:rPr>
        <w:t> </w:t>
      </w:r>
      <w:r>
        <w:rPr>
          <w:vertAlign w:val="baseline"/>
        </w:rPr>
        <w:t>fraud</w:t>
      </w:r>
      <w:r>
        <w:rPr>
          <w:spacing w:val="-2"/>
          <w:vertAlign w:val="baseline"/>
        </w:rPr>
        <w:t> </w:t>
      </w:r>
      <w:r>
        <w:rPr>
          <w:vertAlign w:val="baseline"/>
        </w:rPr>
        <w:t>as</w:t>
      </w:r>
      <w:r>
        <w:rPr>
          <w:spacing w:val="-2"/>
          <w:vertAlign w:val="baseline"/>
        </w:rPr>
        <w:t> </w:t>
      </w:r>
      <w:r>
        <w:rPr>
          <w:vertAlign w:val="baseline"/>
        </w:rPr>
        <w:t>opposed</w:t>
      </w:r>
      <w:r>
        <w:rPr>
          <w:spacing w:val="-2"/>
          <w:vertAlign w:val="baseline"/>
        </w:rPr>
        <w:t> </w:t>
      </w:r>
      <w:r>
        <w:rPr>
          <w:vertAlign w:val="baseline"/>
        </w:rPr>
        <w:t>to</w:t>
      </w:r>
      <w:r>
        <w:rPr>
          <w:spacing w:val="-2"/>
          <w:vertAlign w:val="baseline"/>
        </w:rPr>
        <w:t> </w:t>
      </w:r>
      <w:r>
        <w:rPr>
          <w:vertAlign w:val="baseline"/>
        </w:rPr>
        <w:t>rescission,</w:t>
      </w:r>
      <w:r>
        <w:rPr>
          <w:spacing w:val="-2"/>
          <w:vertAlign w:val="baseline"/>
        </w:rPr>
        <w:t> </w:t>
      </w:r>
      <w:r>
        <w:rPr>
          <w:vertAlign w:val="baseline"/>
        </w:rPr>
        <w:t>the</w:t>
      </w:r>
      <w:r>
        <w:rPr>
          <w:spacing w:val="-2"/>
          <w:vertAlign w:val="baseline"/>
        </w:rPr>
        <w:t> </w:t>
      </w:r>
      <w:r>
        <w:rPr>
          <w:vertAlign w:val="baseline"/>
        </w:rPr>
        <w:t>normal </w:t>
      </w:r>
      <w:bookmarkStart w:name="_bookmark491" w:id="493"/>
      <w:bookmarkEnd w:id="493"/>
      <w:r>
        <w:rPr>
          <w:vertAlign w:val="baseline"/>
        </w:rPr>
        <w:t>“but</w:t>
      </w:r>
      <w:r>
        <w:rPr>
          <w:spacing w:val="-1"/>
          <w:vertAlign w:val="baseline"/>
        </w:rPr>
        <w:t> </w:t>
      </w:r>
      <w:r>
        <w:rPr>
          <w:vertAlign w:val="baseline"/>
        </w:rPr>
        <w:t>for”</w:t>
      </w:r>
      <w:r>
        <w:rPr>
          <w:spacing w:val="-1"/>
          <w:vertAlign w:val="baseline"/>
        </w:rPr>
        <w:t> </w:t>
      </w:r>
      <w:r>
        <w:rPr>
          <w:vertAlign w:val="baseline"/>
        </w:rPr>
        <w:t>rule</w:t>
      </w:r>
      <w:r>
        <w:rPr>
          <w:spacing w:val="-1"/>
          <w:vertAlign w:val="baseline"/>
        </w:rPr>
        <w:t> </w:t>
      </w:r>
      <w:r>
        <w:rPr>
          <w:vertAlign w:val="baseline"/>
        </w:rPr>
        <w:t>of</w:t>
      </w:r>
      <w:r>
        <w:rPr>
          <w:spacing w:val="-1"/>
          <w:vertAlign w:val="baseline"/>
        </w:rPr>
        <w:t> </w:t>
      </w:r>
      <w:r>
        <w:rPr>
          <w:vertAlign w:val="baseline"/>
        </w:rPr>
        <w:t>causation</w:t>
      </w:r>
      <w:r>
        <w:rPr>
          <w:spacing w:val="-1"/>
          <w:vertAlign w:val="baseline"/>
        </w:rPr>
        <w:t> </w:t>
      </w:r>
      <w:r>
        <w:rPr>
          <w:vertAlign w:val="baseline"/>
        </w:rPr>
        <w:t>seems</w:t>
      </w:r>
      <w:r>
        <w:rPr>
          <w:spacing w:val="-1"/>
          <w:vertAlign w:val="baseline"/>
        </w:rPr>
        <w:t> </w:t>
      </w:r>
      <w:r>
        <w:rPr>
          <w:vertAlign w:val="baseline"/>
        </w:rPr>
        <w:t>to</w:t>
      </w:r>
      <w:r>
        <w:rPr>
          <w:spacing w:val="-1"/>
          <w:vertAlign w:val="baseline"/>
        </w:rPr>
        <w:t> </w:t>
      </w:r>
      <w:r>
        <w:rPr>
          <w:vertAlign w:val="baseline"/>
        </w:rPr>
        <w:t>apply.</w:t>
      </w:r>
      <w:r>
        <w:rPr>
          <w:spacing w:val="-1"/>
          <w:vertAlign w:val="baseline"/>
        </w:rPr>
        <w:t> </w:t>
      </w:r>
      <w:r>
        <w:rPr>
          <w:vertAlign w:val="baseline"/>
        </w:rPr>
        <w:t>Thus</w:t>
      </w:r>
      <w:r>
        <w:rPr>
          <w:spacing w:val="-1"/>
          <w:vertAlign w:val="baseline"/>
        </w:rPr>
        <w:t> </w:t>
      </w:r>
      <w:r>
        <w:rPr>
          <w:vertAlign w:val="baseline"/>
        </w:rPr>
        <w:t>if</w:t>
      </w:r>
      <w:r>
        <w:rPr>
          <w:spacing w:val="-1"/>
          <w:vertAlign w:val="baseline"/>
        </w:rPr>
        <w:t> </w:t>
      </w:r>
      <w:r>
        <w:rPr>
          <w:vertAlign w:val="baseline"/>
        </w:rPr>
        <w:t>the</w:t>
      </w:r>
      <w:r>
        <w:rPr>
          <w:spacing w:val="-1"/>
          <w:vertAlign w:val="baseline"/>
        </w:rPr>
        <w:t> </w:t>
      </w:r>
      <w:r>
        <w:rPr>
          <w:vertAlign w:val="baseline"/>
        </w:rPr>
        <w:t>claimant</w:t>
      </w:r>
      <w:r>
        <w:rPr>
          <w:spacing w:val="-1"/>
          <w:vertAlign w:val="baseline"/>
        </w:rPr>
        <w:t> </w:t>
      </w:r>
      <w:r>
        <w:rPr>
          <w:vertAlign w:val="baseline"/>
        </w:rPr>
        <w:t>would</w:t>
      </w:r>
      <w:r>
        <w:rPr>
          <w:spacing w:val="-1"/>
          <w:vertAlign w:val="baseline"/>
        </w:rPr>
        <w:t> </w:t>
      </w:r>
      <w:r>
        <w:rPr>
          <w:vertAlign w:val="baseline"/>
        </w:rPr>
        <w:t>have</w:t>
      </w:r>
      <w:r>
        <w:rPr>
          <w:spacing w:val="-1"/>
          <w:vertAlign w:val="baseline"/>
        </w:rPr>
        <w:t> </w:t>
      </w:r>
      <w:r>
        <w:rPr>
          <w:vertAlign w:val="baseline"/>
        </w:rPr>
        <w:t>entered</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on</w:t>
      </w:r>
      <w:r>
        <w:rPr>
          <w:spacing w:val="-1"/>
          <w:vertAlign w:val="baseline"/>
        </w:rPr>
        <w:t> </w:t>
      </w:r>
      <w:r>
        <w:rPr>
          <w:vertAlign w:val="baseline"/>
        </w:rPr>
        <w:t>the same terms even if the misrepresentation had not been made, his claim for damages will fail. </w:t>
      </w:r>
      <w:r>
        <w:rPr>
          <w:color w:val="005DA1"/>
          <w:u w:val="single" w:color="005DA1"/>
          <w:vertAlign w:val="superscript"/>
        </w:rPr>
        <w:t>274</w:t>
      </w:r>
      <w:r>
        <w:rPr>
          <w:color w:val="005DA1"/>
          <w:vertAlign w:val="baseline"/>
        </w:rPr>
        <w:t> </w:t>
      </w:r>
      <w:r>
        <w:rPr>
          <w:vertAlign w:val="baseline"/>
        </w:rPr>
        <w:t>The court is not required to speculate as to what the misrepresentee would have done had he known the </w:t>
      </w:r>
      <w:bookmarkStart w:name="_bookmark492" w:id="494"/>
      <w:bookmarkEnd w:id="494"/>
      <w:r>
        <w:rPr>
          <w:vertAlign w:val="baseline"/>
        </w:rPr>
        <w:t>truth,</w:t>
      </w:r>
      <w:r>
        <w:rPr>
          <w:vertAlign w:val="baseline"/>
        </w:rPr>
        <w:t> and the defendant will not be permitted to argue that he might have entered the contract on the same terms anyway. </w:t>
      </w:r>
      <w:r>
        <w:rPr>
          <w:color w:val="005DA1"/>
          <w:u w:val="single" w:color="005DA1"/>
          <w:vertAlign w:val="superscript"/>
        </w:rPr>
        <w:t>275</w:t>
      </w:r>
      <w:r>
        <w:rPr>
          <w:color w:val="005DA1"/>
          <w:vertAlign w:val="baseline"/>
        </w:rPr>
        <w:t> </w:t>
      </w:r>
      <w:r>
        <w:rPr>
          <w:vertAlign w:val="baseline"/>
        </w:rPr>
        <w:t>But if the misrepresentor can be definitively show that this is what the </w:t>
      </w:r>
      <w:bookmarkStart w:name="_bookmark493" w:id="495"/>
      <w:bookmarkEnd w:id="495"/>
      <w:r>
        <w:rPr>
          <w:vertAlign w:val="baseline"/>
        </w:rPr>
        <w:t>misrepresentee</w:t>
      </w:r>
      <w:r>
        <w:rPr>
          <w:vertAlign w:val="baseline"/>
        </w:rPr>
        <w:t> would have done, it will be very difficult for the misrepresentee to argue that it was induced by the fraudulent misrepresentation. </w:t>
      </w:r>
      <w:r>
        <w:rPr>
          <w:color w:val="005DA1"/>
          <w:u w:val="single" w:color="005DA1"/>
          <w:vertAlign w:val="superscript"/>
        </w:rPr>
        <w:t>276</w:t>
      </w:r>
    </w:p>
    <w:p>
      <w:pPr>
        <w:pStyle w:val="BodyText"/>
      </w:pPr>
    </w:p>
    <w:p>
      <w:pPr>
        <w:pStyle w:val="BodyText"/>
        <w:spacing w:before="35"/>
      </w:pPr>
    </w:p>
    <w:p>
      <w:pPr>
        <w:spacing w:before="0"/>
        <w:ind w:left="165" w:right="0" w:firstLine="0"/>
        <w:jc w:val="left"/>
        <w:rPr>
          <w:rFonts w:ascii="Arial"/>
          <w:b/>
          <w:sz w:val="18"/>
        </w:rPr>
      </w:pPr>
      <w:r>
        <w:rPr>
          <w:rFonts w:ascii="Arial"/>
          <w:b/>
          <w:sz w:val="18"/>
        </w:rPr>
        <w:t>Measure of damages for fraudulent </w:t>
      </w:r>
      <w:r>
        <w:rPr>
          <w:rFonts w:ascii="Arial"/>
          <w:b/>
          <w:spacing w:val="-2"/>
          <w:sz w:val="18"/>
        </w:rPr>
        <w:t>misrepresentation</w:t>
      </w:r>
    </w:p>
    <w:p>
      <w:pPr>
        <w:pStyle w:val="BodyText"/>
        <w:spacing w:before="41"/>
        <w:rPr>
          <w:rFonts w:ascii="Arial"/>
          <w:b/>
          <w:sz w:val="18"/>
        </w:rPr>
      </w:pPr>
    </w:p>
    <w:p>
      <w:pPr>
        <w:pStyle w:val="Heading2"/>
        <w:spacing w:before="1"/>
      </w:pPr>
      <w:r>
        <w:rPr/>
        <w:t>7-</w:t>
      </w:r>
      <w:r>
        <w:rPr>
          <w:spacing w:val="-5"/>
        </w:rPr>
        <w:t>055</w:t>
      </w:r>
    </w:p>
    <w:p>
      <w:pPr>
        <w:pStyle w:val="BodyText"/>
        <w:spacing w:before="88"/>
        <w:rPr>
          <w:rFonts w:ascii="Arial"/>
          <w:b/>
        </w:rPr>
      </w:pPr>
    </w:p>
    <w:p>
      <w:pPr>
        <w:pStyle w:val="BodyText"/>
        <w:ind w:left="165"/>
        <w:jc w:val="both"/>
      </w:pPr>
      <w:r>
        <w:rPr>
          <w:position w:val="-2"/>
        </w:rPr>
        <w:drawing>
          <wp:inline distT="0" distB="0" distL="0" distR="0">
            <wp:extent cx="107988" cy="107988"/>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5"/>
        </w:rPr>
        <w:t> </w:t>
      </w:r>
      <w:bookmarkStart w:name="_bookmark494" w:id="496"/>
      <w:bookmarkEnd w:id="496"/>
      <w:r>
        <w:rPr>
          <w:rFonts w:ascii="Times New Roman"/>
          <w:spacing w:val="-25"/>
        </w:rPr>
      </w:r>
      <w:r>
        <w:rPr/>
        <w:t>The</w:t>
      </w:r>
      <w:r>
        <w:rPr>
          <w:spacing w:val="21"/>
        </w:rPr>
        <w:t> </w:t>
      </w:r>
      <w:r>
        <w:rPr/>
        <w:t>proper</w:t>
      </w:r>
      <w:r>
        <w:rPr>
          <w:spacing w:val="21"/>
        </w:rPr>
        <w:t> </w:t>
      </w:r>
      <w:r>
        <w:rPr/>
        <w:t>measure</w:t>
      </w:r>
      <w:r>
        <w:rPr>
          <w:spacing w:val="21"/>
        </w:rPr>
        <w:t> </w:t>
      </w:r>
      <w:r>
        <w:rPr/>
        <w:t>of</w:t>
      </w:r>
      <w:r>
        <w:rPr>
          <w:spacing w:val="21"/>
        </w:rPr>
        <w:t> </w:t>
      </w:r>
      <w:r>
        <w:rPr/>
        <w:t>damages</w:t>
      </w:r>
      <w:r>
        <w:rPr>
          <w:spacing w:val="21"/>
        </w:rPr>
        <w:t> </w:t>
      </w:r>
      <w:r>
        <w:rPr/>
        <w:t>for</w:t>
      </w:r>
      <w:r>
        <w:rPr>
          <w:spacing w:val="21"/>
        </w:rPr>
        <w:t> </w:t>
      </w:r>
      <w:r>
        <w:rPr/>
        <w:t>fraudulent</w:t>
      </w:r>
      <w:r>
        <w:rPr>
          <w:spacing w:val="21"/>
        </w:rPr>
        <w:t> </w:t>
      </w:r>
      <w:r>
        <w:rPr/>
        <w:t>misrepresentation</w:t>
      </w:r>
      <w:r>
        <w:rPr>
          <w:spacing w:val="21"/>
        </w:rPr>
        <w:t> </w:t>
      </w:r>
      <w:r>
        <w:rPr/>
        <w:t>was</w:t>
      </w:r>
      <w:r>
        <w:rPr>
          <w:spacing w:val="21"/>
        </w:rPr>
        <w:t> </w:t>
      </w:r>
      <w:r>
        <w:rPr/>
        <w:t>discussed</w:t>
      </w:r>
      <w:r>
        <w:rPr>
          <w:spacing w:val="21"/>
        </w:rPr>
        <w:t> </w:t>
      </w:r>
      <w:r>
        <w:rPr/>
        <w:t>by</w:t>
      </w:r>
      <w:r>
        <w:rPr>
          <w:spacing w:val="21"/>
        </w:rPr>
        <w:t> </w:t>
      </w:r>
      <w:r>
        <w:rPr/>
        <w:t>the</w:t>
      </w:r>
      <w:r>
        <w:rPr>
          <w:spacing w:val="21"/>
        </w:rPr>
        <w:t> </w:t>
      </w:r>
      <w:r>
        <w:rPr/>
        <w:t>Court</w:t>
      </w:r>
      <w:r>
        <w:rPr>
          <w:spacing w:val="21"/>
        </w:rPr>
        <w:t> </w:t>
      </w:r>
      <w:r>
        <w:rPr/>
        <w:t>of</w:t>
      </w:r>
    </w:p>
    <w:p>
      <w:pPr>
        <w:pStyle w:val="BodyText"/>
        <w:spacing w:line="235" w:lineRule="auto" w:before="119"/>
        <w:ind w:left="165" w:right="167"/>
        <w:jc w:val="both"/>
      </w:pPr>
      <w:r>
        <w:rPr/>
        <w:t>Appeal</w:t>
      </w:r>
      <w:r>
        <w:rPr>
          <w:spacing w:val="-3"/>
        </w:rPr>
        <w:t> </w:t>
      </w:r>
      <w:r>
        <w:rPr/>
        <w:t>in</w:t>
      </w:r>
      <w:r>
        <w:rPr>
          <w:spacing w:val="-3"/>
        </w:rPr>
        <w:t> </w:t>
      </w:r>
      <w:r>
        <w:rPr>
          <w:rFonts w:ascii="Arial"/>
          <w:i/>
        </w:rPr>
        <w:t>Doyle</w:t>
      </w:r>
      <w:r>
        <w:rPr>
          <w:rFonts w:ascii="Arial"/>
          <w:i/>
          <w:spacing w:val="-3"/>
        </w:rPr>
        <w:t> </w:t>
      </w:r>
      <w:r>
        <w:rPr>
          <w:rFonts w:ascii="Arial"/>
          <w:i/>
        </w:rPr>
        <w:t>v</w:t>
      </w:r>
      <w:r>
        <w:rPr>
          <w:rFonts w:ascii="Arial"/>
          <w:i/>
          <w:spacing w:val="-3"/>
        </w:rPr>
        <w:t> </w:t>
      </w:r>
      <w:r>
        <w:rPr>
          <w:rFonts w:ascii="Arial"/>
          <w:i/>
        </w:rPr>
        <w:t>Olby</w:t>
      </w:r>
      <w:r>
        <w:rPr>
          <w:rFonts w:ascii="Arial"/>
          <w:i/>
          <w:spacing w:val="-3"/>
        </w:rPr>
        <w:t> </w:t>
      </w:r>
      <w:r>
        <w:rPr>
          <w:rFonts w:ascii="Arial"/>
          <w:i/>
        </w:rPr>
        <w:t>(Ironmongers)</w:t>
      </w:r>
      <w:r>
        <w:rPr>
          <w:rFonts w:ascii="Arial"/>
          <w:i/>
          <w:spacing w:val="-3"/>
        </w:rPr>
        <w:t> </w:t>
      </w:r>
      <w:r>
        <w:rPr>
          <w:rFonts w:ascii="Arial"/>
          <w:i/>
        </w:rPr>
        <w:t>Ltd</w:t>
      </w:r>
      <w:r>
        <w:rPr/>
        <w:t>.</w:t>
      </w:r>
      <w:r>
        <w:rPr>
          <w:spacing w:val="-3"/>
        </w:rPr>
        <w:t> </w:t>
      </w:r>
      <w:r>
        <w:rPr>
          <w:color w:val="005DA1"/>
          <w:u w:val="single" w:color="005DA1"/>
          <w:vertAlign w:val="superscript"/>
        </w:rPr>
        <w:t>277</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color w:val="005DA1"/>
          <w:spacing w:val="1"/>
          <w:vertAlign w:val="baseline"/>
        </w:rPr>
        <w:t> </w:t>
      </w:r>
      <w:r>
        <w:rPr>
          <w:vertAlign w:val="baseline"/>
        </w:rPr>
        <w:t>It</w:t>
      </w:r>
      <w:r>
        <w:rPr>
          <w:spacing w:val="-3"/>
          <w:vertAlign w:val="baseline"/>
        </w:rPr>
        <w:t> </w:t>
      </w:r>
      <w:r>
        <w:rPr>
          <w:vertAlign w:val="baseline"/>
        </w:rPr>
        <w:t>was</w:t>
      </w:r>
      <w:r>
        <w:rPr>
          <w:spacing w:val="-3"/>
          <w:vertAlign w:val="baseline"/>
        </w:rPr>
        <w:t> </w:t>
      </w:r>
      <w:r>
        <w:rPr>
          <w:vertAlign w:val="baseline"/>
        </w:rPr>
        <w:t>here</w:t>
      </w:r>
      <w:r>
        <w:rPr>
          <w:spacing w:val="-3"/>
          <w:vertAlign w:val="baseline"/>
        </w:rPr>
        <w:t> </w:t>
      </w:r>
      <w:r>
        <w:rPr>
          <w:vertAlign w:val="baseline"/>
        </w:rPr>
        <w:t>held</w:t>
      </w:r>
      <w:r>
        <w:rPr>
          <w:spacing w:val="-3"/>
          <w:vertAlign w:val="baseline"/>
        </w:rPr>
        <w:t> </w:t>
      </w:r>
      <w:r>
        <w:rPr>
          <w:vertAlign w:val="baseline"/>
        </w:rPr>
        <w:t>that</w:t>
      </w:r>
      <w:r>
        <w:rPr>
          <w:spacing w:val="-3"/>
          <w:vertAlign w:val="baseline"/>
        </w:rPr>
        <w:t> </w:t>
      </w:r>
      <w:r>
        <w:rPr>
          <w:vertAlign w:val="baseline"/>
        </w:rPr>
        <w:t>damages</w:t>
      </w:r>
      <w:r>
        <w:rPr>
          <w:spacing w:val="-3"/>
          <w:vertAlign w:val="baseline"/>
        </w:rPr>
        <w:t> </w:t>
      </w:r>
      <w:r>
        <w:rPr>
          <w:vertAlign w:val="baseline"/>
        </w:rPr>
        <w:t>for</w:t>
      </w:r>
      <w:r>
        <w:rPr>
          <w:spacing w:val="-3"/>
          <w:vertAlign w:val="baseline"/>
        </w:rPr>
        <w:t> </w:t>
      </w:r>
      <w:r>
        <w:rPr>
          <w:vertAlign w:val="baseline"/>
        </w:rPr>
        <w:t>fraud</w:t>
      </w:r>
      <w:r>
        <w:rPr>
          <w:spacing w:val="-3"/>
          <w:vertAlign w:val="baseline"/>
        </w:rPr>
        <w:t> </w:t>
      </w:r>
      <w:r>
        <w:rPr>
          <w:vertAlign w:val="baseline"/>
        </w:rPr>
        <w:t>were</w:t>
      </w:r>
      <w:r>
        <w:rPr>
          <w:spacing w:val="-3"/>
          <w:vertAlign w:val="baseline"/>
        </w:rPr>
        <w:t> </w:t>
      </w:r>
      <w:r>
        <w:rPr>
          <w:vertAlign w:val="baseline"/>
        </w:rPr>
        <w:t>not</w:t>
      </w:r>
      <w:r>
        <w:rPr>
          <w:spacing w:val="-3"/>
          <w:vertAlign w:val="baseline"/>
        </w:rPr>
        <w:t> </w:t>
      </w:r>
      <w:r>
        <w:rPr>
          <w:vertAlign w:val="baseline"/>
        </w:rPr>
        <w:t>the same as damages for breach of contract in that they were not designed to place the innocent party in the position he would have been in if the representation had been true, but to put him in the </w:t>
      </w:r>
      <w:r>
        <w:rPr>
          <w:vertAlign w:val="baseline"/>
        </w:rPr>
        <w:t>position </w:t>
      </w:r>
      <w:bookmarkStart w:name="_bookmark495" w:id="497"/>
      <w:bookmarkEnd w:id="497"/>
      <w:r>
        <w:rPr>
          <w:vertAlign w:val="baseline"/>
        </w:rPr>
        <w:t>he</w:t>
      </w:r>
      <w:r>
        <w:rPr>
          <w:spacing w:val="6"/>
          <w:vertAlign w:val="baseline"/>
        </w:rPr>
        <w:t> </w:t>
      </w:r>
      <w:r>
        <w:rPr>
          <w:vertAlign w:val="baseline"/>
        </w:rPr>
        <w:t>would</w:t>
      </w:r>
      <w:r>
        <w:rPr>
          <w:spacing w:val="6"/>
          <w:vertAlign w:val="baseline"/>
        </w:rPr>
        <w:t> </w:t>
      </w:r>
      <w:r>
        <w:rPr>
          <w:vertAlign w:val="baseline"/>
        </w:rPr>
        <w:t>have</w:t>
      </w:r>
      <w:r>
        <w:rPr>
          <w:spacing w:val="6"/>
          <w:vertAlign w:val="baseline"/>
        </w:rPr>
        <w:t> </w:t>
      </w:r>
      <w:r>
        <w:rPr>
          <w:vertAlign w:val="baseline"/>
        </w:rPr>
        <w:t>been</w:t>
      </w:r>
      <w:r>
        <w:rPr>
          <w:spacing w:val="6"/>
          <w:vertAlign w:val="baseline"/>
        </w:rPr>
        <w:t> </w:t>
      </w:r>
      <w:r>
        <w:rPr>
          <w:vertAlign w:val="baseline"/>
        </w:rPr>
        <w:t>in</w:t>
      </w:r>
      <w:r>
        <w:rPr>
          <w:spacing w:val="6"/>
          <w:vertAlign w:val="baseline"/>
        </w:rPr>
        <w:t> </w:t>
      </w:r>
      <w:r>
        <w:rPr>
          <w:vertAlign w:val="baseline"/>
        </w:rPr>
        <w:t>if</w:t>
      </w:r>
      <w:r>
        <w:rPr>
          <w:spacing w:val="6"/>
          <w:vertAlign w:val="baseline"/>
        </w:rPr>
        <w:t> </w:t>
      </w:r>
      <w:r>
        <w:rPr>
          <w:vertAlign w:val="baseline"/>
        </w:rPr>
        <w:t>the</w:t>
      </w:r>
      <w:r>
        <w:rPr>
          <w:spacing w:val="6"/>
          <w:vertAlign w:val="baseline"/>
        </w:rPr>
        <w:t> </w:t>
      </w:r>
      <w:r>
        <w:rPr>
          <w:vertAlign w:val="baseline"/>
        </w:rPr>
        <w:t>representation</w:t>
      </w:r>
      <w:r>
        <w:rPr>
          <w:spacing w:val="6"/>
          <w:vertAlign w:val="baseline"/>
        </w:rPr>
        <w:t> </w:t>
      </w:r>
      <w:r>
        <w:rPr>
          <w:vertAlign w:val="baseline"/>
        </w:rPr>
        <w:t>had</w:t>
      </w:r>
      <w:r>
        <w:rPr>
          <w:spacing w:val="6"/>
          <w:vertAlign w:val="baseline"/>
        </w:rPr>
        <w:t> </w:t>
      </w:r>
      <w:r>
        <w:rPr>
          <w:vertAlign w:val="baseline"/>
        </w:rPr>
        <w:t>not</w:t>
      </w:r>
      <w:r>
        <w:rPr>
          <w:spacing w:val="6"/>
          <w:vertAlign w:val="baseline"/>
        </w:rPr>
        <w:t> </w:t>
      </w:r>
      <w:r>
        <w:rPr>
          <w:vertAlign w:val="baseline"/>
        </w:rPr>
        <w:t>been</w:t>
      </w:r>
      <w:r>
        <w:rPr>
          <w:spacing w:val="6"/>
          <w:vertAlign w:val="baseline"/>
        </w:rPr>
        <w:t> </w:t>
      </w:r>
      <w:r>
        <w:rPr>
          <w:vertAlign w:val="baseline"/>
        </w:rPr>
        <w:t>made.</w:t>
      </w:r>
      <w:r>
        <w:rPr>
          <w:spacing w:val="6"/>
          <w:vertAlign w:val="baseline"/>
        </w:rPr>
        <w:t> </w:t>
      </w:r>
      <w:r>
        <w:rPr>
          <w:vertAlign w:val="baseline"/>
        </w:rPr>
        <w:t>The</w:t>
      </w:r>
      <w:r>
        <w:rPr>
          <w:spacing w:val="6"/>
          <w:vertAlign w:val="baseline"/>
        </w:rPr>
        <w:t> </w:t>
      </w:r>
      <w:r>
        <w:rPr>
          <w:vertAlign w:val="baseline"/>
        </w:rPr>
        <w:t>presumption</w:t>
      </w:r>
      <w:r>
        <w:rPr>
          <w:spacing w:val="6"/>
          <w:vertAlign w:val="baseline"/>
        </w:rPr>
        <w:t> </w:t>
      </w:r>
      <w:r>
        <w:rPr>
          <w:vertAlign w:val="baseline"/>
        </w:rPr>
        <w:t>seems</w:t>
      </w:r>
      <w:r>
        <w:rPr>
          <w:spacing w:val="6"/>
          <w:vertAlign w:val="baseline"/>
        </w:rPr>
        <w:t> </w:t>
      </w:r>
      <w:r>
        <w:rPr>
          <w:vertAlign w:val="baseline"/>
        </w:rPr>
        <w:t>to</w:t>
      </w:r>
      <w:r>
        <w:rPr>
          <w:spacing w:val="6"/>
          <w:vertAlign w:val="baseline"/>
        </w:rPr>
        <w:t> </w:t>
      </w:r>
      <w:r>
        <w:rPr>
          <w:vertAlign w:val="baseline"/>
        </w:rPr>
        <w:t>be</w:t>
      </w:r>
      <w:r>
        <w:rPr>
          <w:spacing w:val="6"/>
          <w:vertAlign w:val="baseline"/>
        </w:rPr>
        <w:t> </w:t>
      </w:r>
      <w:r>
        <w:rPr>
          <w:vertAlign w:val="baseline"/>
        </w:rPr>
        <w:t>that</w:t>
      </w:r>
      <w:r>
        <w:rPr>
          <w:spacing w:val="6"/>
          <w:vertAlign w:val="baseline"/>
        </w:rPr>
        <w:t> </w:t>
      </w:r>
      <w:r>
        <w:rPr>
          <w:spacing w:val="-5"/>
          <w:vertAlign w:val="baseline"/>
        </w:rPr>
        <w:t>if</w:t>
      </w:r>
    </w:p>
    <w:p>
      <w:pPr>
        <w:pStyle w:val="BodyText"/>
        <w:spacing w:line="235" w:lineRule="auto" w:before="119"/>
        <w:ind w:left="165" w:right="170"/>
      </w:pPr>
      <w:r>
        <w:rPr/>
        <w:t>the misrepresentation had not been made, the claimant would not have entered into the contract. </w:t>
      </w:r>
      <w:r>
        <w:rPr>
          <w:color w:val="005DA1"/>
          <w:u w:val="single" w:color="005DA1"/>
          <w:vertAlign w:val="superscript"/>
        </w:rPr>
        <w:t>278</w:t>
      </w:r>
      <w:r>
        <w:rPr>
          <w:color w:val="005DA1"/>
          <w:vertAlign w:val="baseline"/>
        </w:rPr>
        <w:t> </w:t>
      </w:r>
      <w:r>
        <w:rPr>
          <w:color w:val="005DA1"/>
          <w:position w:val="-2"/>
          <w:vertAlign w:val="baseline"/>
        </w:rPr>
        <w:drawing>
          <wp:inline distT="0" distB="0" distL="0" distR="0">
            <wp:extent cx="107988" cy="107988"/>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vertAlign w:val="baseline"/>
        </w:rPr>
        <w:t> </w:t>
      </w:r>
      <w:r>
        <w:rPr>
          <w:vertAlign w:val="baseline"/>
        </w:rPr>
        <w:t>So the plaintiff ought to be awarded such damages as will put him back in the financial position he was</w:t>
      </w:r>
      <w:r>
        <w:rPr>
          <w:spacing w:val="23"/>
          <w:vertAlign w:val="baseline"/>
        </w:rPr>
        <w:t> </w:t>
      </w:r>
      <w:r>
        <w:rPr>
          <w:vertAlign w:val="baseline"/>
        </w:rPr>
        <w:t>in</w:t>
      </w:r>
      <w:r>
        <w:rPr>
          <w:spacing w:val="23"/>
          <w:vertAlign w:val="baseline"/>
        </w:rPr>
        <w:t> </w:t>
      </w:r>
      <w:r>
        <w:rPr>
          <w:vertAlign w:val="baseline"/>
        </w:rPr>
        <w:t>before</w:t>
      </w:r>
      <w:r>
        <w:rPr>
          <w:spacing w:val="23"/>
          <w:vertAlign w:val="baseline"/>
        </w:rPr>
        <w:t> </w:t>
      </w:r>
      <w:r>
        <w:rPr>
          <w:vertAlign w:val="baseline"/>
        </w:rPr>
        <w:t>the</w:t>
      </w:r>
      <w:r>
        <w:rPr>
          <w:spacing w:val="23"/>
          <w:vertAlign w:val="baseline"/>
        </w:rPr>
        <w:t> </w:t>
      </w:r>
      <w:r>
        <w:rPr>
          <w:vertAlign w:val="baseline"/>
        </w:rPr>
        <w:t>contract</w:t>
      </w:r>
      <w:r>
        <w:rPr>
          <w:spacing w:val="23"/>
          <w:vertAlign w:val="baseline"/>
        </w:rPr>
        <w:t> </w:t>
      </w:r>
      <w:r>
        <w:rPr>
          <w:vertAlign w:val="baseline"/>
        </w:rPr>
        <w:t>was</w:t>
      </w:r>
      <w:r>
        <w:rPr>
          <w:spacing w:val="23"/>
          <w:vertAlign w:val="baseline"/>
        </w:rPr>
        <w:t> </w:t>
      </w:r>
      <w:r>
        <w:rPr>
          <w:vertAlign w:val="baseline"/>
        </w:rPr>
        <w:t>made.</w:t>
      </w:r>
      <w:r>
        <w:rPr>
          <w:spacing w:val="23"/>
          <w:vertAlign w:val="baseline"/>
        </w:rPr>
        <w:t> </w:t>
      </w:r>
      <w:r>
        <w:rPr>
          <w:vertAlign w:val="baseline"/>
        </w:rPr>
        <w:t>This</w:t>
      </w:r>
      <w:r>
        <w:rPr>
          <w:spacing w:val="23"/>
          <w:vertAlign w:val="baseline"/>
        </w:rPr>
        <w:t> </w:t>
      </w:r>
      <w:r>
        <w:rPr>
          <w:vertAlign w:val="baseline"/>
        </w:rPr>
        <w:t>means</w:t>
      </w:r>
      <w:r>
        <w:rPr>
          <w:spacing w:val="23"/>
          <w:vertAlign w:val="baseline"/>
        </w:rPr>
        <w:t> </w:t>
      </w:r>
      <w:r>
        <w:rPr>
          <w:vertAlign w:val="baseline"/>
        </w:rPr>
        <w:t>that</w:t>
      </w:r>
      <w:r>
        <w:rPr>
          <w:spacing w:val="23"/>
          <w:vertAlign w:val="baseline"/>
        </w:rPr>
        <w:t> </w:t>
      </w:r>
      <w:r>
        <w:rPr>
          <w:vertAlign w:val="baseline"/>
        </w:rPr>
        <w:t>where</w:t>
      </w:r>
      <w:r>
        <w:rPr>
          <w:spacing w:val="23"/>
          <w:vertAlign w:val="baseline"/>
        </w:rPr>
        <w:t> </w:t>
      </w:r>
      <w:r>
        <w:rPr>
          <w:vertAlign w:val="baseline"/>
        </w:rPr>
        <w:t>a</w:t>
      </w:r>
      <w:r>
        <w:rPr>
          <w:spacing w:val="23"/>
          <w:vertAlign w:val="baseline"/>
        </w:rPr>
        <w:t> </w:t>
      </w:r>
      <w:r>
        <w:rPr>
          <w:vertAlign w:val="baseline"/>
        </w:rPr>
        <w:t>person</w:t>
      </w:r>
      <w:r>
        <w:rPr>
          <w:spacing w:val="23"/>
          <w:vertAlign w:val="baseline"/>
        </w:rPr>
        <w:t> </w:t>
      </w:r>
      <w:r>
        <w:rPr>
          <w:vertAlign w:val="baseline"/>
        </w:rPr>
        <w:t>is</w:t>
      </w:r>
      <w:r>
        <w:rPr>
          <w:spacing w:val="23"/>
          <w:vertAlign w:val="baseline"/>
        </w:rPr>
        <w:t> </w:t>
      </w:r>
      <w:r>
        <w:rPr>
          <w:vertAlign w:val="baseline"/>
        </w:rPr>
        <w:t>induced</w:t>
      </w:r>
      <w:r>
        <w:rPr>
          <w:spacing w:val="23"/>
          <w:vertAlign w:val="baseline"/>
        </w:rPr>
        <w:t> </w:t>
      </w:r>
      <w:r>
        <w:rPr>
          <w:vertAlign w:val="baseline"/>
        </w:rPr>
        <w:t>by</w:t>
      </w:r>
      <w:r>
        <w:rPr>
          <w:spacing w:val="23"/>
          <w:vertAlign w:val="baseline"/>
        </w:rPr>
        <w:t> </w:t>
      </w:r>
      <w:r>
        <w:rPr>
          <w:vertAlign w:val="baseline"/>
        </w:rPr>
        <w:t>fraud</w:t>
      </w:r>
      <w:r>
        <w:rPr>
          <w:spacing w:val="23"/>
          <w:vertAlign w:val="baseline"/>
        </w:rPr>
        <w:t> </w:t>
      </w:r>
      <w:r>
        <w:rPr>
          <w:vertAlign w:val="baseline"/>
        </w:rPr>
        <w:t>to</w:t>
      </w:r>
      <w:r>
        <w:rPr>
          <w:spacing w:val="23"/>
          <w:vertAlign w:val="baseline"/>
        </w:rPr>
        <w:t> </w:t>
      </w:r>
      <w:r>
        <w:rPr>
          <w:vertAlign w:val="baseline"/>
        </w:rPr>
        <w:t>buy </w:t>
      </w:r>
      <w:bookmarkStart w:name="_bookmark496" w:id="498"/>
      <w:bookmarkEnd w:id="498"/>
      <w:r>
        <w:rPr>
          <w:vertAlign w:val="baseline"/>
        </w:rPr>
        <w:t>some</w:t>
      </w:r>
      <w:r>
        <w:rPr>
          <w:vertAlign w:val="baseline"/>
        </w:rPr>
        <w:t> property, the proper measure of damages is prima facie the difference between the price paid and the fair value of the property. </w:t>
      </w:r>
      <w:r>
        <w:rPr>
          <w:color w:val="005DA1"/>
          <w:u w:val="single" w:color="005DA1"/>
          <w:vertAlign w:val="superscript"/>
        </w:rPr>
        <w:t>279</w:t>
      </w:r>
    </w:p>
    <w:p>
      <w:pPr>
        <w:pStyle w:val="BodyText"/>
      </w:pPr>
    </w:p>
    <w:p>
      <w:pPr>
        <w:pStyle w:val="BodyText"/>
        <w:spacing w:before="36"/>
      </w:pPr>
    </w:p>
    <w:p>
      <w:pPr>
        <w:spacing w:before="0"/>
        <w:ind w:left="165" w:right="0" w:firstLine="0"/>
        <w:jc w:val="left"/>
        <w:rPr>
          <w:rFonts w:ascii="Arial"/>
          <w:b/>
          <w:sz w:val="18"/>
        </w:rPr>
      </w:pPr>
      <w:r>
        <w:rPr>
          <w:rFonts w:ascii="Arial"/>
          <w:b/>
          <w:sz w:val="18"/>
        </w:rPr>
        <w:t>Unforeseeable </w:t>
      </w:r>
      <w:r>
        <w:rPr>
          <w:rFonts w:ascii="Arial"/>
          <w:b/>
          <w:spacing w:val="-2"/>
          <w:sz w:val="18"/>
        </w:rPr>
        <w:t>losses</w:t>
      </w:r>
    </w:p>
    <w:p>
      <w:pPr>
        <w:pStyle w:val="BodyText"/>
        <w:spacing w:before="42"/>
        <w:rPr>
          <w:rFonts w:ascii="Arial"/>
          <w:b/>
          <w:sz w:val="18"/>
        </w:rPr>
      </w:pPr>
    </w:p>
    <w:p>
      <w:pPr>
        <w:pStyle w:val="Heading2"/>
      </w:pPr>
      <w:r>
        <w:rPr/>
        <w:t>7-</w:t>
      </w:r>
      <w:r>
        <w:rPr>
          <w:spacing w:val="-5"/>
        </w:rPr>
        <w:t>056</w:t>
      </w:r>
    </w:p>
    <w:p>
      <w:pPr>
        <w:pStyle w:val="BodyText"/>
        <w:spacing w:line="235" w:lineRule="auto" w:before="202"/>
        <w:ind w:left="165" w:right="167"/>
        <w:jc w:val="both"/>
      </w:pPr>
      <w:r>
        <w:rPr/>
        <w:t>In </w:t>
      </w:r>
      <w:r>
        <w:rPr>
          <w:rFonts w:ascii="Arial" w:hAnsi="Arial"/>
          <w:i/>
        </w:rPr>
        <w:t>Doyle v Olby (Ironmongers) Ltd</w:t>
      </w:r>
      <w:r>
        <w:rPr/>
        <w:t>, it was held that in cases of fraud the plaintiff was entitled to damages for any such loss which flowed from the defendants’ fraud, even if the loss could not </w:t>
      </w:r>
      <w:r>
        <w:rPr/>
        <w:t>have been</w:t>
      </w:r>
      <w:r>
        <w:rPr>
          <w:spacing w:val="8"/>
        </w:rPr>
        <w:t> </w:t>
      </w:r>
      <w:r>
        <w:rPr/>
        <w:t>foreseen</w:t>
      </w:r>
      <w:r>
        <w:rPr>
          <w:spacing w:val="8"/>
        </w:rPr>
        <w:t> </w:t>
      </w:r>
      <w:r>
        <w:rPr/>
        <w:t>by</w:t>
      </w:r>
      <w:r>
        <w:rPr>
          <w:spacing w:val="8"/>
        </w:rPr>
        <w:t> </w:t>
      </w:r>
      <w:r>
        <w:rPr/>
        <w:t>the</w:t>
      </w:r>
      <w:r>
        <w:rPr>
          <w:spacing w:val="8"/>
        </w:rPr>
        <w:t> </w:t>
      </w:r>
      <w:r>
        <w:rPr/>
        <w:t>latter.</w:t>
      </w:r>
      <w:r>
        <w:rPr>
          <w:spacing w:val="8"/>
        </w:rPr>
        <w:t> </w:t>
      </w:r>
      <w:r>
        <w:rPr/>
        <w:t>Thus</w:t>
      </w:r>
      <w:r>
        <w:rPr>
          <w:spacing w:val="8"/>
        </w:rPr>
        <w:t> </w:t>
      </w:r>
      <w:r>
        <w:rPr/>
        <w:t>the</w:t>
      </w:r>
      <w:r>
        <w:rPr>
          <w:spacing w:val="8"/>
        </w:rPr>
        <w:t> </w:t>
      </w:r>
      <w:r>
        <w:rPr/>
        <w:t>claimant</w:t>
      </w:r>
      <w:r>
        <w:rPr>
          <w:spacing w:val="8"/>
        </w:rPr>
        <w:t> </w:t>
      </w:r>
      <w:r>
        <w:rPr/>
        <w:t>may</w:t>
      </w:r>
      <w:r>
        <w:rPr>
          <w:spacing w:val="8"/>
        </w:rPr>
        <w:t> </w:t>
      </w:r>
      <w:r>
        <w:rPr/>
        <w:t>recover</w:t>
      </w:r>
      <w:r>
        <w:rPr>
          <w:spacing w:val="8"/>
        </w:rPr>
        <w:t> </w:t>
      </w:r>
      <w:r>
        <w:rPr/>
        <w:t>not</w:t>
      </w:r>
      <w:r>
        <w:rPr>
          <w:spacing w:val="8"/>
        </w:rPr>
        <w:t> </w:t>
      </w:r>
      <w:r>
        <w:rPr/>
        <w:t>only</w:t>
      </w:r>
      <w:r>
        <w:rPr>
          <w:spacing w:val="8"/>
        </w:rPr>
        <w:t> </w:t>
      </w:r>
      <w:r>
        <w:rPr/>
        <w:t>the</w:t>
      </w:r>
      <w:r>
        <w:rPr>
          <w:spacing w:val="8"/>
        </w:rPr>
        <w:t> </w:t>
      </w:r>
      <w:r>
        <w:rPr/>
        <w:t>difference</w:t>
      </w:r>
      <w:r>
        <w:rPr>
          <w:spacing w:val="8"/>
        </w:rPr>
        <w:t> </w:t>
      </w:r>
      <w:r>
        <w:rPr/>
        <w:t>between</w:t>
      </w:r>
      <w:r>
        <w:rPr>
          <w:spacing w:val="8"/>
        </w:rPr>
        <w:t> </w:t>
      </w:r>
      <w:r>
        <w:rPr/>
        <w:t>the</w:t>
      </w:r>
      <w:r>
        <w:rPr>
          <w:spacing w:val="8"/>
        </w:rPr>
        <w:t> </w:t>
      </w:r>
      <w:r>
        <w:rPr>
          <w:spacing w:val="-2"/>
        </w:rPr>
        <w:t>price</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4" w:right="167"/>
        <w:jc w:val="both"/>
      </w:pPr>
      <w:bookmarkStart w:name="_bookmark497" w:id="499"/>
      <w:bookmarkEnd w:id="499"/>
      <w:r>
        <w:rPr/>
      </w:r>
      <w:r>
        <w:rPr/>
        <w:t>paid and the value of what he received</w:t>
      </w:r>
      <w:r>
        <w:rPr>
          <w:spacing w:val="-1"/>
        </w:rPr>
        <w:t> </w:t>
      </w:r>
      <w:r>
        <w:rPr>
          <w:color w:val="005DA1"/>
          <w:u w:val="single" w:color="005DA1"/>
          <w:vertAlign w:val="superscript"/>
        </w:rPr>
        <w:t>280</w:t>
      </w:r>
      <w:r>
        <w:rPr>
          <w:color w:val="005DA1"/>
          <w:spacing w:val="-1"/>
          <w:vertAlign w:val="baseline"/>
        </w:rPr>
        <w:t> </w:t>
      </w:r>
      <w:r>
        <w:rPr>
          <w:vertAlign w:val="baseline"/>
        </w:rPr>
        <w:t>but also expenditure wasted in reliance on the contract </w:t>
      </w:r>
      <w:r>
        <w:rPr>
          <w:vertAlign w:val="baseline"/>
        </w:rPr>
        <w:t>and compensation for other opportunities passed over in reliance on it.</w:t>
      </w:r>
    </w:p>
    <w:p>
      <w:pPr>
        <w:pStyle w:val="BodyText"/>
        <w:spacing w:before="80"/>
      </w:pPr>
    </w:p>
    <w:p>
      <w:pPr>
        <w:pStyle w:val="Heading2"/>
        <w:ind w:left="164"/>
      </w:pPr>
      <w:r>
        <w:rPr/>
        <w:t>7-</w:t>
      </w:r>
      <w:r>
        <w:rPr>
          <w:spacing w:val="-5"/>
        </w:rPr>
        <w:t>057</w:t>
      </w:r>
    </w:p>
    <w:p>
      <w:pPr>
        <w:spacing w:line="235" w:lineRule="auto" w:before="203"/>
        <w:ind w:left="165" w:right="167" w:firstLine="0"/>
        <w:jc w:val="both"/>
        <w:rPr>
          <w:sz w:val="20"/>
        </w:rPr>
      </w:pPr>
      <w:bookmarkStart w:name="_bookmark498" w:id="500"/>
      <w:bookmarkEnd w:id="500"/>
      <w:r>
        <w:rPr/>
      </w:r>
      <w:r>
        <w:rPr>
          <w:sz w:val="20"/>
        </w:rPr>
        <w:t>In</w:t>
      </w:r>
      <w:r>
        <w:rPr>
          <w:spacing w:val="40"/>
          <w:sz w:val="20"/>
        </w:rPr>
        <w:t> </w:t>
      </w:r>
      <w:r>
        <w:rPr>
          <w:rFonts w:ascii="Arial"/>
          <w:i/>
          <w:sz w:val="20"/>
        </w:rPr>
        <w:t>Smith</w:t>
      </w:r>
      <w:r>
        <w:rPr>
          <w:rFonts w:ascii="Arial"/>
          <w:i/>
          <w:spacing w:val="40"/>
          <w:sz w:val="20"/>
        </w:rPr>
        <w:t> </w:t>
      </w:r>
      <w:r>
        <w:rPr>
          <w:rFonts w:ascii="Arial"/>
          <w:i/>
          <w:sz w:val="20"/>
        </w:rPr>
        <w:t>New</w:t>
      </w:r>
      <w:r>
        <w:rPr>
          <w:rFonts w:ascii="Arial"/>
          <w:i/>
          <w:spacing w:val="40"/>
          <w:sz w:val="20"/>
        </w:rPr>
        <w:t> </w:t>
      </w:r>
      <w:r>
        <w:rPr>
          <w:rFonts w:ascii="Arial"/>
          <w:i/>
          <w:sz w:val="20"/>
        </w:rPr>
        <w:t>Court</w:t>
      </w:r>
      <w:r>
        <w:rPr>
          <w:rFonts w:ascii="Arial"/>
          <w:i/>
          <w:spacing w:val="40"/>
          <w:sz w:val="20"/>
        </w:rPr>
        <w:t> </w:t>
      </w:r>
      <w:r>
        <w:rPr>
          <w:rFonts w:ascii="Arial"/>
          <w:i/>
          <w:sz w:val="20"/>
        </w:rPr>
        <w:t>Securities</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Scrimgeour</w:t>
      </w:r>
      <w:r>
        <w:rPr>
          <w:rFonts w:ascii="Arial"/>
          <w:i/>
          <w:spacing w:val="40"/>
          <w:sz w:val="20"/>
        </w:rPr>
        <w:t> </w:t>
      </w:r>
      <w:r>
        <w:rPr>
          <w:rFonts w:ascii="Arial"/>
          <w:i/>
          <w:sz w:val="20"/>
        </w:rPr>
        <w:t>Vickers</w:t>
      </w:r>
      <w:r>
        <w:rPr>
          <w:rFonts w:ascii="Arial"/>
          <w:i/>
          <w:spacing w:val="40"/>
          <w:sz w:val="20"/>
        </w:rPr>
        <w:t> </w:t>
      </w:r>
      <w:r>
        <w:rPr>
          <w:rFonts w:ascii="Arial"/>
          <w:i/>
          <w:sz w:val="20"/>
        </w:rPr>
        <w:t>(Asset</w:t>
      </w:r>
      <w:r>
        <w:rPr>
          <w:rFonts w:ascii="Arial"/>
          <w:i/>
          <w:spacing w:val="40"/>
          <w:sz w:val="20"/>
        </w:rPr>
        <w:t> </w:t>
      </w:r>
      <w:r>
        <w:rPr>
          <w:rFonts w:ascii="Arial"/>
          <w:i/>
          <w:sz w:val="20"/>
        </w:rPr>
        <w:t>Management)</w:t>
      </w:r>
      <w:r>
        <w:rPr>
          <w:rFonts w:ascii="Arial"/>
          <w:i/>
          <w:spacing w:val="40"/>
          <w:sz w:val="20"/>
        </w:rPr>
        <w:t> </w:t>
      </w:r>
      <w:r>
        <w:rPr>
          <w:rFonts w:ascii="Arial"/>
          <w:i/>
          <w:sz w:val="20"/>
        </w:rPr>
        <w:t>Ltd</w:t>
      </w:r>
      <w:r>
        <w:rPr>
          <w:rFonts w:ascii="Arial"/>
          <w:i/>
          <w:spacing w:val="40"/>
          <w:sz w:val="20"/>
        </w:rPr>
        <w:t> </w:t>
      </w:r>
      <w:r>
        <w:rPr>
          <w:color w:val="005DA1"/>
          <w:sz w:val="20"/>
          <w:u w:val="single" w:color="005DA1"/>
          <w:vertAlign w:val="superscript"/>
        </w:rPr>
        <w:t>281</w:t>
      </w:r>
      <w:r>
        <w:rPr>
          <w:color w:val="005DA1"/>
          <w:spacing w:val="40"/>
          <w:sz w:val="20"/>
          <w:vertAlign w:val="baseline"/>
        </w:rPr>
        <w:t> </w:t>
      </w:r>
      <w:r>
        <w:rPr>
          <w:sz w:val="20"/>
          <w:vertAlign w:val="baseline"/>
        </w:rPr>
        <w:t>Lord Browne-Wilkinson described </w:t>
      </w:r>
      <w:r>
        <w:rPr>
          <w:rFonts w:ascii="Arial"/>
          <w:i/>
          <w:sz w:val="20"/>
          <w:vertAlign w:val="baseline"/>
        </w:rPr>
        <w:t>Doyle v Olby (Ironmongers) Ltd </w:t>
      </w:r>
      <w:r>
        <w:rPr>
          <w:sz w:val="20"/>
          <w:vertAlign w:val="baseline"/>
        </w:rPr>
        <w:t>as restating the law correctly. He stated the principles applicable in assessing damages where a party has been induced by a fraudulent misrepresentation to buy property as follows:</w:t>
      </w:r>
    </w:p>
    <w:p>
      <w:pPr>
        <w:pStyle w:val="BodyText"/>
      </w:pPr>
    </w:p>
    <w:p>
      <w:pPr>
        <w:pStyle w:val="BodyText"/>
      </w:pPr>
    </w:p>
    <w:p>
      <w:pPr>
        <w:pStyle w:val="BodyText"/>
      </w:pPr>
    </w:p>
    <w:p>
      <w:pPr>
        <w:pStyle w:val="BodyText"/>
        <w:spacing w:before="95"/>
      </w:pPr>
    </w:p>
    <w:p>
      <w:pPr>
        <w:pStyle w:val="BodyText"/>
        <w:ind w:left="1245"/>
      </w:pPr>
      <w:r>
        <w:rPr>
          <w:spacing w:val="-4"/>
        </w:rPr>
        <w:t>“(1)</w:t>
      </w:r>
    </w:p>
    <w:p>
      <w:pPr>
        <w:pStyle w:val="BodyText"/>
        <w:spacing w:line="235" w:lineRule="auto" w:before="114"/>
        <w:ind w:left="1725" w:right="168"/>
      </w:pPr>
      <w:r>
        <w:rPr/>
        <w:t>The defendant is bound to make reparation for all the damage directly flowing from the transaction;</w:t>
      </w:r>
    </w:p>
    <w:p>
      <w:pPr>
        <w:pStyle w:val="BodyText"/>
      </w:pPr>
    </w:p>
    <w:p>
      <w:pPr>
        <w:pStyle w:val="BodyText"/>
        <w:spacing w:before="35"/>
      </w:pPr>
    </w:p>
    <w:p>
      <w:pPr>
        <w:pStyle w:val="BodyText"/>
        <w:ind w:left="1245"/>
      </w:pPr>
      <w:r>
        <w:rPr>
          <w:spacing w:val="-5"/>
        </w:rPr>
        <w:t>(2)</w:t>
      </w:r>
    </w:p>
    <w:p>
      <w:pPr>
        <w:pStyle w:val="BodyText"/>
        <w:spacing w:line="235" w:lineRule="auto" w:before="114"/>
        <w:ind w:left="1725"/>
      </w:pPr>
      <w:r>
        <w:rPr/>
        <w:t>although such damage need not have been foreseeable, it must have been directly caused by the transaction;</w:t>
      </w:r>
    </w:p>
    <w:p>
      <w:pPr>
        <w:pStyle w:val="BodyText"/>
      </w:pPr>
    </w:p>
    <w:p>
      <w:pPr>
        <w:pStyle w:val="BodyText"/>
        <w:spacing w:before="35"/>
      </w:pPr>
    </w:p>
    <w:p>
      <w:pPr>
        <w:pStyle w:val="BodyText"/>
        <w:ind w:left="1245"/>
      </w:pPr>
      <w:r>
        <w:rPr>
          <w:spacing w:val="-5"/>
        </w:rPr>
        <w:t>(3)</w:t>
      </w:r>
    </w:p>
    <w:p>
      <w:pPr>
        <w:pStyle w:val="BodyText"/>
        <w:spacing w:line="235" w:lineRule="auto" w:before="114"/>
        <w:ind w:left="1725" w:right="167"/>
        <w:jc w:val="both"/>
      </w:pPr>
      <w:r>
        <w:rPr/>
        <w:t>in assessing such damage, the plaintiff is entitled to recover by way of damages </w:t>
      </w:r>
      <w:r>
        <w:rPr/>
        <w:t>the full price paid by him, but he must give credit for any benefits which he has received as a result of the transaction;</w:t>
      </w:r>
    </w:p>
    <w:p>
      <w:pPr>
        <w:pStyle w:val="BodyText"/>
      </w:pPr>
    </w:p>
    <w:p>
      <w:pPr>
        <w:pStyle w:val="BodyText"/>
        <w:spacing w:before="35"/>
      </w:pPr>
    </w:p>
    <w:p>
      <w:pPr>
        <w:pStyle w:val="BodyText"/>
        <w:ind w:left="1245"/>
      </w:pPr>
      <w:r>
        <w:rPr>
          <w:spacing w:val="-5"/>
        </w:rPr>
        <w:t>(4)</w:t>
      </w:r>
    </w:p>
    <w:p>
      <w:pPr>
        <w:pStyle w:val="BodyText"/>
        <w:spacing w:line="235" w:lineRule="auto" w:before="114"/>
        <w:ind w:left="1725" w:right="167"/>
        <w:jc w:val="both"/>
      </w:pPr>
      <w:r>
        <w:rPr/>
        <w:t>as a general rule, the benefits received by him include the market value of </w:t>
      </w:r>
      <w:r>
        <w:rPr/>
        <w:t>the property acquired at the date of the transaction; but such general rule is not to be inflexibly applied where to do so would prevent him obtaining full compensation for the wrong suffered;</w:t>
      </w:r>
    </w:p>
    <w:p>
      <w:pPr>
        <w:pStyle w:val="BodyText"/>
      </w:pPr>
    </w:p>
    <w:p>
      <w:pPr>
        <w:pStyle w:val="BodyText"/>
        <w:spacing w:before="35"/>
      </w:pPr>
    </w:p>
    <w:p>
      <w:pPr>
        <w:pStyle w:val="BodyText"/>
        <w:ind w:left="1245"/>
      </w:pPr>
      <w:r>
        <w:rPr>
          <w:spacing w:val="-5"/>
        </w:rPr>
        <w:t>(5)</w:t>
      </w:r>
    </w:p>
    <w:p>
      <w:pPr>
        <w:pStyle w:val="BodyText"/>
        <w:spacing w:line="235" w:lineRule="auto" w:before="114"/>
        <w:ind w:left="1725" w:right="167"/>
        <w:jc w:val="both"/>
      </w:pPr>
      <w:r>
        <w:rPr/>
        <w:t>although the circumstances in which the general rule should not apply cannot be comprehensively stated, it will normally not apply where either (a) </w:t>
      </w:r>
      <w:r>
        <w:rPr/>
        <w:t>the misrepresentation has continued to operate after the date of the acquisition of the </w:t>
      </w:r>
      <w:bookmarkStart w:name="_bookmark499" w:id="501"/>
      <w:bookmarkEnd w:id="501"/>
      <w:r>
        <w:rPr/>
        <w:t>asset</w:t>
      </w:r>
      <w:r>
        <w:rPr/>
        <w:t> so as to induce the plaintiff to retain the asset or (b) the circumstances of the case</w:t>
      </w:r>
      <w:r>
        <w:rPr>
          <w:spacing w:val="-1"/>
        </w:rPr>
        <w:t> </w:t>
      </w:r>
      <w:r>
        <w:rPr/>
        <w:t>are</w:t>
      </w:r>
      <w:r>
        <w:rPr>
          <w:spacing w:val="-1"/>
        </w:rPr>
        <w:t> </w:t>
      </w:r>
      <w:r>
        <w:rPr/>
        <w:t>such</w:t>
      </w:r>
      <w:r>
        <w:rPr>
          <w:spacing w:val="-1"/>
        </w:rPr>
        <w:t> </w:t>
      </w:r>
      <w:r>
        <w:rPr/>
        <w:t>that</w:t>
      </w:r>
      <w:r>
        <w:rPr>
          <w:spacing w:val="-1"/>
        </w:rPr>
        <w:t> </w:t>
      </w:r>
      <w:r>
        <w:rPr/>
        <w:t>the</w:t>
      </w:r>
      <w:r>
        <w:rPr>
          <w:spacing w:val="-1"/>
        </w:rPr>
        <w:t> </w:t>
      </w:r>
      <w:r>
        <w:rPr/>
        <w:t>plaintiff</w:t>
      </w:r>
      <w:r>
        <w:rPr>
          <w:spacing w:val="-1"/>
        </w:rPr>
        <w:t> </w:t>
      </w:r>
      <w:r>
        <w:rPr/>
        <w:t>is,</w:t>
      </w:r>
      <w:r>
        <w:rPr>
          <w:spacing w:val="-1"/>
        </w:rPr>
        <w:t> </w:t>
      </w:r>
      <w:r>
        <w:rPr/>
        <w:t>by</w:t>
      </w:r>
      <w:r>
        <w:rPr>
          <w:spacing w:val="-1"/>
        </w:rPr>
        <w:t> </w:t>
      </w:r>
      <w:r>
        <w:rPr/>
        <w:t>reason</w:t>
      </w:r>
      <w:r>
        <w:rPr>
          <w:spacing w:val="-1"/>
        </w:rPr>
        <w:t> </w:t>
      </w:r>
      <w:r>
        <w:rPr/>
        <w:t>of</w:t>
      </w:r>
      <w:r>
        <w:rPr>
          <w:spacing w:val="-1"/>
        </w:rPr>
        <w:t> </w:t>
      </w:r>
      <w:r>
        <w:rPr/>
        <w:t>the</w:t>
      </w:r>
      <w:r>
        <w:rPr>
          <w:spacing w:val="-1"/>
        </w:rPr>
        <w:t> </w:t>
      </w:r>
      <w:r>
        <w:rPr/>
        <w:t>fraud,</w:t>
      </w:r>
      <w:r>
        <w:rPr>
          <w:spacing w:val="-1"/>
        </w:rPr>
        <w:t> </w:t>
      </w:r>
      <w:r>
        <w:rPr/>
        <w:t>locked</w:t>
      </w:r>
      <w:r>
        <w:rPr>
          <w:spacing w:val="-1"/>
        </w:rPr>
        <w:t> </w:t>
      </w:r>
      <w:r>
        <w:rPr/>
        <w:t>into</w:t>
      </w:r>
      <w:r>
        <w:rPr>
          <w:spacing w:val="-1"/>
        </w:rPr>
        <w:t> </w:t>
      </w:r>
      <w:r>
        <w:rPr/>
        <w:t>the</w:t>
      </w:r>
      <w:r>
        <w:rPr>
          <w:spacing w:val="-1"/>
        </w:rPr>
        <w:t> </w:t>
      </w:r>
      <w:r>
        <w:rPr/>
        <w:t>property</w:t>
      </w:r>
      <w:r>
        <w:rPr>
          <w:spacing w:val="-2"/>
        </w:rPr>
        <w:t> </w:t>
      </w:r>
      <w:r>
        <w:rPr>
          <w:color w:val="005DA1"/>
          <w:u w:val="single" w:color="005DA1"/>
          <w:vertAlign w:val="superscript"/>
        </w:rPr>
        <w:t>282</w:t>
      </w:r>
      <w:r>
        <w:rPr>
          <w:vertAlign w:val="baseline"/>
        </w:rPr>
        <w:t>;</w:t>
      </w:r>
    </w:p>
    <w:p>
      <w:pPr>
        <w:pStyle w:val="BodyText"/>
      </w:pPr>
    </w:p>
    <w:p>
      <w:pPr>
        <w:pStyle w:val="BodyText"/>
        <w:spacing w:before="34"/>
      </w:pPr>
    </w:p>
    <w:p>
      <w:pPr>
        <w:pStyle w:val="BodyText"/>
        <w:ind w:left="1245"/>
      </w:pPr>
      <w:r>
        <w:rPr>
          <w:spacing w:val="-5"/>
        </w:rPr>
        <w:t>(6)</w:t>
      </w:r>
    </w:p>
    <w:p>
      <w:pPr>
        <w:pStyle w:val="BodyText"/>
        <w:spacing w:line="235" w:lineRule="auto" w:before="114"/>
        <w:ind w:left="1725"/>
      </w:pPr>
      <w:r>
        <w:rPr/>
        <w:t>in</w:t>
      </w:r>
      <w:r>
        <w:rPr>
          <w:spacing w:val="30"/>
        </w:rPr>
        <w:t> </w:t>
      </w:r>
      <w:r>
        <w:rPr/>
        <w:t>addition,</w:t>
      </w:r>
      <w:r>
        <w:rPr>
          <w:spacing w:val="30"/>
        </w:rPr>
        <w:t> </w:t>
      </w:r>
      <w:r>
        <w:rPr/>
        <w:t>the</w:t>
      </w:r>
      <w:r>
        <w:rPr>
          <w:spacing w:val="30"/>
        </w:rPr>
        <w:t> </w:t>
      </w:r>
      <w:r>
        <w:rPr/>
        <w:t>plaintiff</w:t>
      </w:r>
      <w:r>
        <w:rPr>
          <w:spacing w:val="30"/>
        </w:rPr>
        <w:t> </w:t>
      </w:r>
      <w:r>
        <w:rPr/>
        <w:t>is</w:t>
      </w:r>
      <w:r>
        <w:rPr>
          <w:spacing w:val="30"/>
        </w:rPr>
        <w:t> </w:t>
      </w:r>
      <w:r>
        <w:rPr/>
        <w:t>entitled</w:t>
      </w:r>
      <w:r>
        <w:rPr>
          <w:spacing w:val="30"/>
        </w:rPr>
        <w:t> </w:t>
      </w:r>
      <w:r>
        <w:rPr/>
        <w:t>to</w:t>
      </w:r>
      <w:r>
        <w:rPr>
          <w:spacing w:val="30"/>
        </w:rPr>
        <w:t> </w:t>
      </w:r>
      <w:r>
        <w:rPr/>
        <w:t>recover</w:t>
      </w:r>
      <w:r>
        <w:rPr>
          <w:spacing w:val="30"/>
        </w:rPr>
        <w:t> </w:t>
      </w:r>
      <w:r>
        <w:rPr/>
        <w:t>consequential</w:t>
      </w:r>
      <w:r>
        <w:rPr>
          <w:spacing w:val="30"/>
        </w:rPr>
        <w:t> </w:t>
      </w:r>
      <w:r>
        <w:rPr/>
        <w:t>losses</w:t>
      </w:r>
      <w:r>
        <w:rPr>
          <w:spacing w:val="30"/>
        </w:rPr>
        <w:t> </w:t>
      </w:r>
      <w:r>
        <w:rPr/>
        <w:t>caused</w:t>
      </w:r>
      <w:r>
        <w:rPr>
          <w:spacing w:val="30"/>
        </w:rPr>
        <w:t> </w:t>
      </w:r>
      <w:r>
        <w:rPr/>
        <w:t>by</w:t>
      </w:r>
      <w:r>
        <w:rPr>
          <w:spacing w:val="30"/>
        </w:rPr>
        <w:t> </w:t>
      </w:r>
      <w:r>
        <w:rPr/>
        <w:t>the </w:t>
      </w:r>
      <w:r>
        <w:rPr>
          <w:spacing w:val="-2"/>
        </w:rPr>
        <w:t>transaction;</w:t>
      </w:r>
    </w:p>
    <w:p>
      <w:pPr>
        <w:pStyle w:val="BodyText"/>
      </w:pPr>
    </w:p>
    <w:p>
      <w:pPr>
        <w:pStyle w:val="BodyText"/>
        <w:spacing w:before="35"/>
      </w:pPr>
    </w:p>
    <w:p>
      <w:pPr>
        <w:pStyle w:val="BodyText"/>
        <w:ind w:left="1245"/>
      </w:pPr>
      <w:r>
        <w:rPr>
          <w:spacing w:val="-5"/>
        </w:rPr>
        <w:t>(7)</w:t>
      </w:r>
    </w:p>
    <w:p>
      <w:pPr>
        <w:pStyle w:val="BodyText"/>
        <w:spacing w:line="235" w:lineRule="auto" w:before="114"/>
        <w:ind w:left="1725"/>
      </w:pPr>
      <w:bookmarkStart w:name="_bookmark500" w:id="502"/>
      <w:bookmarkEnd w:id="502"/>
      <w:r>
        <w:rPr/>
      </w:r>
      <w:r>
        <w:rPr/>
        <w:t>the</w:t>
      </w:r>
      <w:r>
        <w:rPr>
          <w:spacing w:val="65"/>
        </w:rPr>
        <w:t> </w:t>
      </w:r>
      <w:r>
        <w:rPr/>
        <w:t>plaintiff</w:t>
      </w:r>
      <w:r>
        <w:rPr>
          <w:spacing w:val="65"/>
        </w:rPr>
        <w:t> </w:t>
      </w:r>
      <w:r>
        <w:rPr/>
        <w:t>must</w:t>
      </w:r>
      <w:r>
        <w:rPr>
          <w:spacing w:val="65"/>
        </w:rPr>
        <w:t> </w:t>
      </w:r>
      <w:r>
        <w:rPr/>
        <w:t>take</w:t>
      </w:r>
      <w:r>
        <w:rPr>
          <w:spacing w:val="65"/>
        </w:rPr>
        <w:t> </w:t>
      </w:r>
      <w:r>
        <w:rPr/>
        <w:t>all</w:t>
      </w:r>
      <w:r>
        <w:rPr>
          <w:spacing w:val="65"/>
        </w:rPr>
        <w:t> </w:t>
      </w:r>
      <w:r>
        <w:rPr/>
        <w:t>reasonable</w:t>
      </w:r>
      <w:r>
        <w:rPr>
          <w:spacing w:val="65"/>
        </w:rPr>
        <w:t> </w:t>
      </w:r>
      <w:r>
        <w:rPr/>
        <w:t>steps</w:t>
      </w:r>
      <w:r>
        <w:rPr>
          <w:spacing w:val="65"/>
        </w:rPr>
        <w:t> </w:t>
      </w:r>
      <w:r>
        <w:rPr/>
        <w:t>to</w:t>
      </w:r>
      <w:r>
        <w:rPr>
          <w:spacing w:val="65"/>
        </w:rPr>
        <w:t> </w:t>
      </w:r>
      <w:r>
        <w:rPr/>
        <w:t>mitigate</w:t>
      </w:r>
      <w:r>
        <w:rPr>
          <w:spacing w:val="65"/>
        </w:rPr>
        <w:t> </w:t>
      </w:r>
      <w:r>
        <w:rPr/>
        <w:t>his</w:t>
      </w:r>
      <w:r>
        <w:rPr>
          <w:spacing w:val="65"/>
        </w:rPr>
        <w:t> </w:t>
      </w:r>
      <w:r>
        <w:rPr/>
        <w:t>loss</w:t>
      </w:r>
      <w:r>
        <w:rPr>
          <w:spacing w:val="65"/>
        </w:rPr>
        <w:t> </w:t>
      </w:r>
      <w:r>
        <w:rPr/>
        <w:t>once</w:t>
      </w:r>
      <w:r>
        <w:rPr>
          <w:spacing w:val="65"/>
        </w:rPr>
        <w:t> </w:t>
      </w:r>
      <w:r>
        <w:rPr/>
        <w:t>he</w:t>
      </w:r>
      <w:r>
        <w:rPr>
          <w:spacing w:val="65"/>
        </w:rPr>
        <w:t> </w:t>
      </w:r>
      <w:r>
        <w:rPr/>
        <w:t>has discovered the fraud.” </w:t>
      </w:r>
      <w:r>
        <w:rPr>
          <w:color w:val="005DA1"/>
          <w:u w:val="single" w:color="005DA1"/>
          <w:vertAlign w:val="superscript"/>
        </w:rPr>
        <w:t>283</w:t>
      </w:r>
    </w:p>
    <w:p>
      <w:pPr>
        <w:pStyle w:val="BodyText"/>
        <w:spacing w:after="0" w:line="235" w:lineRule="auto"/>
        <w:sectPr>
          <w:pgSz w:w="11900" w:h="16840"/>
          <w:pgMar w:header="971" w:footer="0" w:top="1160" w:bottom="280" w:left="1275" w:right="1275"/>
        </w:sectPr>
      </w:pPr>
    </w:p>
    <w:p>
      <w:pPr>
        <w:pStyle w:val="BodyText"/>
        <w:rPr>
          <w:sz w:val="18"/>
        </w:rPr>
      </w:pPr>
    </w:p>
    <w:p>
      <w:pPr>
        <w:pStyle w:val="BodyText"/>
        <w:spacing w:before="179"/>
        <w:rPr>
          <w:sz w:val="18"/>
        </w:rPr>
      </w:pPr>
    </w:p>
    <w:p>
      <w:pPr>
        <w:spacing w:before="0"/>
        <w:ind w:left="165" w:right="0" w:firstLine="0"/>
        <w:jc w:val="left"/>
        <w:rPr>
          <w:rFonts w:ascii="Arial"/>
          <w:b/>
          <w:sz w:val="18"/>
        </w:rPr>
      </w:pPr>
      <w:r>
        <w:rPr>
          <w:rFonts w:ascii="Arial"/>
          <w:b/>
          <w:sz w:val="18"/>
        </w:rPr>
        <w:t>Lost </w:t>
      </w:r>
      <w:r>
        <w:rPr>
          <w:rFonts w:ascii="Arial"/>
          <w:b/>
          <w:spacing w:val="-2"/>
          <w:sz w:val="18"/>
        </w:rPr>
        <w:t>opportunity</w:t>
      </w:r>
    </w:p>
    <w:p>
      <w:pPr>
        <w:pStyle w:val="BodyText"/>
        <w:spacing w:before="41"/>
        <w:rPr>
          <w:rFonts w:ascii="Arial"/>
          <w:b/>
          <w:sz w:val="18"/>
        </w:rPr>
      </w:pPr>
    </w:p>
    <w:p>
      <w:pPr>
        <w:pStyle w:val="Heading2"/>
        <w:spacing w:before="1"/>
      </w:pPr>
      <w:r>
        <w:rPr/>
        <w:t>7-</w:t>
      </w:r>
      <w:r>
        <w:rPr>
          <w:spacing w:val="-5"/>
        </w:rPr>
        <w:t>058</w:t>
      </w:r>
    </w:p>
    <w:p>
      <w:pPr>
        <w:pStyle w:val="BodyText"/>
        <w:spacing w:line="235" w:lineRule="auto" w:before="202"/>
        <w:ind w:left="165" w:right="167"/>
        <w:jc w:val="both"/>
      </w:pPr>
      <w:bookmarkStart w:name="_bookmark501" w:id="503"/>
      <w:bookmarkEnd w:id="503"/>
      <w:r>
        <w:rPr/>
      </w:r>
      <w:r>
        <w:rPr/>
        <w:t>The points that damages for fraud will not compensate the claimant for loss of bargain but may cover loss caused by passing up other profitable opportunities are well illustrated by </w:t>
      </w:r>
      <w:r>
        <w:rPr>
          <w:rFonts w:ascii="Arial"/>
          <w:i/>
        </w:rPr>
        <w:t>East v Maurer</w:t>
      </w:r>
      <w:r>
        <w:rPr/>
        <w:t>. </w:t>
      </w:r>
      <w:r>
        <w:rPr>
          <w:color w:val="005DA1"/>
          <w:u w:val="single" w:color="005DA1"/>
          <w:vertAlign w:val="superscript"/>
        </w:rPr>
        <w:t>284</w:t>
      </w:r>
      <w:r>
        <w:rPr>
          <w:color w:val="005DA1"/>
          <w:vertAlign w:val="baseline"/>
        </w:rPr>
        <w:t> </w:t>
      </w:r>
      <w:r>
        <w:rPr>
          <w:vertAlign w:val="baseline"/>
        </w:rPr>
        <w:t>The plaintiffs bought a hairdressing business in reliance on a false representation that the defendant had no intention of working regularly at a second hairdressing business he owned in the same town. In</w:t>
      </w:r>
      <w:r>
        <w:rPr>
          <w:spacing w:val="40"/>
          <w:vertAlign w:val="baseline"/>
        </w:rPr>
        <w:t> </w:t>
      </w:r>
      <w:r>
        <w:rPr>
          <w:vertAlign w:val="baseline"/>
        </w:rPr>
        <w:t>fact he continued to work at the second business and the plaintiffs were forced to resell the business they had bought at a substantial loss. They were awarded damages for the difference between the price they had paid and the price they received on resale, plus expenditure wasted in attempting to </w:t>
      </w:r>
      <w:bookmarkStart w:name="_bookmark502" w:id="504"/>
      <w:bookmarkEnd w:id="504"/>
      <w:r>
        <w:rPr>
          <w:vertAlign w:val="baseline"/>
        </w:rPr>
        <w:t>improve</w:t>
      </w:r>
      <w:r>
        <w:rPr>
          <w:vertAlign w:val="baseline"/>
        </w:rPr>
        <w:t> the business and in other ways. They were also awarded the sum they could have expected to make as profit had they bought another similar business in the same area. </w:t>
      </w:r>
      <w:r>
        <w:rPr>
          <w:color w:val="005DA1"/>
          <w:u w:val="single" w:color="005DA1"/>
          <w:vertAlign w:val="superscript"/>
        </w:rPr>
        <w:t>285</w:t>
      </w:r>
      <w:r>
        <w:rPr>
          <w:color w:val="005DA1"/>
          <w:vertAlign w:val="baseline"/>
        </w:rPr>
        <w:t> </w:t>
      </w:r>
      <w:r>
        <w:rPr>
          <w:vertAlign w:val="baseline"/>
        </w:rPr>
        <w:t>However, they were not entitled to the higher amount they might have earned from the actual business bought had the </w:t>
      </w:r>
      <w:bookmarkStart w:name="_bookmark503" w:id="505"/>
      <w:bookmarkEnd w:id="505"/>
      <w:r>
        <w:rPr>
          <w:vertAlign w:val="baseline"/>
        </w:rPr>
        <w:t>defendant</w:t>
      </w:r>
      <w:r>
        <w:rPr>
          <w:vertAlign w:val="baseline"/>
        </w:rPr>
        <w:t> kept to his stated intention; he had not warranted that they would keep all his old</w:t>
      </w:r>
      <w:r>
        <w:rPr>
          <w:spacing w:val="40"/>
          <w:vertAlign w:val="baseline"/>
        </w:rPr>
        <w:t> </w:t>
      </w:r>
      <w:r>
        <w:rPr>
          <w:vertAlign w:val="baseline"/>
        </w:rPr>
        <w:t>customers or that he would not compete. </w:t>
      </w:r>
      <w:r>
        <w:rPr>
          <w:color w:val="005DA1"/>
          <w:u w:val="single" w:color="005DA1"/>
          <w:vertAlign w:val="superscript"/>
        </w:rPr>
        <w:t>286</w:t>
      </w:r>
      <w:r>
        <w:rPr>
          <w:color w:val="005DA1"/>
          <w:vertAlign w:val="baseline"/>
        </w:rPr>
        <w:t> </w:t>
      </w:r>
      <w:r>
        <w:rPr>
          <w:vertAlign w:val="baseline"/>
        </w:rPr>
        <w:t>Damages for lost opportunity may be recovered even though they may have to be discounted on the ground that it was not certain that the claimant would </w:t>
      </w:r>
      <w:bookmarkStart w:name="_bookmark504" w:id="506"/>
      <w:bookmarkEnd w:id="506"/>
      <w:r>
        <w:rPr>
          <w:vertAlign w:val="baseline"/>
        </w:rPr>
        <w:t>have</w:t>
      </w:r>
      <w:r>
        <w:rPr>
          <w:vertAlign w:val="baseline"/>
        </w:rPr>
        <w:t> been able to take up the opportunity, e.g. if the owner of the alternative business might not have </w:t>
      </w:r>
      <w:bookmarkStart w:name="_bookmark505" w:id="507"/>
      <w:bookmarkEnd w:id="507"/>
      <w:r>
        <w:rPr>
          <w:vertAlign w:val="baseline"/>
        </w:rPr>
        <w:t>agreed</w:t>
      </w:r>
      <w:r>
        <w:rPr>
          <w:vertAlign w:val="baseline"/>
        </w:rPr>
        <w:t> to sell. </w:t>
      </w:r>
      <w:r>
        <w:rPr>
          <w:color w:val="005DA1"/>
          <w:u w:val="single" w:color="005DA1"/>
          <w:vertAlign w:val="superscript"/>
        </w:rPr>
        <w:t>287</w:t>
      </w:r>
      <w:r>
        <w:rPr>
          <w:color w:val="005DA1"/>
          <w:vertAlign w:val="baseline"/>
        </w:rPr>
        <w:t> </w:t>
      </w:r>
      <w:r>
        <w:rPr>
          <w:vertAlign w:val="baseline"/>
        </w:rPr>
        <w:t>It is not necessary to show that the alternative deal would necessarily have been profitable; if necessary the amount can be discounted to reflect the element of risk. </w:t>
      </w:r>
      <w:r>
        <w:rPr>
          <w:color w:val="005DA1"/>
          <w:u w:val="single" w:color="005DA1"/>
          <w:vertAlign w:val="superscript"/>
        </w:rPr>
        <w:t>288</w:t>
      </w:r>
    </w:p>
    <w:p>
      <w:pPr>
        <w:pStyle w:val="BodyText"/>
      </w:pPr>
    </w:p>
    <w:p>
      <w:pPr>
        <w:pStyle w:val="BodyText"/>
        <w:spacing w:before="33"/>
      </w:pPr>
    </w:p>
    <w:p>
      <w:pPr>
        <w:spacing w:before="0"/>
        <w:ind w:left="165" w:right="0" w:firstLine="0"/>
        <w:jc w:val="left"/>
        <w:rPr>
          <w:rFonts w:ascii="Arial"/>
          <w:b/>
          <w:sz w:val="18"/>
        </w:rPr>
      </w:pPr>
      <w:r>
        <w:rPr>
          <w:rFonts w:ascii="Arial"/>
          <w:b/>
          <w:sz w:val="18"/>
        </w:rPr>
        <w:t>Not loss of </w:t>
      </w:r>
      <w:r>
        <w:rPr>
          <w:rFonts w:ascii="Arial"/>
          <w:b/>
          <w:spacing w:val="-2"/>
          <w:sz w:val="18"/>
        </w:rPr>
        <w:t>bargain</w:t>
      </w:r>
    </w:p>
    <w:p>
      <w:pPr>
        <w:pStyle w:val="BodyText"/>
        <w:spacing w:before="41"/>
        <w:rPr>
          <w:rFonts w:ascii="Arial"/>
          <w:b/>
          <w:sz w:val="18"/>
        </w:rPr>
      </w:pPr>
    </w:p>
    <w:p>
      <w:pPr>
        <w:pStyle w:val="Heading2"/>
      </w:pPr>
      <w:r>
        <w:rPr/>
        <w:t>7-</w:t>
      </w:r>
      <w:r>
        <w:rPr>
          <w:spacing w:val="-5"/>
        </w:rPr>
        <w:t>059</w:t>
      </w:r>
    </w:p>
    <w:p>
      <w:pPr>
        <w:pStyle w:val="BodyText"/>
        <w:spacing w:line="235" w:lineRule="auto" w:before="203"/>
        <w:ind w:left="165" w:right="167"/>
        <w:jc w:val="both"/>
      </w:pPr>
      <w:r>
        <w:rPr/>
        <w:t>It follows that in many cases the measure of damages for breach of contract will be higher than that for fraud, as it will include the profit that would have been made on the contract in question had the representation been true. If as a result of a fraudulent misrepresentation the claimant has bought a property, but the property appears to be worth the price paid for it and there is no wasted </w:t>
      </w:r>
      <w:r>
        <w:rPr/>
        <w:t>expenditure </w:t>
      </w:r>
      <w:bookmarkStart w:name="_bookmark506" w:id="508"/>
      <w:bookmarkEnd w:id="508"/>
      <w:r>
        <w:rPr/>
        <w:t>or</w:t>
      </w:r>
      <w:r>
        <w:rPr/>
        <w:t> loss of a more valuable opportunity, the claimant damages according to the tort measure would appear to be nil. </w:t>
      </w:r>
      <w:r>
        <w:rPr>
          <w:color w:val="005DA1"/>
          <w:u w:val="single" w:color="005DA1"/>
          <w:vertAlign w:val="superscript"/>
        </w:rPr>
        <w:t>289</w:t>
      </w:r>
    </w:p>
    <w:p>
      <w:pPr>
        <w:pStyle w:val="BodyText"/>
      </w:pPr>
    </w:p>
    <w:p>
      <w:pPr>
        <w:pStyle w:val="BodyText"/>
        <w:spacing w:before="36"/>
      </w:pPr>
    </w:p>
    <w:p>
      <w:pPr>
        <w:spacing w:before="0"/>
        <w:ind w:left="165" w:right="0" w:firstLine="0"/>
        <w:jc w:val="left"/>
        <w:rPr>
          <w:rFonts w:ascii="Arial"/>
          <w:b/>
          <w:sz w:val="18"/>
        </w:rPr>
      </w:pPr>
      <w:r>
        <w:rPr>
          <w:rFonts w:ascii="Arial"/>
          <w:b/>
          <w:sz w:val="18"/>
        </w:rPr>
        <w:t>Property worth less than paid for </w:t>
      </w:r>
      <w:r>
        <w:rPr>
          <w:rFonts w:ascii="Arial"/>
          <w:b/>
          <w:spacing w:val="-5"/>
          <w:sz w:val="18"/>
        </w:rPr>
        <w:t>it</w:t>
      </w:r>
    </w:p>
    <w:p>
      <w:pPr>
        <w:pStyle w:val="BodyText"/>
        <w:spacing w:before="41"/>
        <w:rPr>
          <w:rFonts w:ascii="Arial"/>
          <w:b/>
          <w:sz w:val="18"/>
        </w:rPr>
      </w:pPr>
    </w:p>
    <w:p>
      <w:pPr>
        <w:pStyle w:val="Heading2"/>
        <w:spacing w:before="1"/>
      </w:pPr>
      <w:r>
        <w:rPr/>
        <w:t>7-</w:t>
      </w:r>
      <w:r>
        <w:rPr>
          <w:spacing w:val="-5"/>
        </w:rPr>
        <w:t>060</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7"/>
        </w:rPr>
        <w:t> </w:t>
      </w:r>
      <w:r>
        <w:rPr/>
        <w:t>While the claimant in an action for fraud cannot claim to be put into the position he would </w:t>
      </w:r>
      <w:r>
        <w:rPr/>
        <w:t>have been in if the fact represented were true, a claimant who has made a bad bargain, in the sense that even</w:t>
      </w:r>
      <w:r>
        <w:rPr>
          <w:spacing w:val="-1"/>
        </w:rPr>
        <w:t> </w:t>
      </w:r>
      <w:r>
        <w:rPr/>
        <w:t>if</w:t>
      </w:r>
      <w:r>
        <w:rPr>
          <w:spacing w:val="-1"/>
        </w:rPr>
        <w:t> </w:t>
      </w:r>
      <w:r>
        <w:rPr/>
        <w:t>what</w:t>
      </w:r>
      <w:r>
        <w:rPr>
          <w:spacing w:val="-1"/>
        </w:rPr>
        <w:t> </w:t>
      </w:r>
      <w:r>
        <w:rPr/>
        <w:t>he</w:t>
      </w:r>
      <w:r>
        <w:rPr>
          <w:spacing w:val="-1"/>
        </w:rPr>
        <w:t> </w:t>
      </w:r>
      <w:r>
        <w:rPr/>
        <w:t>had</w:t>
      </w:r>
      <w:r>
        <w:rPr>
          <w:spacing w:val="-1"/>
        </w:rPr>
        <w:t> </w:t>
      </w:r>
      <w:r>
        <w:rPr/>
        <w:t>been</w:t>
      </w:r>
      <w:r>
        <w:rPr>
          <w:spacing w:val="-1"/>
        </w:rPr>
        <w:t> </w:t>
      </w:r>
      <w:r>
        <w:rPr/>
        <w:t>told</w:t>
      </w:r>
      <w:r>
        <w:rPr>
          <w:spacing w:val="-1"/>
        </w:rPr>
        <w:t> </w:t>
      </w:r>
      <w:r>
        <w:rPr/>
        <w:t>were</w:t>
      </w:r>
      <w:r>
        <w:rPr>
          <w:spacing w:val="-1"/>
        </w:rPr>
        <w:t> </w:t>
      </w:r>
      <w:r>
        <w:rPr/>
        <w:t>true,</w:t>
      </w:r>
      <w:r>
        <w:rPr>
          <w:spacing w:val="-1"/>
        </w:rPr>
        <w:t> </w:t>
      </w:r>
      <w:r>
        <w:rPr/>
        <w:t>at</w:t>
      </w:r>
      <w:r>
        <w:rPr>
          <w:spacing w:val="-1"/>
        </w:rPr>
        <w:t> </w:t>
      </w:r>
      <w:r>
        <w:rPr/>
        <w:t>the</w:t>
      </w:r>
      <w:r>
        <w:rPr>
          <w:spacing w:val="-1"/>
        </w:rPr>
        <w:t> </w:t>
      </w:r>
      <w:r>
        <w:rPr/>
        <w:t>time</w:t>
      </w:r>
      <w:r>
        <w:rPr>
          <w:spacing w:val="-1"/>
        </w:rPr>
        <w:t> </w:t>
      </w:r>
      <w:r>
        <w:rPr/>
        <w:t>the</w:t>
      </w:r>
      <w:r>
        <w:rPr>
          <w:spacing w:val="-1"/>
        </w:rPr>
        <w:t> </w:t>
      </w:r>
      <w:r>
        <w:rPr/>
        <w:t>contract</w:t>
      </w:r>
      <w:r>
        <w:rPr>
          <w:spacing w:val="-1"/>
        </w:rPr>
        <w:t> </w:t>
      </w:r>
      <w:r>
        <w:rPr/>
        <w:t>is</w:t>
      </w:r>
      <w:r>
        <w:rPr>
          <w:spacing w:val="-1"/>
        </w:rPr>
        <w:t> </w:t>
      </w:r>
      <w:r>
        <w:rPr/>
        <w:t>made</w:t>
      </w:r>
      <w:r>
        <w:rPr>
          <w:spacing w:val="-1"/>
        </w:rPr>
        <w:t> </w:t>
      </w:r>
      <w:r>
        <w:rPr/>
        <w:t>the</w:t>
      </w:r>
      <w:r>
        <w:rPr>
          <w:spacing w:val="-1"/>
        </w:rPr>
        <w:t> </w:t>
      </w:r>
      <w:r>
        <w:rPr/>
        <w:t>property</w:t>
      </w:r>
      <w:r>
        <w:rPr>
          <w:spacing w:val="-1"/>
        </w:rPr>
        <w:t> </w:t>
      </w:r>
      <w:r>
        <w:rPr/>
        <w:t>he</w:t>
      </w:r>
      <w:r>
        <w:rPr>
          <w:spacing w:val="-1"/>
        </w:rPr>
        <w:t> </w:t>
      </w:r>
      <w:r>
        <w:rPr/>
        <w:t>is</w:t>
      </w:r>
      <w:r>
        <w:rPr>
          <w:spacing w:val="-1"/>
        </w:rPr>
        <w:t> </w:t>
      </w:r>
      <w:r>
        <w:rPr/>
        <w:t>induced</w:t>
      </w:r>
      <w:r>
        <w:rPr>
          <w:spacing w:val="-1"/>
        </w:rPr>
        <w:t> </w:t>
      </w:r>
      <w:r>
        <w:rPr/>
        <w:t>to </w:t>
      </w:r>
      <w:bookmarkStart w:name="_bookmark507" w:id="509"/>
      <w:bookmarkEnd w:id="509"/>
      <w:r>
        <w:rPr/>
        <w:t>buy</w:t>
      </w:r>
      <w:r>
        <w:rPr>
          <w:spacing w:val="11"/>
        </w:rPr>
        <w:t> </w:t>
      </w:r>
      <w:r>
        <w:rPr/>
        <w:t>would</w:t>
      </w:r>
      <w:r>
        <w:rPr>
          <w:spacing w:val="11"/>
        </w:rPr>
        <w:t> </w:t>
      </w:r>
      <w:r>
        <w:rPr/>
        <w:t>have</w:t>
      </w:r>
      <w:r>
        <w:rPr>
          <w:spacing w:val="11"/>
        </w:rPr>
        <w:t> </w:t>
      </w:r>
      <w:r>
        <w:rPr/>
        <w:t>been</w:t>
      </w:r>
      <w:r>
        <w:rPr>
          <w:spacing w:val="11"/>
        </w:rPr>
        <w:t> </w:t>
      </w:r>
      <w:r>
        <w:rPr/>
        <w:t>worth</w:t>
      </w:r>
      <w:r>
        <w:rPr>
          <w:spacing w:val="11"/>
        </w:rPr>
        <w:t> </w:t>
      </w:r>
      <w:r>
        <w:rPr/>
        <w:t>less</w:t>
      </w:r>
      <w:r>
        <w:rPr>
          <w:spacing w:val="11"/>
        </w:rPr>
        <w:t> </w:t>
      </w:r>
      <w:r>
        <w:rPr/>
        <w:t>than</w:t>
      </w:r>
      <w:r>
        <w:rPr>
          <w:spacing w:val="11"/>
        </w:rPr>
        <w:t> </w:t>
      </w:r>
      <w:r>
        <w:rPr/>
        <w:t>he</w:t>
      </w:r>
      <w:r>
        <w:rPr>
          <w:spacing w:val="11"/>
        </w:rPr>
        <w:t> </w:t>
      </w:r>
      <w:r>
        <w:rPr/>
        <w:t>has</w:t>
      </w:r>
      <w:r>
        <w:rPr>
          <w:spacing w:val="11"/>
        </w:rPr>
        <w:t> </w:t>
      </w:r>
      <w:r>
        <w:rPr/>
        <w:t>agreed</w:t>
      </w:r>
      <w:r>
        <w:rPr>
          <w:spacing w:val="11"/>
        </w:rPr>
        <w:t> </w:t>
      </w:r>
      <w:r>
        <w:rPr/>
        <w:t>to</w:t>
      </w:r>
      <w:r>
        <w:rPr>
          <w:spacing w:val="11"/>
        </w:rPr>
        <w:t> </w:t>
      </w:r>
      <w:r>
        <w:rPr/>
        <w:t>pay</w:t>
      </w:r>
      <w:r>
        <w:rPr>
          <w:spacing w:val="11"/>
        </w:rPr>
        <w:t> </w:t>
      </w:r>
      <w:r>
        <w:rPr/>
        <w:t>for</w:t>
      </w:r>
      <w:r>
        <w:rPr>
          <w:spacing w:val="11"/>
        </w:rPr>
        <w:t> </w:t>
      </w:r>
      <w:r>
        <w:rPr/>
        <w:t>it,</w:t>
      </w:r>
      <w:r>
        <w:rPr>
          <w:spacing w:val="11"/>
        </w:rPr>
        <w:t> </w:t>
      </w:r>
      <w:r>
        <w:rPr/>
        <w:t>will</w:t>
      </w:r>
      <w:r>
        <w:rPr>
          <w:spacing w:val="11"/>
        </w:rPr>
        <w:t> </w:t>
      </w:r>
      <w:r>
        <w:rPr/>
        <w:t>be</w:t>
      </w:r>
      <w:r>
        <w:rPr>
          <w:spacing w:val="11"/>
        </w:rPr>
        <w:t> </w:t>
      </w:r>
      <w:r>
        <w:rPr/>
        <w:t>better</w:t>
      </w:r>
      <w:r>
        <w:rPr>
          <w:spacing w:val="11"/>
        </w:rPr>
        <w:t> </w:t>
      </w:r>
      <w:r>
        <w:rPr/>
        <w:t>off</w:t>
      </w:r>
      <w:r>
        <w:rPr>
          <w:spacing w:val="11"/>
        </w:rPr>
        <w:t> </w:t>
      </w:r>
      <w:r>
        <w:rPr/>
        <w:t>under</w:t>
      </w:r>
      <w:r>
        <w:rPr>
          <w:spacing w:val="11"/>
        </w:rPr>
        <w:t> </w:t>
      </w:r>
      <w:r>
        <w:rPr/>
        <w:t>the</w:t>
      </w:r>
      <w:r>
        <w:rPr>
          <w:spacing w:val="11"/>
        </w:rPr>
        <w:t> </w:t>
      </w:r>
      <w:r>
        <w:rPr>
          <w:spacing w:val="-2"/>
        </w:rPr>
        <w:t>tortious</w:t>
      </w:r>
    </w:p>
    <w:p>
      <w:pPr>
        <w:pStyle w:val="BodyText"/>
        <w:spacing w:before="115"/>
        <w:ind w:left="165"/>
        <w:jc w:val="both"/>
        <w:rPr>
          <w:position w:val="-2"/>
        </w:rPr>
      </w:pPr>
      <w:r>
        <w:rPr/>
        <w:t>measure than the contractual one. </w:t>
      </w:r>
      <w:r>
        <w:rPr>
          <w:color w:val="005DA1"/>
          <w:u w:val="single" w:color="005DA1"/>
          <w:vertAlign w:val="superscript"/>
        </w:rPr>
        <w:t>290</w:t>
      </w:r>
      <w:r>
        <w:rPr>
          <w:color w:val="005DA1"/>
          <w:spacing w:val="80"/>
          <w:w w:val="150"/>
          <w:vertAlign w:val="baseline"/>
        </w:rPr>
        <w:t> </w:t>
      </w:r>
      <w:r>
        <w:rPr>
          <w:color w:val="005DA1"/>
          <w:position w:val="-2"/>
          <w:vertAlign w:val="baseline"/>
        </w:rPr>
        <w:drawing>
          <wp:inline distT="0" distB="0" distL="0" distR="0">
            <wp:extent cx="107988" cy="107988"/>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Difference in value at time of </w:t>
      </w:r>
      <w:r>
        <w:rPr>
          <w:rFonts w:ascii="Arial"/>
          <w:b/>
          <w:spacing w:val="-2"/>
          <w:sz w:val="18"/>
        </w:rPr>
        <w:t>acquisition</w:t>
      </w:r>
    </w:p>
    <w:p>
      <w:pPr>
        <w:pStyle w:val="BodyText"/>
        <w:spacing w:before="41"/>
        <w:rPr>
          <w:rFonts w:ascii="Arial"/>
          <w:b/>
          <w:sz w:val="18"/>
        </w:rPr>
      </w:pPr>
    </w:p>
    <w:p>
      <w:pPr>
        <w:pStyle w:val="Heading2"/>
        <w:spacing w:before="1"/>
      </w:pPr>
      <w:r>
        <w:rPr/>
        <w:t>7-</w:t>
      </w:r>
      <w:r>
        <w:rPr>
          <w:spacing w:val="-4"/>
        </w:rPr>
        <w:t>060A</w:t>
      </w:r>
    </w:p>
    <w:p>
      <w:pPr>
        <w:pStyle w:val="BodyText"/>
        <w:spacing w:before="21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508" w:id="510"/>
      <w:bookmarkEnd w:id="510"/>
      <w:r>
        <w:rPr>
          <w:rFonts w:ascii="Times New Roman"/>
          <w:spacing w:val="15"/>
        </w:rPr>
      </w:r>
      <w:r>
        <w:rPr/>
        <w:t>As Lord Browne-Wilkinson states in his propositions (3) and (4), </w:t>
      </w:r>
      <w:r>
        <w:rPr>
          <w:color w:val="005DA1"/>
          <w:u w:val="single" w:color="005DA1"/>
          <w:vertAlign w:val="superscript"/>
        </w:rPr>
        <w:t>291</w:t>
      </w:r>
      <w:r>
        <w:rPr>
          <w:color w:val="005DA1"/>
          <w:spacing w:val="80"/>
          <w:vertAlign w:val="baseline"/>
        </w:rPr>
        <w:t> </w:t>
      </w:r>
      <w:r>
        <w:rPr>
          <w:color w:val="005DA1"/>
          <w:spacing w:val="-27"/>
          <w:position w:val="-2"/>
          <w:vertAlign w:val="baseline"/>
        </w:rPr>
        <w:drawing>
          <wp:inline distT="0" distB="0" distL="0" distR="0">
            <wp:extent cx="107988" cy="107988"/>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color w:val="005DA1"/>
          <w:spacing w:val="37"/>
          <w:vertAlign w:val="baseline"/>
        </w:rPr>
        <w:t> </w:t>
      </w:r>
      <w:r>
        <w:rPr>
          <w:vertAlign w:val="baseline"/>
        </w:rPr>
        <w:t>the general rule is that </w:t>
      </w:r>
      <w:r>
        <w:rPr>
          <w:vertAlign w:val="baseline"/>
        </w:rPr>
        <w:t>the claimant is entitled to the difference between what he paid and the value of the property he received</w:t>
      </w:r>
      <w:r>
        <w:rPr>
          <w:spacing w:val="40"/>
          <w:vertAlign w:val="baseline"/>
        </w:rPr>
        <w:t> </w:t>
      </w:r>
      <w:bookmarkStart w:name="_bookmark509" w:id="511"/>
      <w:bookmarkEnd w:id="511"/>
      <w:r>
        <w:rPr>
          <w:vertAlign w:val="baseline"/>
        </w:rPr>
        <w:t>at</w:t>
      </w:r>
      <w:r>
        <w:rPr>
          <w:spacing w:val="11"/>
          <w:vertAlign w:val="baseline"/>
        </w:rPr>
        <w:t> </w:t>
      </w:r>
      <w:r>
        <w:rPr>
          <w:vertAlign w:val="baseline"/>
        </w:rPr>
        <w:t>the</w:t>
      </w:r>
      <w:r>
        <w:rPr>
          <w:spacing w:val="11"/>
          <w:vertAlign w:val="baseline"/>
        </w:rPr>
        <w:t> </w:t>
      </w:r>
      <w:r>
        <w:rPr>
          <w:vertAlign w:val="baseline"/>
        </w:rPr>
        <w:t>date</w:t>
      </w:r>
      <w:r>
        <w:rPr>
          <w:spacing w:val="11"/>
          <w:vertAlign w:val="baseline"/>
        </w:rPr>
        <w:t> </w:t>
      </w:r>
      <w:r>
        <w:rPr>
          <w:vertAlign w:val="baseline"/>
        </w:rPr>
        <w:t>he</w:t>
      </w:r>
      <w:r>
        <w:rPr>
          <w:spacing w:val="11"/>
          <w:vertAlign w:val="baseline"/>
        </w:rPr>
        <w:t> </w:t>
      </w:r>
      <w:r>
        <w:rPr>
          <w:vertAlign w:val="baseline"/>
        </w:rPr>
        <w:t>acquired</w:t>
      </w:r>
      <w:r>
        <w:rPr>
          <w:spacing w:val="11"/>
          <w:vertAlign w:val="baseline"/>
        </w:rPr>
        <w:t> </w:t>
      </w:r>
      <w:r>
        <w:rPr>
          <w:vertAlign w:val="baseline"/>
        </w:rPr>
        <w:t>it.</w:t>
      </w:r>
      <w:r>
        <w:rPr>
          <w:spacing w:val="11"/>
          <w:vertAlign w:val="baseline"/>
        </w:rPr>
        <w:t> </w:t>
      </w:r>
      <w:r>
        <w:rPr>
          <w:vertAlign w:val="baseline"/>
        </w:rPr>
        <w:t>The</w:t>
      </w:r>
      <w:r>
        <w:rPr>
          <w:spacing w:val="11"/>
          <w:vertAlign w:val="baseline"/>
        </w:rPr>
        <w:t> </w:t>
      </w:r>
      <w:r>
        <w:rPr>
          <w:vertAlign w:val="baseline"/>
        </w:rPr>
        <w:t>court</w:t>
      </w:r>
      <w:r>
        <w:rPr>
          <w:spacing w:val="11"/>
          <w:vertAlign w:val="baseline"/>
        </w:rPr>
        <w:t> </w:t>
      </w:r>
      <w:r>
        <w:rPr>
          <w:vertAlign w:val="baseline"/>
        </w:rPr>
        <w:t>will</w:t>
      </w:r>
      <w:r>
        <w:rPr>
          <w:spacing w:val="11"/>
          <w:vertAlign w:val="baseline"/>
        </w:rPr>
        <w:t> </w:t>
      </w:r>
      <w:r>
        <w:rPr>
          <w:vertAlign w:val="baseline"/>
        </w:rPr>
        <w:t>not</w:t>
      </w:r>
      <w:r>
        <w:rPr>
          <w:spacing w:val="11"/>
          <w:vertAlign w:val="baseline"/>
        </w:rPr>
        <w:t> </w:t>
      </w:r>
      <w:r>
        <w:rPr>
          <w:vertAlign w:val="baseline"/>
        </w:rPr>
        <w:t>reduce</w:t>
      </w:r>
      <w:r>
        <w:rPr>
          <w:spacing w:val="11"/>
          <w:vertAlign w:val="baseline"/>
        </w:rPr>
        <w:t> </w:t>
      </w:r>
      <w:r>
        <w:rPr>
          <w:vertAlign w:val="baseline"/>
        </w:rPr>
        <w:t>the</w:t>
      </w:r>
      <w:r>
        <w:rPr>
          <w:spacing w:val="11"/>
          <w:vertAlign w:val="baseline"/>
        </w:rPr>
        <w:t> </w:t>
      </w:r>
      <w:r>
        <w:rPr>
          <w:vertAlign w:val="baseline"/>
        </w:rPr>
        <w:t>damages</w:t>
      </w:r>
      <w:r>
        <w:rPr>
          <w:spacing w:val="11"/>
          <w:vertAlign w:val="baseline"/>
        </w:rPr>
        <w:t> </w:t>
      </w:r>
      <w:r>
        <w:rPr>
          <w:vertAlign w:val="baseline"/>
        </w:rPr>
        <w:t>to</w:t>
      </w:r>
      <w:r>
        <w:rPr>
          <w:spacing w:val="11"/>
          <w:vertAlign w:val="baseline"/>
        </w:rPr>
        <w:t> </w:t>
      </w:r>
      <w:r>
        <w:rPr>
          <w:vertAlign w:val="baseline"/>
        </w:rPr>
        <w:t>reflect</w:t>
      </w:r>
      <w:r>
        <w:rPr>
          <w:spacing w:val="11"/>
          <w:vertAlign w:val="baseline"/>
        </w:rPr>
        <w:t> </w:t>
      </w:r>
      <w:r>
        <w:rPr>
          <w:vertAlign w:val="baseline"/>
        </w:rPr>
        <w:t>that</w:t>
      </w:r>
      <w:r>
        <w:rPr>
          <w:spacing w:val="11"/>
          <w:vertAlign w:val="baseline"/>
        </w:rPr>
        <w:t> </w:t>
      </w:r>
      <w:r>
        <w:rPr>
          <w:vertAlign w:val="baseline"/>
        </w:rPr>
        <w:t>fact</w:t>
      </w:r>
      <w:r>
        <w:rPr>
          <w:spacing w:val="11"/>
          <w:vertAlign w:val="baseline"/>
        </w:rPr>
        <w:t> </w:t>
      </w:r>
      <w:r>
        <w:rPr>
          <w:vertAlign w:val="baseline"/>
        </w:rPr>
        <w:t>that,</w:t>
      </w:r>
      <w:r>
        <w:rPr>
          <w:spacing w:val="11"/>
          <w:vertAlign w:val="baseline"/>
        </w:rPr>
        <w:t> </w:t>
      </w:r>
      <w:r>
        <w:rPr>
          <w:vertAlign w:val="baseline"/>
        </w:rPr>
        <w:t>as</w:t>
      </w:r>
      <w:r>
        <w:rPr>
          <w:spacing w:val="11"/>
          <w:vertAlign w:val="baseline"/>
        </w:rPr>
        <w:t> </w:t>
      </w:r>
      <w:r>
        <w:rPr>
          <w:vertAlign w:val="baseline"/>
        </w:rPr>
        <w:t>it</w:t>
      </w:r>
      <w:r>
        <w:rPr>
          <w:spacing w:val="11"/>
          <w:vertAlign w:val="baseline"/>
        </w:rPr>
        <w:t> </w:t>
      </w:r>
      <w:r>
        <w:rPr>
          <w:spacing w:val="-2"/>
          <w:vertAlign w:val="baseline"/>
        </w:rPr>
        <w:t>turned</w:t>
      </w:r>
    </w:p>
    <w:p>
      <w:pPr>
        <w:pStyle w:val="BodyText"/>
        <w:spacing w:line="227" w:lineRule="exact" w:before="115"/>
        <w:ind w:left="165"/>
        <w:jc w:val="both"/>
      </w:pPr>
      <w:r>
        <w:rPr/>
        <w:t>out,</w:t>
      </w:r>
      <w:r>
        <w:rPr>
          <w:spacing w:val="7"/>
        </w:rPr>
        <w:t> </w:t>
      </w:r>
      <w:r>
        <w:rPr/>
        <w:t>various</w:t>
      </w:r>
      <w:r>
        <w:rPr>
          <w:spacing w:val="7"/>
        </w:rPr>
        <w:t> </w:t>
      </w:r>
      <w:r>
        <w:rPr/>
        <w:t>risks</w:t>
      </w:r>
      <w:r>
        <w:rPr>
          <w:spacing w:val="7"/>
        </w:rPr>
        <w:t> </w:t>
      </w:r>
      <w:r>
        <w:rPr/>
        <w:t>that,</w:t>
      </w:r>
      <w:r>
        <w:rPr>
          <w:spacing w:val="7"/>
        </w:rPr>
        <w:t> </w:t>
      </w:r>
      <w:r>
        <w:rPr/>
        <w:t>at</w:t>
      </w:r>
      <w:r>
        <w:rPr>
          <w:spacing w:val="7"/>
        </w:rPr>
        <w:t> </w:t>
      </w:r>
      <w:r>
        <w:rPr/>
        <w:t>that</w:t>
      </w:r>
      <w:r>
        <w:rPr>
          <w:spacing w:val="7"/>
        </w:rPr>
        <w:t> </w:t>
      </w:r>
      <w:r>
        <w:rPr/>
        <w:t>date,</w:t>
      </w:r>
      <w:r>
        <w:rPr>
          <w:spacing w:val="7"/>
        </w:rPr>
        <w:t> </w:t>
      </w:r>
      <w:r>
        <w:rPr/>
        <w:t>reduced</w:t>
      </w:r>
      <w:r>
        <w:rPr>
          <w:spacing w:val="7"/>
        </w:rPr>
        <w:t> </w:t>
      </w:r>
      <w:r>
        <w:rPr/>
        <w:t>the</w:t>
      </w:r>
      <w:r>
        <w:rPr>
          <w:spacing w:val="7"/>
        </w:rPr>
        <w:t> </w:t>
      </w:r>
      <w:r>
        <w:rPr/>
        <w:t>value</w:t>
      </w:r>
      <w:r>
        <w:rPr>
          <w:spacing w:val="7"/>
        </w:rPr>
        <w:t> </w:t>
      </w:r>
      <w:r>
        <w:rPr/>
        <w:t>of</w:t>
      </w:r>
      <w:r>
        <w:rPr>
          <w:spacing w:val="7"/>
        </w:rPr>
        <w:t> </w:t>
      </w:r>
      <w:r>
        <w:rPr/>
        <w:t>the</w:t>
      </w:r>
      <w:r>
        <w:rPr>
          <w:spacing w:val="7"/>
        </w:rPr>
        <w:t> </w:t>
      </w:r>
      <w:r>
        <w:rPr/>
        <w:t>property,</w:t>
      </w:r>
      <w:r>
        <w:rPr>
          <w:spacing w:val="7"/>
        </w:rPr>
        <w:t> </w:t>
      </w:r>
      <w:r>
        <w:rPr/>
        <w:t>did</w:t>
      </w:r>
      <w:r>
        <w:rPr>
          <w:spacing w:val="7"/>
        </w:rPr>
        <w:t> </w:t>
      </w:r>
      <w:r>
        <w:rPr/>
        <w:t>not</w:t>
      </w:r>
      <w:r>
        <w:rPr>
          <w:spacing w:val="7"/>
        </w:rPr>
        <w:t> </w:t>
      </w:r>
      <w:r>
        <w:rPr/>
        <w:t>in</w:t>
      </w:r>
      <w:r>
        <w:rPr>
          <w:spacing w:val="7"/>
        </w:rPr>
        <w:t> </w:t>
      </w:r>
      <w:r>
        <w:rPr/>
        <w:t>fact</w:t>
      </w:r>
      <w:r>
        <w:rPr>
          <w:spacing w:val="7"/>
        </w:rPr>
        <w:t> </w:t>
      </w:r>
      <w:r>
        <w:rPr/>
        <w:t>materialise.</w:t>
      </w:r>
      <w:r>
        <w:rPr>
          <w:spacing w:val="7"/>
        </w:rPr>
        <w:t> </w:t>
      </w:r>
      <w:r>
        <w:rPr>
          <w:color w:val="005DA1"/>
          <w:spacing w:val="-5"/>
          <w:u w:val="single" w:color="005DA1"/>
          <w:vertAlign w:val="superscript"/>
        </w:rPr>
        <w:t>292</w:t>
      </w:r>
    </w:p>
    <w:p>
      <w:pPr>
        <w:pStyle w:val="BodyText"/>
        <w:spacing w:line="360" w:lineRule="auto"/>
        <w:ind w:left="165" w:right="167"/>
        <w:jc w:val="both"/>
        <w:rPr>
          <w:position w:val="-2"/>
        </w:rPr>
      </w:pPr>
      <w:r>
        <w:rPr>
          <w:position w:val="-2"/>
        </w:rPr>
        <w:drawing>
          <wp:inline distT="0" distB="0" distL="0" distR="0">
            <wp:extent cx="107988" cy="107988"/>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510" w:id="512"/>
      <w:bookmarkEnd w:id="512"/>
      <w:r>
        <w:rPr>
          <w:rFonts w:ascii="Times New Roman"/>
          <w:spacing w:val="-6"/>
        </w:rPr>
      </w:r>
      <w:r>
        <w:rPr/>
        <w:t>The claimant will normally recover the difference between the price paid and the value of the property bought, and also any consequential loss. </w:t>
      </w:r>
      <w:r>
        <w:rPr>
          <w:color w:val="005DA1"/>
          <w:u w:val="single" w:color="005DA1"/>
          <w:vertAlign w:val="superscript"/>
        </w:rPr>
        <w:t>293</w:t>
      </w:r>
      <w:r>
        <w:rPr>
          <w:color w:val="005DA1"/>
          <w:spacing w:val="80"/>
          <w:vertAlign w:val="baseline"/>
        </w:rPr>
        <w:t> </w:t>
      </w:r>
      <w:r>
        <w:rPr>
          <w:color w:val="005DA1"/>
          <w:position w:val="-2"/>
          <w:vertAlign w:val="baseline"/>
        </w:rPr>
        <w:drawing>
          <wp:inline distT="0" distB="0" distL="0" distR="0">
            <wp:extent cx="107988" cy="107988"/>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after="0" w:line="360" w:lineRule="auto"/>
        <w:jc w:val="both"/>
        <w:rPr>
          <w:position w:val="-2"/>
        </w:rPr>
        <w:sectPr>
          <w:pgSz w:w="11900" w:h="16840"/>
          <w:pgMar w:header="971" w:footer="0" w:top="1160" w:bottom="280" w:left="1275" w:right="1275"/>
        </w:sectPr>
      </w:pPr>
    </w:p>
    <w:p>
      <w:pPr>
        <w:pStyle w:val="BodyText"/>
        <w:rPr>
          <w:sz w:val="18"/>
        </w:rPr>
      </w:pPr>
    </w:p>
    <w:p>
      <w:pPr>
        <w:pStyle w:val="BodyText"/>
        <w:spacing w:before="179"/>
        <w:rPr>
          <w:sz w:val="18"/>
        </w:rPr>
      </w:pPr>
    </w:p>
    <w:p>
      <w:pPr>
        <w:spacing w:before="0"/>
        <w:ind w:left="165" w:right="0" w:firstLine="0"/>
        <w:jc w:val="left"/>
        <w:rPr>
          <w:rFonts w:ascii="Arial"/>
          <w:b/>
          <w:sz w:val="18"/>
        </w:rPr>
      </w:pPr>
      <w:r>
        <w:rPr>
          <w:rFonts w:ascii="Arial"/>
          <w:b/>
          <w:sz w:val="18"/>
        </w:rPr>
        <w:t>Subsequent falls in value of </w:t>
      </w:r>
      <w:r>
        <w:rPr>
          <w:rFonts w:ascii="Arial"/>
          <w:b/>
          <w:spacing w:val="-2"/>
          <w:sz w:val="18"/>
        </w:rPr>
        <w:t>property</w:t>
      </w:r>
    </w:p>
    <w:p>
      <w:pPr>
        <w:pStyle w:val="BodyText"/>
        <w:spacing w:before="41"/>
        <w:rPr>
          <w:rFonts w:ascii="Arial"/>
          <w:b/>
          <w:sz w:val="18"/>
        </w:rPr>
      </w:pPr>
    </w:p>
    <w:p>
      <w:pPr>
        <w:pStyle w:val="Heading2"/>
        <w:spacing w:before="1"/>
      </w:pPr>
      <w:r>
        <w:rPr/>
        <w:t>7-</w:t>
      </w:r>
      <w:r>
        <w:rPr>
          <w:spacing w:val="-5"/>
        </w:rPr>
        <w:t>061</w:t>
      </w:r>
    </w:p>
    <w:p>
      <w:pPr>
        <w:pStyle w:val="BodyText"/>
        <w:spacing w:line="235" w:lineRule="auto" w:before="202"/>
        <w:ind w:left="164" w:right="167"/>
        <w:jc w:val="both"/>
      </w:pPr>
      <w:r>
        <w:rPr/>
        <w:t>As Lord Browne-Wilkinson’s fourth proposition indicates, the damages are normally to be calculated </w:t>
      </w:r>
      <w:bookmarkStart w:name="_bookmark511" w:id="513"/>
      <w:bookmarkEnd w:id="513"/>
      <w:r>
        <w:rPr/>
        <w:t>according</w:t>
      </w:r>
      <w:r>
        <w:rPr/>
        <w:t> to the difference between the contract price and the value of the property at the time of </w:t>
      </w:r>
      <w:r>
        <w:rPr/>
        <w:t>the </w:t>
      </w:r>
      <w:bookmarkStart w:name="_bookmark512" w:id="514"/>
      <w:bookmarkEnd w:id="514"/>
      <w:r>
        <w:rPr/>
        <w:t>contract.</w:t>
      </w:r>
      <w:r>
        <w:rPr/>
        <w:t> </w:t>
      </w:r>
      <w:r>
        <w:rPr>
          <w:color w:val="005DA1"/>
          <w:u w:val="single" w:color="005DA1"/>
          <w:vertAlign w:val="superscript"/>
        </w:rPr>
        <w:t>294</w:t>
      </w:r>
      <w:r>
        <w:rPr>
          <w:color w:val="005DA1"/>
          <w:vertAlign w:val="baseline"/>
        </w:rPr>
        <w:t> </w:t>
      </w:r>
      <w:r>
        <w:rPr>
          <w:vertAlign w:val="baseline"/>
        </w:rPr>
        <w:t>This seems to follow from the rule that the loss must flow directly from the transaction. </w:t>
      </w:r>
      <w:r>
        <w:rPr>
          <w:color w:val="005DA1"/>
          <w:u w:val="single" w:color="005DA1"/>
          <w:vertAlign w:val="superscript"/>
        </w:rPr>
        <w:t>295</w:t>
      </w:r>
      <w:r>
        <w:rPr>
          <w:color w:val="005DA1"/>
          <w:vertAlign w:val="baseline"/>
        </w:rPr>
        <w:t> </w:t>
      </w:r>
      <w:r>
        <w:rPr>
          <w:vertAlign w:val="baseline"/>
        </w:rPr>
        <w:t>But this is only a prima facie rule; as Lord Steyn put it, </w:t>
      </w:r>
      <w:r>
        <w:rPr>
          <w:color w:val="005DA1"/>
          <w:u w:val="single" w:color="005DA1"/>
          <w:vertAlign w:val="superscript"/>
        </w:rPr>
        <w:t>296</w:t>
      </w:r>
      <w:r>
        <w:rPr>
          <w:color w:val="005DA1"/>
          <w:vertAlign w:val="baseline"/>
        </w:rPr>
        <w:t> </w:t>
      </w:r>
      <w:r>
        <w:rPr>
          <w:vertAlign w:val="baseline"/>
        </w:rPr>
        <w:t>the date of transaction rule is simply a second-order rule applicable only if the valuation method is followed, and the court is entitled to assess the loss flowing directly from the fraud without any reference to the date of the transaction or indeed any particular date. In some situations, the claimant may recover the difference between the </w:t>
      </w:r>
      <w:bookmarkStart w:name="_bookmark513" w:id="515"/>
      <w:bookmarkEnd w:id="515"/>
      <w:r>
        <w:rPr>
          <w:vertAlign w:val="baseline"/>
        </w:rPr>
        <w:t>contract</w:t>
      </w:r>
      <w:r>
        <w:rPr>
          <w:vertAlign w:val="baseline"/>
        </w:rPr>
        <w:t> price and the value of the property at a later date. This is so when the fall in value is due to the discovery of the defendant’s fraud, which has also deceived others in the market. </w:t>
      </w:r>
      <w:r>
        <w:rPr>
          <w:color w:val="005DA1"/>
          <w:u w:val="single" w:color="005DA1"/>
          <w:vertAlign w:val="superscript"/>
        </w:rPr>
        <w:t>297</w:t>
      </w:r>
      <w:r>
        <w:rPr>
          <w:color w:val="005DA1"/>
          <w:vertAlign w:val="baseline"/>
        </w:rPr>
        <w:t> </w:t>
      </w:r>
      <w:r>
        <w:rPr>
          <w:vertAlign w:val="baseline"/>
        </w:rPr>
        <w:t>However, it may also apply even if the reduction of value is not the result of the fraud.</w:t>
      </w:r>
    </w:p>
    <w:p>
      <w:pPr>
        <w:pStyle w:val="BodyText"/>
      </w:pPr>
    </w:p>
    <w:p>
      <w:pPr>
        <w:pStyle w:val="BodyText"/>
        <w:spacing w:before="35"/>
      </w:pPr>
    </w:p>
    <w:p>
      <w:pPr>
        <w:spacing w:before="0"/>
        <w:ind w:left="165" w:right="0" w:firstLine="0"/>
        <w:jc w:val="left"/>
        <w:rPr>
          <w:rFonts w:ascii="Arial" w:hAnsi="Arial"/>
          <w:b/>
          <w:sz w:val="18"/>
        </w:rPr>
      </w:pPr>
      <w:r>
        <w:rPr>
          <w:rFonts w:ascii="Arial" w:hAnsi="Arial"/>
          <w:b/>
          <w:sz w:val="18"/>
        </w:rPr>
        <w:t>“Already flawed </w:t>
      </w:r>
      <w:r>
        <w:rPr>
          <w:rFonts w:ascii="Arial" w:hAnsi="Arial"/>
          <w:b/>
          <w:spacing w:val="-2"/>
          <w:sz w:val="18"/>
        </w:rPr>
        <w:t>assets”</w:t>
      </w:r>
    </w:p>
    <w:p>
      <w:pPr>
        <w:pStyle w:val="BodyText"/>
        <w:spacing w:before="41"/>
        <w:rPr>
          <w:rFonts w:ascii="Arial"/>
          <w:b/>
          <w:sz w:val="18"/>
        </w:rPr>
      </w:pPr>
    </w:p>
    <w:p>
      <w:pPr>
        <w:pStyle w:val="Heading2"/>
      </w:pPr>
      <w:r>
        <w:rPr/>
        <w:t>7-</w:t>
      </w:r>
      <w:r>
        <w:rPr>
          <w:spacing w:val="-5"/>
        </w:rPr>
        <w:t>062</w:t>
      </w:r>
    </w:p>
    <w:p>
      <w:pPr>
        <w:pStyle w:val="BodyText"/>
        <w:spacing w:line="235" w:lineRule="auto" w:before="203"/>
        <w:ind w:left="164" w:right="167"/>
        <w:jc w:val="both"/>
      </w:pPr>
      <w:r>
        <w:rPr/>
        <w:t>One</w:t>
      </w:r>
      <w:r>
        <w:rPr>
          <w:spacing w:val="-1"/>
        </w:rPr>
        <w:t> </w:t>
      </w:r>
      <w:r>
        <w:rPr/>
        <w:t>such</w:t>
      </w:r>
      <w:r>
        <w:rPr>
          <w:spacing w:val="-1"/>
        </w:rPr>
        <w:t> </w:t>
      </w:r>
      <w:r>
        <w:rPr/>
        <w:t>case</w:t>
      </w:r>
      <w:r>
        <w:rPr>
          <w:spacing w:val="-1"/>
        </w:rPr>
        <w:t> </w:t>
      </w:r>
      <w:r>
        <w:rPr/>
        <w:t>is</w:t>
      </w:r>
      <w:r>
        <w:rPr>
          <w:spacing w:val="-1"/>
        </w:rPr>
        <w:t> </w:t>
      </w:r>
      <w:r>
        <w:rPr/>
        <w:t>where,</w:t>
      </w:r>
      <w:r>
        <w:rPr>
          <w:spacing w:val="-1"/>
        </w:rPr>
        <w:t> </w:t>
      </w:r>
      <w:r>
        <w:rPr/>
        <w:t>as</w:t>
      </w:r>
      <w:r>
        <w:rPr>
          <w:spacing w:val="-1"/>
        </w:rPr>
        <w:t> </w:t>
      </w:r>
      <w:r>
        <w:rPr/>
        <w:t>the</w:t>
      </w:r>
      <w:r>
        <w:rPr>
          <w:spacing w:val="-1"/>
        </w:rPr>
        <w:t> </w:t>
      </w:r>
      <w:r>
        <w:rPr/>
        <w:t>result</w:t>
      </w:r>
      <w:r>
        <w:rPr>
          <w:spacing w:val="-1"/>
        </w:rPr>
        <w:t> </w:t>
      </w:r>
      <w:r>
        <w:rPr/>
        <w:t>of</w:t>
      </w:r>
      <w:r>
        <w:rPr>
          <w:spacing w:val="-1"/>
        </w:rPr>
        <w:t> </w:t>
      </w:r>
      <w:r>
        <w:rPr/>
        <w:t>the</w:t>
      </w:r>
      <w:r>
        <w:rPr>
          <w:spacing w:val="-1"/>
        </w:rPr>
        <w:t> </w:t>
      </w:r>
      <w:r>
        <w:rPr/>
        <w:t>fraud,</w:t>
      </w:r>
      <w:r>
        <w:rPr>
          <w:spacing w:val="-1"/>
        </w:rPr>
        <w:t> </w:t>
      </w:r>
      <w:r>
        <w:rPr/>
        <w:t>the</w:t>
      </w:r>
      <w:r>
        <w:rPr>
          <w:spacing w:val="-1"/>
        </w:rPr>
        <w:t> </w:t>
      </w:r>
      <w:r>
        <w:rPr/>
        <w:t>claimant</w:t>
      </w:r>
      <w:r>
        <w:rPr>
          <w:spacing w:val="-1"/>
        </w:rPr>
        <w:t> </w:t>
      </w:r>
      <w:r>
        <w:rPr/>
        <w:t>has</w:t>
      </w:r>
      <w:r>
        <w:rPr>
          <w:spacing w:val="-1"/>
        </w:rPr>
        <w:t> </w:t>
      </w:r>
      <w:r>
        <w:rPr/>
        <w:t>bought</w:t>
      </w:r>
      <w:r>
        <w:rPr>
          <w:spacing w:val="-1"/>
        </w:rPr>
        <w:t> </w:t>
      </w:r>
      <w:r>
        <w:rPr/>
        <w:t>an</w:t>
      </w:r>
      <w:r>
        <w:rPr>
          <w:spacing w:val="-1"/>
        </w:rPr>
        <w:t> </w:t>
      </w:r>
      <w:r>
        <w:rPr/>
        <w:t>“already</w:t>
      </w:r>
      <w:r>
        <w:rPr>
          <w:spacing w:val="-1"/>
        </w:rPr>
        <w:t> </w:t>
      </w:r>
      <w:r>
        <w:rPr/>
        <w:t>flawed</w:t>
      </w:r>
      <w:r>
        <w:rPr>
          <w:spacing w:val="-1"/>
        </w:rPr>
        <w:t> </w:t>
      </w:r>
      <w:r>
        <w:rPr/>
        <w:t>asset”, </w:t>
      </w:r>
      <w:bookmarkStart w:name="_bookmark514" w:id="516"/>
      <w:bookmarkEnd w:id="516"/>
      <w:r>
        <w:rPr/>
        <w:t>the</w:t>
      </w:r>
      <w:r>
        <w:rPr/>
        <w:t> value of which falls when the flaw is discovered, but the fraud did not relate to the flaw. In </w:t>
      </w:r>
      <w:r>
        <w:rPr>
          <w:rFonts w:ascii="Arial" w:hAnsi="Arial"/>
          <w:i/>
        </w:rPr>
        <w:t>Smith New Court Securities Ltd v Scrimgeour Vickers (Asset Management) Ltd</w:t>
      </w:r>
      <w:r>
        <w:rPr/>
        <w:t>, </w:t>
      </w:r>
      <w:r>
        <w:rPr>
          <w:color w:val="005DA1"/>
          <w:u w:val="single" w:color="005DA1"/>
          <w:vertAlign w:val="superscript"/>
        </w:rPr>
        <w:t>298</w:t>
      </w:r>
      <w:r>
        <w:rPr>
          <w:color w:val="005DA1"/>
          <w:vertAlign w:val="baseline"/>
        </w:rPr>
        <w:t> </w:t>
      </w:r>
      <w:r>
        <w:rPr>
          <w:vertAlign w:val="baseline"/>
        </w:rPr>
        <w:t>SNC had bought shares in</w:t>
      </w:r>
      <w:r>
        <w:rPr>
          <w:spacing w:val="-2"/>
          <w:vertAlign w:val="baseline"/>
        </w:rPr>
        <w:t> </w:t>
      </w:r>
      <w:r>
        <w:rPr>
          <w:vertAlign w:val="baseline"/>
        </w:rPr>
        <w:t>Ferranti</w:t>
      </w:r>
      <w:r>
        <w:rPr>
          <w:spacing w:val="-2"/>
          <w:vertAlign w:val="baseline"/>
        </w:rPr>
        <w:t> </w:t>
      </w:r>
      <w:r>
        <w:rPr>
          <w:vertAlign w:val="baseline"/>
        </w:rPr>
        <w:t>as</w:t>
      </w:r>
      <w:r>
        <w:rPr>
          <w:spacing w:val="-2"/>
          <w:vertAlign w:val="baseline"/>
        </w:rPr>
        <w:t> </w:t>
      </w:r>
      <w:r>
        <w:rPr>
          <w:vertAlign w:val="baseline"/>
        </w:rPr>
        <w:t>the</w:t>
      </w:r>
      <w:r>
        <w:rPr>
          <w:spacing w:val="-2"/>
          <w:vertAlign w:val="baseline"/>
        </w:rPr>
        <w:t> </w:t>
      </w:r>
      <w:r>
        <w:rPr>
          <w:vertAlign w:val="baseline"/>
        </w:rPr>
        <w:t>result</w:t>
      </w:r>
      <w:r>
        <w:rPr>
          <w:spacing w:val="-2"/>
          <w:vertAlign w:val="baseline"/>
        </w:rPr>
        <w:t> </w:t>
      </w:r>
      <w:r>
        <w:rPr>
          <w:vertAlign w:val="baseline"/>
        </w:rPr>
        <w:t>of</w:t>
      </w:r>
      <w:r>
        <w:rPr>
          <w:spacing w:val="-2"/>
          <w:vertAlign w:val="baseline"/>
        </w:rPr>
        <w:t> </w:t>
      </w:r>
      <w:r>
        <w:rPr>
          <w:vertAlign w:val="baseline"/>
        </w:rPr>
        <w:t>fraudulent</w:t>
      </w:r>
      <w:r>
        <w:rPr>
          <w:spacing w:val="-2"/>
          <w:vertAlign w:val="baseline"/>
        </w:rPr>
        <w:t> </w:t>
      </w:r>
      <w:r>
        <w:rPr>
          <w:vertAlign w:val="baseline"/>
        </w:rPr>
        <w:t>misrepresentations</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defendants.</w:t>
      </w:r>
      <w:r>
        <w:rPr>
          <w:spacing w:val="-2"/>
          <w:vertAlign w:val="baseline"/>
        </w:rPr>
        <w:t> </w:t>
      </w:r>
      <w:r>
        <w:rPr>
          <w:vertAlign w:val="baseline"/>
        </w:rPr>
        <w:t>SNC</w:t>
      </w:r>
      <w:r>
        <w:rPr>
          <w:spacing w:val="-2"/>
          <w:vertAlign w:val="baseline"/>
        </w:rPr>
        <w:t> </w:t>
      </w:r>
      <w:r>
        <w:rPr>
          <w:vertAlign w:val="baseline"/>
        </w:rPr>
        <w:t>intended</w:t>
      </w:r>
      <w:r>
        <w:rPr>
          <w:spacing w:val="-2"/>
          <w:vertAlign w:val="baseline"/>
        </w:rPr>
        <w:t> </w:t>
      </w:r>
      <w:r>
        <w:rPr>
          <w:vertAlign w:val="baseline"/>
        </w:rPr>
        <w:t>to</w:t>
      </w:r>
      <w:r>
        <w:rPr>
          <w:spacing w:val="-2"/>
          <w:vertAlign w:val="baseline"/>
        </w:rPr>
        <w:t> </w:t>
      </w:r>
      <w:r>
        <w:rPr>
          <w:vertAlign w:val="baseline"/>
        </w:rPr>
        <w:t>keep</w:t>
      </w:r>
      <w:r>
        <w:rPr>
          <w:spacing w:val="-2"/>
          <w:vertAlign w:val="baseline"/>
        </w:rPr>
        <w:t> </w:t>
      </w:r>
      <w:r>
        <w:rPr>
          <w:vertAlign w:val="baseline"/>
        </w:rPr>
        <w:t>the </w:t>
      </w:r>
      <w:bookmarkStart w:name="_bookmark515" w:id="517"/>
      <w:bookmarkEnd w:id="517"/>
      <w:r>
        <w:rPr>
          <w:vertAlign w:val="baseline"/>
        </w:rPr>
        <w:t>shares</w:t>
      </w:r>
      <w:r>
        <w:rPr>
          <w:vertAlign w:val="baseline"/>
        </w:rPr>
        <w:t> for a period of time. Their value fell drastically when it was discovered that Ferranti had been the victim of another fraud by a third party. The House of Lords, reversing the Court of Appeal, </w:t>
      </w:r>
      <w:r>
        <w:rPr>
          <w:color w:val="005DA1"/>
          <w:u w:val="single" w:color="005DA1"/>
          <w:vertAlign w:val="superscript"/>
        </w:rPr>
        <w:t>299</w:t>
      </w:r>
      <w:r>
        <w:rPr>
          <w:color w:val="005DA1"/>
          <w:spacing w:val="40"/>
          <w:vertAlign w:val="baseline"/>
        </w:rPr>
        <w:t> </w:t>
      </w:r>
      <w:r>
        <w:rPr>
          <w:vertAlign w:val="baseline"/>
        </w:rPr>
        <w:t>held that SNC were not limited to recovering the difference between the contract price and the market value of the shares at the date of the transaction; they could recover the difference between the contract price and the prices obtained for the shares when they were sold after the discovery of the fraud. As stated in the fourth and fifth propositions of Lord Browne-Wilkinson quoted above (see para.7-057), the date of transaction rule will not be applied if it would prevent the claimant obtaining full compensation, for example if the claimant is locked into the transaction. In this case, as SNC had intended to keep the shares and it was not commercially feasible to resell them immediately, it was locked into the property.</w:t>
      </w:r>
    </w:p>
    <w:p>
      <w:pPr>
        <w:pStyle w:val="BodyText"/>
        <w:spacing w:before="76"/>
      </w:pPr>
    </w:p>
    <w:p>
      <w:pPr>
        <w:pStyle w:val="Heading2"/>
        <w:ind w:left="164"/>
      </w:pPr>
      <w:r>
        <w:rPr/>
        <w:t>7-</w:t>
      </w:r>
      <w:r>
        <w:rPr>
          <w:spacing w:val="-5"/>
        </w:rPr>
        <w:t>063</w:t>
      </w:r>
    </w:p>
    <w:p>
      <w:pPr>
        <w:pStyle w:val="BodyText"/>
        <w:spacing w:line="235" w:lineRule="auto" w:before="203"/>
        <w:ind w:left="164" w:right="167"/>
        <w:jc w:val="both"/>
      </w:pPr>
      <w:r>
        <w:rPr/>
        <w:t>It is not wholly clear whether the purchaser who has bought a “flawed asset”, which falls in value </w:t>
      </w:r>
      <w:r>
        <w:rPr/>
        <w:t>after </w:t>
      </w:r>
      <w:bookmarkStart w:name="_bookmark516" w:id="518"/>
      <w:bookmarkEnd w:id="518"/>
      <w:r>
        <w:rPr/>
        <w:t>the</w:t>
      </w:r>
      <w:r>
        <w:rPr>
          <w:spacing w:val="-2"/>
        </w:rPr>
        <w:t> </w:t>
      </w:r>
      <w:r>
        <w:rPr/>
        <w:t>date</w:t>
      </w:r>
      <w:r>
        <w:rPr>
          <w:spacing w:val="-2"/>
        </w:rPr>
        <w:t> </w:t>
      </w:r>
      <w:r>
        <w:rPr/>
        <w:t>of</w:t>
      </w:r>
      <w:r>
        <w:rPr>
          <w:spacing w:val="-2"/>
        </w:rPr>
        <w:t> </w:t>
      </w:r>
      <w:r>
        <w:rPr/>
        <w:t>the</w:t>
      </w:r>
      <w:r>
        <w:rPr>
          <w:spacing w:val="-2"/>
        </w:rPr>
        <w:t> </w:t>
      </w:r>
      <w:r>
        <w:rPr/>
        <w:t>transaction</w:t>
      </w:r>
      <w:r>
        <w:rPr>
          <w:spacing w:val="-2"/>
        </w:rPr>
        <w:t> </w:t>
      </w:r>
      <w:r>
        <w:rPr/>
        <w:t>because</w:t>
      </w:r>
      <w:r>
        <w:rPr>
          <w:spacing w:val="-2"/>
        </w:rPr>
        <w:t> </w:t>
      </w:r>
      <w:r>
        <w:rPr/>
        <w:t>the</w:t>
      </w:r>
      <w:r>
        <w:rPr>
          <w:spacing w:val="-2"/>
        </w:rPr>
        <w:t> </w:t>
      </w:r>
      <w:r>
        <w:rPr/>
        <w:t>flaw</w:t>
      </w:r>
      <w:r>
        <w:rPr>
          <w:spacing w:val="-2"/>
        </w:rPr>
        <w:t> </w:t>
      </w:r>
      <w:r>
        <w:rPr/>
        <w:t>is</w:t>
      </w:r>
      <w:r>
        <w:rPr>
          <w:spacing w:val="-2"/>
        </w:rPr>
        <w:t> </w:t>
      </w:r>
      <w:r>
        <w:rPr/>
        <w:t>discovered,</w:t>
      </w:r>
      <w:r>
        <w:rPr>
          <w:spacing w:val="-2"/>
        </w:rPr>
        <w:t> </w:t>
      </w:r>
      <w:r>
        <w:rPr/>
        <w:t>can</w:t>
      </w:r>
      <w:r>
        <w:rPr>
          <w:spacing w:val="-2"/>
        </w:rPr>
        <w:t> </w:t>
      </w:r>
      <w:r>
        <w:rPr/>
        <w:t>recover</w:t>
      </w:r>
      <w:r>
        <w:rPr>
          <w:spacing w:val="-2"/>
        </w:rPr>
        <w:t> </w:t>
      </w:r>
      <w:r>
        <w:rPr/>
        <w:t>for</w:t>
      </w:r>
      <w:r>
        <w:rPr>
          <w:spacing w:val="-2"/>
        </w:rPr>
        <w:t> </w:t>
      </w:r>
      <w:r>
        <w:rPr/>
        <w:t>this</w:t>
      </w:r>
      <w:r>
        <w:rPr>
          <w:spacing w:val="-2"/>
        </w:rPr>
        <w:t> </w:t>
      </w:r>
      <w:r>
        <w:rPr/>
        <w:t>further</w:t>
      </w:r>
      <w:r>
        <w:rPr>
          <w:spacing w:val="-2"/>
        </w:rPr>
        <w:t> </w:t>
      </w:r>
      <w:r>
        <w:rPr/>
        <w:t>loss</w:t>
      </w:r>
      <w:r>
        <w:rPr>
          <w:spacing w:val="-2"/>
        </w:rPr>
        <w:t> </w:t>
      </w:r>
      <w:r>
        <w:rPr/>
        <w:t>if</w:t>
      </w:r>
      <w:r>
        <w:rPr>
          <w:spacing w:val="-2"/>
        </w:rPr>
        <w:t> </w:t>
      </w:r>
      <w:r>
        <w:rPr/>
        <w:t>it</w:t>
      </w:r>
      <w:r>
        <w:rPr>
          <w:spacing w:val="-2"/>
        </w:rPr>
        <w:t> </w:t>
      </w:r>
      <w:r>
        <w:rPr/>
        <w:t>was</w:t>
      </w:r>
      <w:r>
        <w:rPr>
          <w:spacing w:val="-2"/>
        </w:rPr>
        <w:t> </w:t>
      </w:r>
      <w:r>
        <w:rPr/>
        <w:t>not clearly the purchaser’s purpose to retain the property. In </w:t>
      </w:r>
      <w:r>
        <w:rPr>
          <w:rFonts w:ascii="Arial" w:hAnsi="Arial"/>
          <w:i/>
        </w:rPr>
        <w:t>Twycross v Grant</w:t>
      </w:r>
      <w:r>
        <w:rPr/>
        <w:t>, </w:t>
      </w:r>
      <w:r>
        <w:rPr>
          <w:color w:val="005DA1"/>
          <w:u w:val="single" w:color="005DA1"/>
          <w:vertAlign w:val="superscript"/>
        </w:rPr>
        <w:t>300</w:t>
      </w:r>
      <w:r>
        <w:rPr>
          <w:color w:val="005DA1"/>
          <w:vertAlign w:val="baseline"/>
        </w:rPr>
        <w:t> </w:t>
      </w:r>
      <w:r>
        <w:rPr>
          <w:vertAlign w:val="baseline"/>
        </w:rPr>
        <w:t>Cockburn C.J. gave</w:t>
      </w:r>
      <w:r>
        <w:rPr>
          <w:spacing w:val="40"/>
          <w:vertAlign w:val="baseline"/>
        </w:rPr>
        <w:t> </w:t>
      </w:r>
      <w:r>
        <w:rPr>
          <w:vertAlign w:val="baseline"/>
        </w:rPr>
        <w:t>the example of a person who is induced by fraud to buy a racehorse. If the horse has already contracted some disease from which it dies when he gets it home, the buyer may recover the entire </w:t>
      </w:r>
      <w:bookmarkStart w:name="_bookmark517" w:id="519"/>
      <w:bookmarkEnd w:id="519"/>
      <w:r>
        <w:rPr>
          <w:vertAlign w:val="baseline"/>
        </w:rPr>
        <w:t>price</w:t>
      </w:r>
      <w:r>
        <w:rPr>
          <w:vertAlign w:val="baseline"/>
        </w:rPr>
        <w:t> paid. In the </w:t>
      </w:r>
      <w:r>
        <w:rPr>
          <w:rFonts w:ascii="Arial" w:hAnsi="Arial"/>
          <w:i/>
          <w:vertAlign w:val="baseline"/>
        </w:rPr>
        <w:t>Smith New Court Securities </w:t>
      </w:r>
      <w:r>
        <w:rPr>
          <w:vertAlign w:val="baseline"/>
        </w:rPr>
        <w:t>case Lord Steyn refers to this example with apparent approval. </w:t>
      </w:r>
      <w:r>
        <w:rPr>
          <w:color w:val="005DA1"/>
          <w:u w:val="single" w:color="005DA1"/>
          <w:vertAlign w:val="superscript"/>
        </w:rPr>
        <w:t>301</w:t>
      </w:r>
      <w:r>
        <w:rPr>
          <w:color w:val="005DA1"/>
          <w:vertAlign w:val="baseline"/>
        </w:rPr>
        <w:t> </w:t>
      </w:r>
      <w:r>
        <w:rPr>
          <w:vertAlign w:val="baseline"/>
        </w:rPr>
        <w:t>It may suffice that it was to be expected that the claimant would keep the property for at least the time that it took for the flaw to emerge.</w:t>
      </w:r>
    </w:p>
    <w:p>
      <w:pPr>
        <w:pStyle w:val="BodyText"/>
      </w:pPr>
    </w:p>
    <w:p>
      <w:pPr>
        <w:pStyle w:val="BodyText"/>
        <w:spacing w:before="35"/>
      </w:pPr>
    </w:p>
    <w:p>
      <w:pPr>
        <w:spacing w:before="0"/>
        <w:ind w:left="165" w:right="0" w:firstLine="0"/>
        <w:jc w:val="left"/>
        <w:rPr>
          <w:rFonts w:ascii="Arial"/>
          <w:b/>
          <w:sz w:val="18"/>
        </w:rPr>
      </w:pPr>
      <w:r>
        <w:rPr>
          <w:rFonts w:ascii="Arial"/>
          <w:b/>
          <w:sz w:val="18"/>
        </w:rPr>
        <w:t>Loss caused by fall in </w:t>
      </w:r>
      <w:r>
        <w:rPr>
          <w:rFonts w:ascii="Arial"/>
          <w:b/>
          <w:spacing w:val="-2"/>
          <w:sz w:val="18"/>
        </w:rPr>
        <w:t>market</w:t>
      </w:r>
    </w:p>
    <w:p>
      <w:pPr>
        <w:pStyle w:val="BodyText"/>
        <w:spacing w:before="42"/>
        <w:rPr>
          <w:rFonts w:ascii="Arial"/>
          <w:b/>
          <w:sz w:val="18"/>
        </w:rPr>
      </w:pPr>
    </w:p>
    <w:p>
      <w:pPr>
        <w:pStyle w:val="Heading2"/>
      </w:pPr>
      <w:r>
        <w:rPr/>
        <w:t>7-</w:t>
      </w:r>
      <w:r>
        <w:rPr>
          <w:spacing w:val="-5"/>
        </w:rPr>
        <w:t>064</w:t>
      </w:r>
    </w:p>
    <w:p>
      <w:pPr>
        <w:pStyle w:val="BodyText"/>
        <w:spacing w:line="235" w:lineRule="auto" w:before="202"/>
        <w:ind w:left="164" w:right="167"/>
        <w:jc w:val="both"/>
      </w:pPr>
      <w:r>
        <w:rPr/>
        <w:t>Secondly, as the result of the fraud, the claimant may have acquired a property which, had it known the truth, it would not have acquired, and that property may have fallen because of a subsequent fall in the general value of property of the kind in question. It is possible that in an appropriate case, </w:t>
      </w:r>
      <w:bookmarkStart w:name="_bookmark518" w:id="520"/>
      <w:bookmarkEnd w:id="520"/>
      <w:r>
        <w:rPr/>
        <w:t>damages</w:t>
      </w:r>
      <w:r>
        <w:rPr/>
        <w:t> for fraud may include such losses. In </w:t>
      </w:r>
      <w:r>
        <w:rPr>
          <w:rFonts w:ascii="Arial" w:hAnsi="Arial"/>
          <w:i/>
        </w:rPr>
        <w:t>South Australia Asset Management Corp v York Montague Ltd </w:t>
      </w:r>
      <w:r>
        <w:rPr>
          <w:color w:val="005DA1"/>
          <w:u w:val="single" w:color="005DA1"/>
          <w:vertAlign w:val="superscript"/>
        </w:rPr>
        <w:t>302</w:t>
      </w:r>
      <w:r>
        <w:rPr>
          <w:color w:val="005DA1"/>
          <w:vertAlign w:val="baseline"/>
        </w:rPr>
        <w:t> </w:t>
      </w:r>
      <w:r>
        <w:rPr>
          <w:vertAlign w:val="baseline"/>
        </w:rPr>
        <w:t>the House of Lords held that in a case of negligent valuation, recovery of </w:t>
      </w:r>
      <w:r>
        <w:rPr>
          <w:vertAlign w:val="baseline"/>
        </w:rPr>
        <w:t>such </w:t>
      </w:r>
      <w:bookmarkStart w:name="_bookmark519" w:id="521"/>
      <w:bookmarkEnd w:id="521"/>
      <w:r>
        <w:rPr>
          <w:vertAlign w:val="baseline"/>
        </w:rPr>
        <w:t>losses</w:t>
      </w:r>
      <w:r>
        <w:rPr>
          <w:vertAlign w:val="baseline"/>
        </w:rPr>
        <w:t> are limited to the difference between the valuation given and a correct one, but it left open the question in cases of fraud. </w:t>
      </w:r>
      <w:r>
        <w:rPr>
          <w:color w:val="005DA1"/>
          <w:u w:val="single" w:color="005DA1"/>
          <w:vertAlign w:val="superscript"/>
        </w:rPr>
        <w:t>303</w:t>
      </w:r>
      <w:r>
        <w:rPr>
          <w:color w:val="005DA1"/>
          <w:vertAlign w:val="baseline"/>
        </w:rPr>
        <w:t> </w:t>
      </w:r>
      <w:r>
        <w:rPr>
          <w:vertAlign w:val="baseline"/>
        </w:rPr>
        <w:t>In </w:t>
      </w:r>
      <w:r>
        <w:rPr>
          <w:rFonts w:ascii="Arial" w:hAnsi="Arial"/>
          <w:i/>
          <w:vertAlign w:val="baseline"/>
        </w:rPr>
        <w:t>Downs v Chappell </w:t>
      </w:r>
      <w:r>
        <w:rPr>
          <w:color w:val="005DA1"/>
          <w:u w:val="single" w:color="005DA1"/>
          <w:vertAlign w:val="superscript"/>
        </w:rPr>
        <w:t>304</w:t>
      </w:r>
      <w:r>
        <w:rPr>
          <w:color w:val="005DA1"/>
          <w:vertAlign w:val="baseline"/>
        </w:rPr>
        <w:t> </w:t>
      </w:r>
      <w:r>
        <w:rPr>
          <w:vertAlign w:val="baseline"/>
        </w:rPr>
        <w:t>the plaintiffs had bought a business as the result</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defendant’s</w:t>
      </w:r>
      <w:r>
        <w:rPr>
          <w:spacing w:val="10"/>
          <w:vertAlign w:val="baseline"/>
        </w:rPr>
        <w:t> </w:t>
      </w:r>
      <w:r>
        <w:rPr>
          <w:vertAlign w:val="baseline"/>
        </w:rPr>
        <w:t>fraudulent</w:t>
      </w:r>
      <w:r>
        <w:rPr>
          <w:spacing w:val="10"/>
          <w:vertAlign w:val="baseline"/>
        </w:rPr>
        <w:t> </w:t>
      </w:r>
      <w:r>
        <w:rPr>
          <w:vertAlign w:val="baseline"/>
        </w:rPr>
        <w:t>statements;</w:t>
      </w:r>
      <w:r>
        <w:rPr>
          <w:spacing w:val="10"/>
          <w:vertAlign w:val="baseline"/>
        </w:rPr>
        <w:t> </w:t>
      </w:r>
      <w:r>
        <w:rPr>
          <w:vertAlign w:val="baseline"/>
        </w:rPr>
        <w:t>they</w:t>
      </w:r>
      <w:r>
        <w:rPr>
          <w:spacing w:val="10"/>
          <w:vertAlign w:val="baseline"/>
        </w:rPr>
        <w:t> </w:t>
      </w:r>
      <w:r>
        <w:rPr>
          <w:vertAlign w:val="baseline"/>
        </w:rPr>
        <w:t>recovered</w:t>
      </w:r>
      <w:r>
        <w:rPr>
          <w:spacing w:val="10"/>
          <w:vertAlign w:val="baseline"/>
        </w:rPr>
        <w:t> </w:t>
      </w:r>
      <w:r>
        <w:rPr>
          <w:vertAlign w:val="baseline"/>
        </w:rPr>
        <w:t>the</w:t>
      </w:r>
      <w:r>
        <w:rPr>
          <w:spacing w:val="10"/>
          <w:vertAlign w:val="baseline"/>
        </w:rPr>
        <w:t> </w:t>
      </w:r>
      <w:r>
        <w:rPr>
          <w:vertAlign w:val="baseline"/>
        </w:rPr>
        <w:t>difference</w:t>
      </w:r>
      <w:r>
        <w:rPr>
          <w:spacing w:val="10"/>
          <w:vertAlign w:val="baseline"/>
        </w:rPr>
        <w:t> </w:t>
      </w:r>
      <w:r>
        <w:rPr>
          <w:vertAlign w:val="baseline"/>
        </w:rPr>
        <w:t>between</w:t>
      </w:r>
      <w:r>
        <w:rPr>
          <w:spacing w:val="10"/>
          <w:vertAlign w:val="baseline"/>
        </w:rPr>
        <w:t> </w:t>
      </w:r>
      <w:r>
        <w:rPr>
          <w:vertAlign w:val="baseline"/>
        </w:rPr>
        <w:t>the</w:t>
      </w:r>
      <w:r>
        <w:rPr>
          <w:spacing w:val="10"/>
          <w:vertAlign w:val="baseline"/>
        </w:rPr>
        <w:t> </w:t>
      </w:r>
      <w:r>
        <w:rPr>
          <w:vertAlign w:val="baseline"/>
        </w:rPr>
        <w:t>price</w:t>
      </w:r>
      <w:r>
        <w:rPr>
          <w:spacing w:val="10"/>
          <w:vertAlign w:val="baseline"/>
        </w:rPr>
        <w:t> </w:t>
      </w:r>
      <w:r>
        <w:rPr>
          <w:spacing w:val="-4"/>
          <w:vertAlign w:val="baseline"/>
        </w:rPr>
        <w:t>paid</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r>
        <w:rPr/>
        <w:t>and the value of the business when the fraud was discovered, even though the difference may </w:t>
      </w:r>
      <w:r>
        <w:rPr/>
        <w:t>have been increased by a general fall in property prices. In that case, Hobhouse L.J. said that only losses flowing</w:t>
      </w:r>
      <w:r>
        <w:rPr>
          <w:spacing w:val="-2"/>
        </w:rPr>
        <w:t> </w:t>
      </w:r>
      <w:r>
        <w:rPr/>
        <w:t>from</w:t>
      </w:r>
      <w:r>
        <w:rPr>
          <w:spacing w:val="-2"/>
        </w:rPr>
        <w:t> </w:t>
      </w:r>
      <w:r>
        <w:rPr/>
        <w:t>the</w:t>
      </w:r>
      <w:r>
        <w:rPr>
          <w:spacing w:val="-2"/>
        </w:rPr>
        <w:t> </w:t>
      </w:r>
      <w:r>
        <w:rPr/>
        <w:t>tort</w:t>
      </w:r>
      <w:r>
        <w:rPr>
          <w:spacing w:val="-2"/>
        </w:rPr>
        <w:t> </w:t>
      </w:r>
      <w:r>
        <w:rPr/>
        <w:t>would</w:t>
      </w:r>
      <w:r>
        <w:rPr>
          <w:spacing w:val="-2"/>
        </w:rPr>
        <w:t> </w:t>
      </w:r>
      <w:r>
        <w:rPr/>
        <w:t>be</w:t>
      </w:r>
      <w:r>
        <w:rPr>
          <w:spacing w:val="-2"/>
        </w:rPr>
        <w:t> </w:t>
      </w:r>
      <w:r>
        <w:rPr/>
        <w:t>recoverable,</w:t>
      </w:r>
      <w:r>
        <w:rPr>
          <w:spacing w:val="-2"/>
        </w:rPr>
        <w:t> </w:t>
      </w:r>
      <w:r>
        <w:rPr/>
        <w:t>and</w:t>
      </w:r>
      <w:r>
        <w:rPr>
          <w:spacing w:val="-2"/>
        </w:rPr>
        <w:t> </w:t>
      </w:r>
      <w:r>
        <w:rPr/>
        <w:t>as</w:t>
      </w:r>
      <w:r>
        <w:rPr>
          <w:spacing w:val="-2"/>
        </w:rPr>
        <w:t> </w:t>
      </w:r>
      <w:r>
        <w:rPr/>
        <w:t>a</w:t>
      </w:r>
      <w:r>
        <w:rPr>
          <w:spacing w:val="-2"/>
        </w:rPr>
        <w:t> </w:t>
      </w:r>
      <w:r>
        <w:rPr/>
        <w:t>means</w:t>
      </w:r>
      <w:r>
        <w:rPr>
          <w:spacing w:val="-2"/>
        </w:rPr>
        <w:t> </w:t>
      </w:r>
      <w:r>
        <w:rPr/>
        <w:t>of</w:t>
      </w:r>
      <w:r>
        <w:rPr>
          <w:spacing w:val="-2"/>
        </w:rPr>
        <w:t> </w:t>
      </w:r>
      <w:r>
        <w:rPr/>
        <w:t>testing</w:t>
      </w:r>
      <w:r>
        <w:rPr>
          <w:spacing w:val="-2"/>
        </w:rPr>
        <w:t> </w:t>
      </w:r>
      <w:r>
        <w:rPr/>
        <w:t>whether</w:t>
      </w:r>
      <w:r>
        <w:rPr>
          <w:spacing w:val="-2"/>
        </w:rPr>
        <w:t> </w:t>
      </w:r>
      <w:r>
        <w:rPr/>
        <w:t>the</w:t>
      </w:r>
      <w:r>
        <w:rPr>
          <w:spacing w:val="-2"/>
        </w:rPr>
        <w:t> </w:t>
      </w:r>
      <w:r>
        <w:rPr/>
        <w:t>loss</w:t>
      </w:r>
      <w:r>
        <w:rPr>
          <w:spacing w:val="-2"/>
        </w:rPr>
        <w:t> </w:t>
      </w:r>
      <w:r>
        <w:rPr/>
        <w:t>was</w:t>
      </w:r>
      <w:r>
        <w:rPr>
          <w:spacing w:val="-2"/>
        </w:rPr>
        <w:t> </w:t>
      </w:r>
      <w:r>
        <w:rPr/>
        <w:t>caused</w:t>
      </w:r>
      <w:r>
        <w:rPr>
          <w:spacing w:val="-2"/>
        </w:rPr>
        <w:t> </w:t>
      </w:r>
      <w:r>
        <w:rPr/>
        <w:t>by the tort and of preventing over-compensation, proposed comparing:</w:t>
      </w:r>
    </w:p>
    <w:p>
      <w:pPr>
        <w:pStyle w:val="BodyText"/>
      </w:pPr>
    </w:p>
    <w:p>
      <w:pPr>
        <w:pStyle w:val="BodyText"/>
        <w:spacing w:before="125"/>
      </w:pPr>
    </w:p>
    <w:p>
      <w:pPr>
        <w:pStyle w:val="BodyText"/>
        <w:spacing w:line="235" w:lineRule="auto"/>
        <w:ind w:left="1245"/>
      </w:pPr>
      <w:r>
        <w:rPr/>
        <w:t>“The</w:t>
      </w:r>
      <w:r>
        <w:rPr>
          <w:spacing w:val="35"/>
        </w:rPr>
        <w:t> </w:t>
      </w:r>
      <w:r>
        <w:rPr/>
        <w:t>loss</w:t>
      </w:r>
      <w:r>
        <w:rPr>
          <w:spacing w:val="35"/>
        </w:rPr>
        <w:t> </w:t>
      </w:r>
      <w:r>
        <w:rPr/>
        <w:t>consequent</w:t>
      </w:r>
      <w:r>
        <w:rPr>
          <w:spacing w:val="35"/>
        </w:rPr>
        <w:t> </w:t>
      </w:r>
      <w:r>
        <w:rPr/>
        <w:t>upon</w:t>
      </w:r>
      <w:r>
        <w:rPr>
          <w:spacing w:val="35"/>
        </w:rPr>
        <w:t> </w:t>
      </w:r>
      <w:r>
        <w:rPr/>
        <w:t>entering</w:t>
      </w:r>
      <w:r>
        <w:rPr>
          <w:spacing w:val="35"/>
        </w:rPr>
        <w:t> </w:t>
      </w:r>
      <w:r>
        <w:rPr/>
        <w:t>the</w:t>
      </w:r>
      <w:r>
        <w:rPr>
          <w:spacing w:val="35"/>
        </w:rPr>
        <w:t> </w:t>
      </w:r>
      <w:r>
        <w:rPr/>
        <w:t>transaction</w:t>
      </w:r>
      <w:r>
        <w:rPr>
          <w:spacing w:val="35"/>
        </w:rPr>
        <w:t> </w:t>
      </w:r>
      <w:r>
        <w:rPr/>
        <w:t>with</w:t>
      </w:r>
      <w:r>
        <w:rPr>
          <w:spacing w:val="35"/>
        </w:rPr>
        <w:t> </w:t>
      </w:r>
      <w:r>
        <w:rPr/>
        <w:t>that</w:t>
      </w:r>
      <w:r>
        <w:rPr>
          <w:spacing w:val="35"/>
        </w:rPr>
        <w:t> </w:t>
      </w:r>
      <w:r>
        <w:rPr/>
        <w:t>which</w:t>
      </w:r>
      <w:r>
        <w:rPr>
          <w:spacing w:val="35"/>
        </w:rPr>
        <w:t> </w:t>
      </w:r>
      <w:r>
        <w:rPr/>
        <w:t>what</w:t>
      </w:r>
      <w:r>
        <w:rPr>
          <w:spacing w:val="35"/>
        </w:rPr>
        <w:t> </w:t>
      </w:r>
      <w:r>
        <w:rPr/>
        <w:t>would</w:t>
      </w:r>
      <w:r>
        <w:rPr>
          <w:spacing w:val="35"/>
        </w:rPr>
        <w:t> </w:t>
      </w:r>
      <w:r>
        <w:rPr/>
        <w:t>have been the position had the represented, or supposed, state of affairs actually existed.”</w:t>
      </w:r>
    </w:p>
    <w:p>
      <w:pPr>
        <w:pStyle w:val="BodyText"/>
        <w:spacing w:before="116"/>
      </w:pPr>
    </w:p>
    <w:p>
      <w:pPr>
        <w:pStyle w:val="BodyText"/>
        <w:spacing w:line="235" w:lineRule="auto"/>
        <w:ind w:left="165" w:right="167"/>
        <w:jc w:val="both"/>
      </w:pPr>
      <w:bookmarkStart w:name="_bookmark520" w:id="522"/>
      <w:bookmarkEnd w:id="522"/>
      <w:r>
        <w:rPr/>
      </w:r>
      <w:r>
        <w:rPr/>
        <w:t>This last aspect of the case was disapproved by the House of Lords in </w:t>
      </w:r>
      <w:r>
        <w:rPr>
          <w:rFonts w:ascii="Arial" w:hAnsi="Arial"/>
          <w:i/>
        </w:rPr>
        <w:t>Smith New Court </w:t>
      </w:r>
      <w:r>
        <w:rPr>
          <w:rFonts w:ascii="Arial" w:hAnsi="Arial"/>
          <w:i/>
        </w:rPr>
        <w:t>Securities</w:t>
      </w:r>
      <w:r>
        <w:rPr>
          <w:rFonts w:ascii="Arial" w:hAnsi="Arial"/>
          <w:i/>
          <w:spacing w:val="40"/>
        </w:rPr>
        <w:t> </w:t>
      </w:r>
      <w:r>
        <w:rPr>
          <w:rFonts w:ascii="Arial" w:hAnsi="Arial"/>
          <w:i/>
        </w:rPr>
        <w:t>Ltd v Scrimgeour Vickers (Asset Management) Ltd</w:t>
      </w:r>
      <w:r>
        <w:rPr/>
        <w:t>. </w:t>
      </w:r>
      <w:r>
        <w:rPr>
          <w:color w:val="005DA1"/>
          <w:u w:val="single" w:color="005DA1"/>
          <w:vertAlign w:val="superscript"/>
        </w:rPr>
        <w:t>305</w:t>
      </w:r>
      <w:r>
        <w:rPr>
          <w:color w:val="005DA1"/>
          <w:vertAlign w:val="baseline"/>
        </w:rPr>
        <w:t> </w:t>
      </w:r>
      <w:r>
        <w:rPr>
          <w:vertAlign w:val="baseline"/>
        </w:rPr>
        <w:t>Thus it appears that in a fraud case the claimant can recover the full fall in value of the property, at least up to the date of discovery of the </w:t>
      </w:r>
      <w:bookmarkStart w:name="_bookmark521" w:id="523"/>
      <w:bookmarkEnd w:id="523"/>
      <w:r>
        <w:rPr>
          <w:vertAlign w:val="baseline"/>
        </w:rPr>
        <w:t>fraud,</w:t>
      </w:r>
      <w:r>
        <w:rPr>
          <w:vertAlign w:val="baseline"/>
        </w:rPr>
        <w:t> where the claimant was “locked into the transaction”. Lord Steyn justified a special rule for cases of deceit by considerations of morality and deterrence. </w:t>
      </w:r>
      <w:r>
        <w:rPr>
          <w:color w:val="005DA1"/>
          <w:u w:val="single" w:color="005DA1"/>
          <w:vertAlign w:val="superscript"/>
        </w:rPr>
        <w:t>306</w:t>
      </w:r>
    </w:p>
    <w:p>
      <w:pPr>
        <w:pStyle w:val="BodyText"/>
      </w:pPr>
    </w:p>
    <w:p>
      <w:pPr>
        <w:pStyle w:val="BodyText"/>
        <w:spacing w:before="37"/>
      </w:pPr>
    </w:p>
    <w:p>
      <w:pPr>
        <w:spacing w:before="0"/>
        <w:ind w:left="165" w:right="0" w:firstLine="0"/>
        <w:jc w:val="both"/>
        <w:rPr>
          <w:rFonts w:ascii="Arial"/>
          <w:b/>
          <w:sz w:val="18"/>
        </w:rPr>
      </w:pPr>
      <w:r>
        <w:rPr>
          <w:rFonts w:ascii="Arial"/>
          <w:b/>
          <w:sz w:val="18"/>
        </w:rPr>
        <w:t>Other </w:t>
      </w:r>
      <w:r>
        <w:rPr>
          <w:rFonts w:ascii="Arial"/>
          <w:b/>
          <w:spacing w:val="-2"/>
          <w:sz w:val="18"/>
        </w:rPr>
        <w:t>cases</w:t>
      </w:r>
    </w:p>
    <w:p>
      <w:pPr>
        <w:pStyle w:val="BodyText"/>
        <w:spacing w:before="41"/>
        <w:rPr>
          <w:rFonts w:ascii="Arial"/>
          <w:b/>
          <w:sz w:val="18"/>
        </w:rPr>
      </w:pPr>
    </w:p>
    <w:p>
      <w:pPr>
        <w:pStyle w:val="Heading2"/>
      </w:pPr>
      <w:r>
        <w:rPr/>
        <w:t>7-</w:t>
      </w:r>
      <w:r>
        <w:rPr>
          <w:spacing w:val="-5"/>
        </w:rPr>
        <w:t>065</w:t>
      </w:r>
    </w:p>
    <w:p>
      <w:pPr>
        <w:pStyle w:val="BodyText"/>
        <w:spacing w:line="235" w:lineRule="auto" w:before="203"/>
        <w:ind w:left="164" w:right="167"/>
        <w:jc w:val="both"/>
      </w:pPr>
      <w:r>
        <w:rPr/>
        <w:t>Where the asset bought is not “already flawed” and the claimant is not locked into the transaction, nor </w:t>
      </w:r>
      <w:bookmarkStart w:name="_bookmark522" w:id="524"/>
      <w:bookmarkEnd w:id="524"/>
      <w:r>
        <w:rPr/>
        <w:t>is</w:t>
      </w:r>
      <w:r>
        <w:rPr>
          <w:spacing w:val="80"/>
        </w:rPr>
        <w:t> </w:t>
      </w:r>
      <w:r>
        <w:rPr/>
        <w:t>the</w:t>
      </w:r>
      <w:r>
        <w:rPr>
          <w:spacing w:val="80"/>
        </w:rPr>
        <w:t> </w:t>
      </w:r>
      <w:r>
        <w:rPr/>
        <w:t>fraud</w:t>
      </w:r>
      <w:r>
        <w:rPr>
          <w:spacing w:val="80"/>
        </w:rPr>
        <w:t> </w:t>
      </w:r>
      <w:r>
        <w:rPr/>
        <w:t>continuing</w:t>
      </w:r>
      <w:r>
        <w:rPr>
          <w:spacing w:val="80"/>
        </w:rPr>
        <w:t> </w:t>
      </w:r>
      <w:r>
        <w:rPr/>
        <w:t>to</w:t>
      </w:r>
      <w:r>
        <w:rPr>
          <w:spacing w:val="80"/>
        </w:rPr>
        <w:t> </w:t>
      </w:r>
      <w:r>
        <w:rPr/>
        <w:t>operate</w:t>
      </w:r>
      <w:r>
        <w:rPr>
          <w:spacing w:val="80"/>
        </w:rPr>
        <w:t> </w:t>
      </w:r>
      <w:r>
        <w:rPr/>
        <w:t>to</w:t>
      </w:r>
      <w:r>
        <w:rPr>
          <w:spacing w:val="80"/>
        </w:rPr>
        <w:t> </w:t>
      </w:r>
      <w:r>
        <w:rPr/>
        <w:t>induce</w:t>
      </w:r>
      <w:r>
        <w:rPr>
          <w:spacing w:val="80"/>
        </w:rPr>
        <w:t> </w:t>
      </w:r>
      <w:r>
        <w:rPr/>
        <w:t>him</w:t>
      </w:r>
      <w:r>
        <w:rPr>
          <w:spacing w:val="80"/>
        </w:rPr>
        <w:t> </w:t>
      </w:r>
      <w:r>
        <w:rPr/>
        <w:t>to</w:t>
      </w:r>
      <w:r>
        <w:rPr>
          <w:spacing w:val="80"/>
        </w:rPr>
        <w:t> </w:t>
      </w:r>
      <w:r>
        <w:rPr/>
        <w:t>retain</w:t>
      </w:r>
      <w:r>
        <w:rPr>
          <w:spacing w:val="80"/>
        </w:rPr>
        <w:t> </w:t>
      </w:r>
      <w:r>
        <w:rPr/>
        <w:t>the</w:t>
      </w:r>
      <w:r>
        <w:rPr>
          <w:spacing w:val="80"/>
        </w:rPr>
        <w:t> </w:t>
      </w:r>
      <w:r>
        <w:rPr/>
        <w:t>property</w:t>
      </w:r>
      <w:r>
        <w:rPr>
          <w:spacing w:val="80"/>
        </w:rPr>
        <w:t> </w:t>
      </w:r>
      <w:r>
        <w:rPr/>
        <w:t>(so</w:t>
      </w:r>
      <w:r>
        <w:rPr>
          <w:spacing w:val="80"/>
        </w:rPr>
        <w:t> </w:t>
      </w:r>
      <w:r>
        <w:rPr/>
        <w:t>that</w:t>
      </w:r>
      <w:r>
        <w:rPr>
          <w:spacing w:val="80"/>
        </w:rPr>
        <w:t> </w:t>
      </w:r>
      <w:r>
        <w:rPr/>
        <w:t>Lord </w:t>
      </w:r>
      <w:bookmarkStart w:name="_bookmark523" w:id="525"/>
      <w:bookmarkEnd w:id="525"/>
      <w:r>
        <w:rPr/>
        <w:t>Browne</w:t>
      </w:r>
      <w:r>
        <w:rPr/>
        <w:t>-Wilkinson’s fifth proposition does not apply </w:t>
      </w:r>
      <w:r>
        <w:rPr>
          <w:color w:val="005DA1"/>
          <w:u w:val="single" w:color="005DA1"/>
          <w:vertAlign w:val="superscript"/>
        </w:rPr>
        <w:t>307</w:t>
      </w:r>
      <w:r>
        <w:rPr>
          <w:vertAlign w:val="baseline"/>
        </w:rPr>
        <w:t>), it appears that the damages will still be assessed by the value of the property at the date of the transaction. In </w:t>
      </w:r>
      <w:r>
        <w:rPr>
          <w:rFonts w:ascii="Arial" w:hAnsi="Arial"/>
          <w:i/>
          <w:vertAlign w:val="baseline"/>
        </w:rPr>
        <w:t>Twycross v Grant</w:t>
      </w:r>
      <w:r>
        <w:rPr>
          <w:vertAlign w:val="baseline"/>
        </w:rPr>
        <w:t>, </w:t>
      </w:r>
      <w:r>
        <w:rPr>
          <w:color w:val="005DA1"/>
          <w:u w:val="single" w:color="005DA1"/>
          <w:vertAlign w:val="superscript"/>
        </w:rPr>
        <w:t>308</w:t>
      </w:r>
      <w:r>
        <w:rPr>
          <w:color w:val="005DA1"/>
          <w:spacing w:val="40"/>
          <w:vertAlign w:val="baseline"/>
        </w:rPr>
        <w:t> </w:t>
      </w:r>
      <w:r>
        <w:rPr>
          <w:vertAlign w:val="baseline"/>
        </w:rPr>
        <w:t>Cockburn C.J. also gave the example of a person who is induced by fraud to buy a racehorse which subsequently catches a disease and dies; the buyer may only recover the difference between the price paid and the real value at the time of the transaction. In </w:t>
      </w:r>
      <w:r>
        <w:rPr>
          <w:rFonts w:ascii="Arial" w:hAnsi="Arial"/>
          <w:i/>
          <w:vertAlign w:val="baseline"/>
        </w:rPr>
        <w:t>Smith New Court Securities Ltd v </w:t>
      </w:r>
      <w:bookmarkStart w:name="_bookmark524" w:id="526"/>
      <w:bookmarkEnd w:id="526"/>
      <w:r>
        <w:rPr>
          <w:rFonts w:ascii="Arial" w:hAnsi="Arial"/>
          <w:i/>
          <w:vertAlign w:val="baseline"/>
        </w:rPr>
        <w:t>Scrimgeour</w:t>
      </w:r>
      <w:r>
        <w:rPr>
          <w:rFonts w:ascii="Arial" w:hAnsi="Arial"/>
          <w:i/>
          <w:vertAlign w:val="baseline"/>
        </w:rPr>
        <w:t> Vickers (Asset Management) Ltd </w:t>
      </w:r>
      <w:r>
        <w:rPr>
          <w:vertAlign w:val="baseline"/>
        </w:rPr>
        <w:t>Lord Steyn gave this as an example of a case in which there would not be a sufficient causal link between the fraud and the loss. </w:t>
      </w:r>
      <w:r>
        <w:rPr>
          <w:color w:val="005DA1"/>
          <w:u w:val="single" w:color="005DA1"/>
          <w:vertAlign w:val="superscript"/>
        </w:rPr>
        <w:t>309</w:t>
      </w:r>
      <w:r>
        <w:rPr>
          <w:color w:val="005DA1"/>
          <w:vertAlign w:val="baseline"/>
        </w:rPr>
        <w:t> </w:t>
      </w:r>
      <w:r>
        <w:rPr>
          <w:vertAlign w:val="baseline"/>
        </w:rPr>
        <w:t>But it seems that the claimant will be treated as locked into the transaction where the other party knew that the claimant was purchasing the property for a purpose that would require him to retain it.</w:t>
      </w:r>
    </w:p>
    <w:p>
      <w:pPr>
        <w:pStyle w:val="BodyText"/>
      </w:pPr>
    </w:p>
    <w:p>
      <w:pPr>
        <w:pStyle w:val="BodyText"/>
        <w:spacing w:before="34"/>
      </w:pPr>
    </w:p>
    <w:p>
      <w:pPr>
        <w:spacing w:before="0"/>
        <w:ind w:left="165" w:right="0" w:firstLine="0"/>
        <w:jc w:val="left"/>
        <w:rPr>
          <w:rFonts w:ascii="Arial"/>
          <w:b/>
          <w:sz w:val="18"/>
        </w:rPr>
      </w:pPr>
      <w:r>
        <w:rPr>
          <w:rFonts w:ascii="Arial"/>
          <w:b/>
          <w:sz w:val="18"/>
        </w:rPr>
        <w:t>Claimant would have entered another losing </w:t>
      </w:r>
      <w:r>
        <w:rPr>
          <w:rFonts w:ascii="Arial"/>
          <w:b/>
          <w:spacing w:val="-2"/>
          <w:sz w:val="18"/>
        </w:rPr>
        <w:t>transaction</w:t>
      </w:r>
    </w:p>
    <w:p>
      <w:pPr>
        <w:pStyle w:val="BodyText"/>
        <w:spacing w:before="41"/>
        <w:rPr>
          <w:rFonts w:ascii="Arial"/>
          <w:b/>
          <w:sz w:val="18"/>
        </w:rPr>
      </w:pPr>
    </w:p>
    <w:p>
      <w:pPr>
        <w:pStyle w:val="Heading2"/>
        <w:spacing w:before="1"/>
      </w:pPr>
      <w:r>
        <w:rPr/>
        <w:t>7-</w:t>
      </w:r>
      <w:r>
        <w:rPr>
          <w:spacing w:val="-5"/>
        </w:rPr>
        <w:t>066</w:t>
      </w:r>
    </w:p>
    <w:p>
      <w:pPr>
        <w:pStyle w:val="BodyText"/>
        <w:spacing w:line="235" w:lineRule="auto" w:before="202"/>
        <w:ind w:left="164" w:right="167"/>
        <w:jc w:val="both"/>
      </w:pPr>
      <w:bookmarkStart w:name="_bookmark525" w:id="527"/>
      <w:bookmarkEnd w:id="527"/>
      <w:r>
        <w:rPr/>
      </w:r>
      <w:r>
        <w:rPr/>
        <w:t>As mentioned earlier, in fraud cases it is presumed that had it not been for the fraud, the </w:t>
      </w:r>
      <w:r>
        <w:rPr/>
        <w:t>claimant would</w:t>
      </w:r>
      <w:r>
        <w:rPr>
          <w:spacing w:val="-2"/>
        </w:rPr>
        <w:t> </w:t>
      </w:r>
      <w:r>
        <w:rPr/>
        <w:t>not</w:t>
      </w:r>
      <w:r>
        <w:rPr>
          <w:spacing w:val="-2"/>
        </w:rPr>
        <w:t> </w:t>
      </w:r>
      <w:r>
        <w:rPr/>
        <w:t>have</w:t>
      </w:r>
      <w:r>
        <w:rPr>
          <w:spacing w:val="-2"/>
        </w:rPr>
        <w:t> </w:t>
      </w:r>
      <w:r>
        <w:rPr/>
        <w:t>entered</w:t>
      </w:r>
      <w:r>
        <w:rPr>
          <w:spacing w:val="-2"/>
        </w:rPr>
        <w:t> </w:t>
      </w:r>
      <w:r>
        <w:rPr/>
        <w:t>the</w:t>
      </w:r>
      <w:r>
        <w:rPr>
          <w:spacing w:val="-2"/>
        </w:rPr>
        <w:t> </w:t>
      </w:r>
      <w:r>
        <w:rPr/>
        <w:t>contract.</w:t>
      </w:r>
      <w:r>
        <w:rPr>
          <w:spacing w:val="-2"/>
        </w:rPr>
        <w:t> </w:t>
      </w:r>
      <w:r>
        <w:rPr>
          <w:color w:val="005DA1"/>
          <w:u w:val="single" w:color="005DA1"/>
          <w:vertAlign w:val="superscript"/>
        </w:rPr>
        <w:t>310</w:t>
      </w:r>
      <w:r>
        <w:rPr>
          <w:color w:val="005DA1"/>
          <w:spacing w:val="-2"/>
          <w:vertAlign w:val="baseline"/>
        </w:rPr>
        <w:t> </w:t>
      </w:r>
      <w:r>
        <w:rPr>
          <w:vertAlign w:val="baseline"/>
        </w:rPr>
        <w:t>In</w:t>
      </w:r>
      <w:r>
        <w:rPr>
          <w:spacing w:val="-2"/>
          <w:vertAlign w:val="baseline"/>
        </w:rPr>
        <w:t> </w:t>
      </w:r>
      <w:r>
        <w:rPr>
          <w:rFonts w:ascii="Arial" w:hAnsi="Arial"/>
          <w:i/>
          <w:vertAlign w:val="baseline"/>
        </w:rPr>
        <w:t>Downs</w:t>
      </w:r>
      <w:r>
        <w:rPr>
          <w:rFonts w:ascii="Arial" w:hAnsi="Arial"/>
          <w:i/>
          <w:spacing w:val="-2"/>
          <w:vertAlign w:val="baseline"/>
        </w:rPr>
        <w:t> </w:t>
      </w:r>
      <w:r>
        <w:rPr>
          <w:rFonts w:ascii="Arial" w:hAnsi="Arial"/>
          <w:i/>
          <w:vertAlign w:val="baseline"/>
        </w:rPr>
        <w:t>v</w:t>
      </w:r>
      <w:r>
        <w:rPr>
          <w:rFonts w:ascii="Arial" w:hAnsi="Arial"/>
          <w:i/>
          <w:spacing w:val="-2"/>
          <w:vertAlign w:val="baseline"/>
        </w:rPr>
        <w:t> </w:t>
      </w:r>
      <w:r>
        <w:rPr>
          <w:rFonts w:ascii="Arial" w:hAnsi="Arial"/>
          <w:i/>
          <w:vertAlign w:val="baseline"/>
        </w:rPr>
        <w:t>Chappell</w:t>
      </w:r>
      <w:r>
        <w:rPr>
          <w:rFonts w:ascii="Arial" w:hAnsi="Arial"/>
          <w:i/>
          <w:spacing w:val="-2"/>
          <w:vertAlign w:val="baseline"/>
        </w:rPr>
        <w:t> </w:t>
      </w:r>
      <w:r>
        <w:rPr>
          <w:color w:val="005DA1"/>
          <w:u w:val="single" w:color="005DA1"/>
          <w:vertAlign w:val="superscript"/>
        </w:rPr>
        <w:t>311</w:t>
      </w:r>
      <w:r>
        <w:rPr>
          <w:color w:val="005DA1"/>
          <w:spacing w:val="-2"/>
          <w:vertAlign w:val="baseline"/>
        </w:rPr>
        <w:t> </w:t>
      </w:r>
      <w:r>
        <w:rPr>
          <w:vertAlign w:val="baseline"/>
        </w:rPr>
        <w:t>it</w:t>
      </w:r>
      <w:r>
        <w:rPr>
          <w:spacing w:val="-2"/>
          <w:vertAlign w:val="baseline"/>
        </w:rPr>
        <w:t> </w:t>
      </w:r>
      <w:r>
        <w:rPr>
          <w:vertAlign w:val="baseline"/>
        </w:rPr>
        <w:t>was</w:t>
      </w:r>
      <w:r>
        <w:rPr>
          <w:spacing w:val="-2"/>
          <w:vertAlign w:val="baseline"/>
        </w:rPr>
        <w:t> </w:t>
      </w:r>
      <w:r>
        <w:rPr>
          <w:vertAlign w:val="baseline"/>
        </w:rPr>
        <w:t>said</w:t>
      </w:r>
      <w:r>
        <w:rPr>
          <w:spacing w:val="-2"/>
          <w:vertAlign w:val="baseline"/>
        </w:rPr>
        <w:t> </w:t>
      </w:r>
      <w:r>
        <w:rPr>
          <w:vertAlign w:val="baseline"/>
        </w:rPr>
        <w:t>that</w:t>
      </w:r>
      <w:r>
        <w:rPr>
          <w:spacing w:val="-2"/>
          <w:vertAlign w:val="baseline"/>
        </w:rPr>
        <w:t> </w:t>
      </w:r>
      <w:r>
        <w:rPr>
          <w:vertAlign w:val="baseline"/>
        </w:rPr>
        <w:t>a</w:t>
      </w:r>
      <w:r>
        <w:rPr>
          <w:spacing w:val="-2"/>
          <w:vertAlign w:val="baseline"/>
        </w:rPr>
        <w:t> </w:t>
      </w:r>
      <w:r>
        <w:rPr>
          <w:vertAlign w:val="baseline"/>
        </w:rPr>
        <w:t>party</w:t>
      </w:r>
      <w:r>
        <w:rPr>
          <w:spacing w:val="-2"/>
          <w:vertAlign w:val="baseline"/>
        </w:rPr>
        <w:t> </w:t>
      </w:r>
      <w:r>
        <w:rPr>
          <w:vertAlign w:val="baseline"/>
        </w:rPr>
        <w:t>who</w:t>
      </w:r>
      <w:r>
        <w:rPr>
          <w:spacing w:val="-2"/>
          <w:vertAlign w:val="baseline"/>
        </w:rPr>
        <w:t> </w:t>
      </w:r>
      <w:r>
        <w:rPr>
          <w:vertAlign w:val="baseline"/>
        </w:rPr>
        <w:t>has</w:t>
      </w:r>
      <w:r>
        <w:rPr>
          <w:spacing w:val="-2"/>
          <w:vertAlign w:val="baseline"/>
        </w:rPr>
        <w:t> </w:t>
      </w:r>
      <w:r>
        <w:rPr>
          <w:vertAlign w:val="baseline"/>
        </w:rPr>
        <w:t>been induced to enter a contract by fraud and who seeks damages need not show that, had he known the truth, he would not have entered the transaction. He need only show that he was induced to enter the contract by a material misrepresentation and the loss that flowed from entering it. Where the misrepresentee claims to rescind the contract, it is irrelevant that he might have entered a contract </w:t>
      </w:r>
      <w:bookmarkStart w:name="_bookmark526" w:id="528"/>
      <w:bookmarkEnd w:id="528"/>
      <w:r>
        <w:rPr>
          <w:vertAlign w:val="baseline"/>
        </w:rPr>
        <w:t>with</w:t>
      </w:r>
      <w:r>
        <w:rPr>
          <w:vertAlign w:val="baseline"/>
        </w:rPr>
        <w:t> the misrepresentor even if the fraudulent misrepresentation had not been made: it need only</w:t>
      </w:r>
      <w:r>
        <w:rPr>
          <w:spacing w:val="40"/>
          <w:vertAlign w:val="baseline"/>
        </w:rPr>
        <w:t> </w:t>
      </w:r>
      <w:r>
        <w:rPr>
          <w:vertAlign w:val="baseline"/>
        </w:rPr>
        <w:t>have been one of the factors which influenced him. </w:t>
      </w:r>
      <w:r>
        <w:rPr>
          <w:color w:val="005DA1"/>
          <w:u w:val="single" w:color="005DA1"/>
          <w:vertAlign w:val="superscript"/>
        </w:rPr>
        <w:t>312</w:t>
      </w:r>
      <w:r>
        <w:rPr>
          <w:color w:val="005DA1"/>
          <w:vertAlign w:val="baseline"/>
        </w:rPr>
        <w:t> </w:t>
      </w:r>
      <w:r>
        <w:rPr>
          <w:vertAlign w:val="baseline"/>
        </w:rPr>
        <w:t>But what the misrepresentee would have done will normally be relevant to a claim for damages, since he must show a causal connection between</w:t>
      </w:r>
      <w:r>
        <w:rPr>
          <w:spacing w:val="40"/>
          <w:vertAlign w:val="baseline"/>
        </w:rPr>
        <w:t> </w:t>
      </w:r>
      <w:r>
        <w:rPr>
          <w:vertAlign w:val="baseline"/>
        </w:rPr>
        <w:t>the misrepresentation and the loss claimed; and if it is shown that he would have entered another losing transaction, this should be taken into account. This is certainly the case when the claim is one for negligence. In </w:t>
      </w:r>
      <w:r>
        <w:rPr>
          <w:rFonts w:ascii="Arial" w:hAnsi="Arial"/>
          <w:i/>
          <w:vertAlign w:val="baseline"/>
        </w:rPr>
        <w:t>South Australia Asset Management Corp v York Montague Ltd </w:t>
      </w:r>
      <w:r>
        <w:rPr>
          <w:vertAlign w:val="baseline"/>
        </w:rPr>
        <w:t>Lord Hoffmann pointed out that it might be shown that, had the valuer not been negligent, the lender would have lent </w:t>
      </w:r>
      <w:bookmarkStart w:name="_bookmark527" w:id="529"/>
      <w:bookmarkEnd w:id="529"/>
      <w:r>
        <w:rPr>
          <w:vertAlign w:val="baseline"/>
        </w:rPr>
        <w:t>a</w:t>
      </w:r>
      <w:r>
        <w:rPr>
          <w:vertAlign w:val="baseline"/>
        </w:rPr>
        <w:t> lesser amount to the same borrower on the same security, or “would have used his money in some altogether different, but equally disastrous venture”. </w:t>
      </w:r>
      <w:r>
        <w:rPr>
          <w:color w:val="005DA1"/>
          <w:u w:val="single" w:color="005DA1"/>
          <w:vertAlign w:val="superscript"/>
        </w:rPr>
        <w:t>313</w:t>
      </w:r>
      <w:r>
        <w:rPr>
          <w:color w:val="005DA1"/>
          <w:vertAlign w:val="baseline"/>
        </w:rPr>
        <w:t> </w:t>
      </w:r>
      <w:r>
        <w:rPr>
          <w:vertAlign w:val="baseline"/>
        </w:rPr>
        <w:t>The same rule should apply in cases of fraud, </w:t>
      </w:r>
      <w:bookmarkStart w:name="_bookmark528" w:id="530"/>
      <w:bookmarkEnd w:id="530"/>
      <w:r>
        <w:rPr>
          <w:vertAlign w:val="baseline"/>
        </w:rPr>
        <w:t>even</w:t>
      </w:r>
      <w:r>
        <w:rPr>
          <w:vertAlign w:val="baseline"/>
        </w:rPr>
        <w:t> though, according to Lord Steyn’s speech in the </w:t>
      </w:r>
      <w:r>
        <w:rPr>
          <w:rFonts w:ascii="Arial" w:hAnsi="Arial"/>
          <w:i/>
          <w:vertAlign w:val="baseline"/>
        </w:rPr>
        <w:t>Smith New Court Securities </w:t>
      </w:r>
      <w:r>
        <w:rPr>
          <w:vertAlign w:val="baseline"/>
        </w:rPr>
        <w:t>case, the rules of causation are applied differently </w:t>
      </w:r>
      <w:r>
        <w:rPr>
          <w:color w:val="005DA1"/>
          <w:u w:val="single" w:color="005DA1"/>
          <w:vertAlign w:val="superscript"/>
        </w:rPr>
        <w:t>314</w:t>
      </w:r>
      <w:r>
        <w:rPr>
          <w:color w:val="005DA1"/>
          <w:vertAlign w:val="baseline"/>
        </w:rPr>
        <w:t> </w:t>
      </w:r>
      <w:r>
        <w:rPr>
          <w:vertAlign w:val="baseline"/>
        </w:rPr>
        <w:t>and:</w:t>
      </w:r>
    </w:p>
    <w:p>
      <w:pPr>
        <w:pStyle w:val="BodyText"/>
      </w:pPr>
    </w:p>
    <w:p>
      <w:pPr>
        <w:pStyle w:val="BodyText"/>
        <w:spacing w:before="120"/>
      </w:pPr>
    </w:p>
    <w:p>
      <w:pPr>
        <w:pStyle w:val="BodyText"/>
        <w:spacing w:line="235" w:lineRule="auto"/>
        <w:ind w:left="1245"/>
      </w:pPr>
      <w:bookmarkStart w:name="_bookmark529" w:id="531"/>
      <w:bookmarkEnd w:id="531"/>
      <w:r>
        <w:rPr/>
      </w:r>
      <w:r>
        <w:rPr/>
        <w:t>“…</w:t>
      </w:r>
      <w:r>
        <w:rPr>
          <w:spacing w:val="18"/>
        </w:rPr>
        <w:t> </w:t>
      </w:r>
      <w:r>
        <w:rPr/>
        <w:t>it</w:t>
      </w:r>
      <w:r>
        <w:rPr>
          <w:spacing w:val="18"/>
        </w:rPr>
        <w:t> </w:t>
      </w:r>
      <w:r>
        <w:rPr/>
        <w:t>is</w:t>
      </w:r>
      <w:r>
        <w:rPr>
          <w:spacing w:val="18"/>
        </w:rPr>
        <w:t> </w:t>
      </w:r>
      <w:r>
        <w:rPr/>
        <w:t>not</w:t>
      </w:r>
      <w:r>
        <w:rPr>
          <w:spacing w:val="18"/>
        </w:rPr>
        <w:t> </w:t>
      </w:r>
      <w:r>
        <w:rPr/>
        <w:t>necessary</w:t>
      </w:r>
      <w:r>
        <w:rPr>
          <w:spacing w:val="18"/>
        </w:rPr>
        <w:t> </w:t>
      </w:r>
      <w:r>
        <w:rPr/>
        <w:t>for</w:t>
      </w:r>
      <w:r>
        <w:rPr>
          <w:spacing w:val="18"/>
        </w:rPr>
        <w:t> </w:t>
      </w:r>
      <w:r>
        <w:rPr/>
        <w:t>the</w:t>
      </w:r>
      <w:r>
        <w:rPr>
          <w:spacing w:val="18"/>
        </w:rPr>
        <w:t> </w:t>
      </w:r>
      <w:r>
        <w:rPr/>
        <w:t>judge</w:t>
      </w:r>
      <w:r>
        <w:rPr>
          <w:spacing w:val="18"/>
        </w:rPr>
        <w:t> </w:t>
      </w:r>
      <w:r>
        <w:rPr/>
        <w:t>to</w:t>
      </w:r>
      <w:r>
        <w:rPr>
          <w:spacing w:val="18"/>
        </w:rPr>
        <w:t> </w:t>
      </w:r>
      <w:r>
        <w:rPr/>
        <w:t>embark</w:t>
      </w:r>
      <w:r>
        <w:rPr>
          <w:spacing w:val="18"/>
        </w:rPr>
        <w:t> </w:t>
      </w:r>
      <w:r>
        <w:rPr/>
        <w:t>on</w:t>
      </w:r>
      <w:r>
        <w:rPr>
          <w:spacing w:val="18"/>
        </w:rPr>
        <w:t> </w:t>
      </w:r>
      <w:r>
        <w:rPr/>
        <w:t>a</w:t>
      </w:r>
      <w:r>
        <w:rPr>
          <w:spacing w:val="18"/>
        </w:rPr>
        <w:t> </w:t>
      </w:r>
      <w:r>
        <w:rPr/>
        <w:t>hypothetical</w:t>
      </w:r>
      <w:r>
        <w:rPr>
          <w:spacing w:val="18"/>
        </w:rPr>
        <w:t> </w:t>
      </w:r>
      <w:r>
        <w:rPr/>
        <w:t>reconstruction</w:t>
      </w:r>
      <w:r>
        <w:rPr>
          <w:spacing w:val="18"/>
        </w:rPr>
        <w:t> </w:t>
      </w:r>
      <w:r>
        <w:rPr/>
        <w:t>of</w:t>
      </w:r>
      <w:r>
        <w:rPr>
          <w:spacing w:val="18"/>
        </w:rPr>
        <w:t> </w:t>
      </w:r>
      <w:r>
        <w:rPr/>
        <w:t>what the parties would have agreed had the deceit not occurred.” </w:t>
      </w:r>
      <w:r>
        <w:rPr>
          <w:color w:val="005DA1"/>
          <w:u w:val="single" w:color="005DA1"/>
          <w:vertAlign w:val="superscript"/>
        </w:rPr>
        <w:t>315</w:t>
      </w:r>
    </w:p>
    <w:p>
      <w:pPr>
        <w:pStyle w:val="BodyText"/>
        <w:spacing w:after="0" w:line="235" w:lineRule="auto"/>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bookmarkStart w:name="_bookmark530" w:id="532"/>
      <w:bookmarkEnd w:id="532"/>
      <w:r>
        <w:rPr/>
      </w:r>
      <w:bookmarkStart w:name="_bookmark531" w:id="533"/>
      <w:bookmarkEnd w:id="533"/>
      <w:r>
        <w:rPr/>
      </w:r>
      <w:r>
        <w:rPr/>
        <w:t>In </w:t>
      </w:r>
      <w:r>
        <w:rPr>
          <w:rFonts w:ascii="Arial" w:hAnsi="Arial"/>
          <w:i/>
        </w:rPr>
        <w:t>Yam Seng Pte Ltd v International Trade Corp Ltd </w:t>
      </w:r>
      <w:r>
        <w:rPr>
          <w:color w:val="005DA1"/>
          <w:u w:val="single" w:color="005DA1"/>
          <w:vertAlign w:val="superscript"/>
        </w:rPr>
        <w:t>316</w:t>
      </w:r>
      <w:r>
        <w:rPr>
          <w:color w:val="005DA1"/>
          <w:vertAlign w:val="baseline"/>
        </w:rPr>
        <w:t> </w:t>
      </w:r>
      <w:r>
        <w:rPr>
          <w:vertAlign w:val="baseline"/>
        </w:rPr>
        <w:t>Leggatt J. held that although there is </w:t>
      </w:r>
      <w:r>
        <w:rPr>
          <w:vertAlign w:val="baseline"/>
        </w:rPr>
        <w:t>some authority</w:t>
      </w:r>
      <w:r>
        <w:rPr>
          <w:spacing w:val="-3"/>
          <w:vertAlign w:val="baseline"/>
        </w:rPr>
        <w:t> </w:t>
      </w:r>
      <w:r>
        <w:rPr>
          <w:color w:val="005DA1"/>
          <w:u w:val="single" w:color="005DA1"/>
          <w:vertAlign w:val="superscript"/>
        </w:rPr>
        <w:t>317</w:t>
      </w:r>
      <w:r>
        <w:rPr>
          <w:color w:val="005DA1"/>
          <w:spacing w:val="-3"/>
          <w:vertAlign w:val="baseline"/>
        </w:rPr>
        <w:t> </w:t>
      </w:r>
      <w:r>
        <w:rPr>
          <w:vertAlign w:val="baseline"/>
        </w:rPr>
        <w:t>for</w:t>
      </w:r>
      <w:r>
        <w:rPr>
          <w:spacing w:val="-3"/>
          <w:vertAlign w:val="baseline"/>
        </w:rPr>
        <w:t> </w:t>
      </w:r>
      <w:r>
        <w:rPr>
          <w:vertAlign w:val="baseline"/>
        </w:rPr>
        <w:t>ignoring</w:t>
      </w:r>
      <w:r>
        <w:rPr>
          <w:spacing w:val="-3"/>
          <w:vertAlign w:val="baseline"/>
        </w:rPr>
        <w:t> </w:t>
      </w:r>
      <w:r>
        <w:rPr>
          <w:vertAlign w:val="baseline"/>
        </w:rPr>
        <w:t>the</w:t>
      </w:r>
      <w:r>
        <w:rPr>
          <w:spacing w:val="-3"/>
          <w:vertAlign w:val="baseline"/>
        </w:rPr>
        <w:t> </w:t>
      </w:r>
      <w:r>
        <w:rPr>
          <w:vertAlign w:val="baseline"/>
        </w:rPr>
        <w:t>fact</w:t>
      </w:r>
      <w:r>
        <w:rPr>
          <w:spacing w:val="-3"/>
          <w:vertAlign w:val="baseline"/>
        </w:rPr>
        <w:t> </w:t>
      </w:r>
      <w:r>
        <w:rPr>
          <w:vertAlign w:val="baseline"/>
        </w:rPr>
        <w:t>that,</w:t>
      </w:r>
      <w:r>
        <w:rPr>
          <w:spacing w:val="-3"/>
          <w:vertAlign w:val="baseline"/>
        </w:rPr>
        <w:t> </w:t>
      </w:r>
      <w:r>
        <w:rPr>
          <w:vertAlign w:val="baseline"/>
        </w:rPr>
        <w:t>but</w:t>
      </w:r>
      <w:r>
        <w:rPr>
          <w:spacing w:val="-3"/>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fraudulent</w:t>
      </w:r>
      <w:r>
        <w:rPr>
          <w:spacing w:val="-3"/>
          <w:vertAlign w:val="baseline"/>
        </w:rPr>
        <w:t> </w:t>
      </w:r>
      <w:r>
        <w:rPr>
          <w:vertAlign w:val="baseline"/>
        </w:rPr>
        <w:t>misrepresentation,</w:t>
      </w:r>
      <w:r>
        <w:rPr>
          <w:spacing w:val="-3"/>
          <w:vertAlign w:val="baseline"/>
        </w:rPr>
        <w:t> </w:t>
      </w:r>
      <w:r>
        <w:rPr>
          <w:vertAlign w:val="baseline"/>
        </w:rPr>
        <w:t>the</w:t>
      </w:r>
      <w:r>
        <w:rPr>
          <w:spacing w:val="-3"/>
          <w:vertAlign w:val="baseline"/>
        </w:rPr>
        <w:t> </w:t>
      </w:r>
      <w:r>
        <w:rPr>
          <w:vertAlign w:val="baseline"/>
        </w:rPr>
        <w:t>claimant</w:t>
      </w:r>
      <w:r>
        <w:rPr>
          <w:spacing w:val="-3"/>
          <w:vertAlign w:val="baseline"/>
        </w:rPr>
        <w:t> </w:t>
      </w:r>
      <w:r>
        <w:rPr>
          <w:vertAlign w:val="baseline"/>
        </w:rPr>
        <w:t>might</w:t>
      </w:r>
      <w:r>
        <w:rPr>
          <w:spacing w:val="-3"/>
          <w:vertAlign w:val="baseline"/>
        </w:rPr>
        <w:t> </w:t>
      </w:r>
      <w:r>
        <w:rPr>
          <w:vertAlign w:val="baseline"/>
        </w:rPr>
        <w:t>have </w:t>
      </w:r>
      <w:bookmarkStart w:name="_bookmark532" w:id="534"/>
      <w:bookmarkEnd w:id="534"/>
      <w:r>
        <w:rPr>
          <w:vertAlign w:val="baseline"/>
        </w:rPr>
        <w:t>entered</w:t>
      </w:r>
      <w:r>
        <w:rPr>
          <w:vertAlign w:val="baseline"/>
        </w:rPr>
        <w:t> another losing transaction, such a rule would be logically indefensible when profits that the claimant might have made are to be taken into account in assessing damages for fraud. </w:t>
      </w:r>
      <w:r>
        <w:rPr>
          <w:color w:val="005DA1"/>
          <w:u w:val="single" w:color="005DA1"/>
          <w:vertAlign w:val="superscript"/>
        </w:rPr>
        <w:t>318</w:t>
      </w:r>
      <w:r>
        <w:rPr>
          <w:color w:val="005DA1"/>
          <w:vertAlign w:val="baseline"/>
        </w:rPr>
        <w:t> </w:t>
      </w:r>
      <w:r>
        <w:rPr>
          <w:vertAlign w:val="baseline"/>
        </w:rPr>
        <w:t>Lord Steyn’s statement quoted above was referring to a different issue, whether the court should consider what</w:t>
      </w:r>
      <w:r>
        <w:rPr>
          <w:spacing w:val="-1"/>
          <w:vertAlign w:val="baseline"/>
        </w:rPr>
        <w:t> </w:t>
      </w:r>
      <w:r>
        <w:rPr>
          <w:vertAlign w:val="baseline"/>
        </w:rPr>
        <w:t>the</w:t>
      </w:r>
      <w:r>
        <w:rPr>
          <w:spacing w:val="-1"/>
          <w:vertAlign w:val="baseline"/>
        </w:rPr>
        <w:t> </w:t>
      </w:r>
      <w:r>
        <w:rPr>
          <w:vertAlign w:val="baseline"/>
        </w:rPr>
        <w:t>claimant</w:t>
      </w:r>
      <w:r>
        <w:rPr>
          <w:spacing w:val="-1"/>
          <w:vertAlign w:val="baseline"/>
        </w:rPr>
        <w:t> </w:t>
      </w:r>
      <w:r>
        <w:rPr>
          <w:vertAlign w:val="baseline"/>
        </w:rPr>
        <w:t>might</w:t>
      </w:r>
      <w:r>
        <w:rPr>
          <w:spacing w:val="-1"/>
          <w:vertAlign w:val="baseline"/>
        </w:rPr>
        <w:t> </w:t>
      </w:r>
      <w:r>
        <w:rPr>
          <w:vertAlign w:val="baseline"/>
        </w:rPr>
        <w:t>have</w:t>
      </w:r>
      <w:r>
        <w:rPr>
          <w:spacing w:val="-1"/>
          <w:vertAlign w:val="baseline"/>
        </w:rPr>
        <w:t> </w:t>
      </w:r>
      <w:r>
        <w:rPr>
          <w:vertAlign w:val="baseline"/>
        </w:rPr>
        <w:t>done</w:t>
      </w:r>
      <w:r>
        <w:rPr>
          <w:spacing w:val="-1"/>
          <w:vertAlign w:val="baseline"/>
        </w:rPr>
        <w:t> </w:t>
      </w:r>
      <w:r>
        <w:rPr>
          <w:vertAlign w:val="baseline"/>
        </w:rPr>
        <w:t>had</w:t>
      </w:r>
      <w:r>
        <w:rPr>
          <w:spacing w:val="-1"/>
          <w:vertAlign w:val="baseline"/>
        </w:rPr>
        <w:t> </w:t>
      </w:r>
      <w:r>
        <w:rPr>
          <w:vertAlign w:val="baseline"/>
        </w:rPr>
        <w:t>the</w:t>
      </w:r>
      <w:r>
        <w:rPr>
          <w:spacing w:val="-1"/>
          <w:vertAlign w:val="baseline"/>
        </w:rPr>
        <w:t> </w:t>
      </w:r>
      <w:r>
        <w:rPr>
          <w:vertAlign w:val="baseline"/>
        </w:rPr>
        <w:t>statement</w:t>
      </w:r>
      <w:r>
        <w:rPr>
          <w:spacing w:val="-1"/>
          <w:vertAlign w:val="baseline"/>
        </w:rPr>
        <w:t> </w:t>
      </w:r>
      <w:r>
        <w:rPr>
          <w:vertAlign w:val="baseline"/>
        </w:rPr>
        <w:t>been</w:t>
      </w:r>
      <w:r>
        <w:rPr>
          <w:spacing w:val="-1"/>
          <w:vertAlign w:val="baseline"/>
        </w:rPr>
        <w:t> </w:t>
      </w:r>
      <w:r>
        <w:rPr>
          <w:vertAlign w:val="baseline"/>
        </w:rPr>
        <w:t>true.</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therefore</w:t>
      </w:r>
      <w:r>
        <w:rPr>
          <w:spacing w:val="-1"/>
          <w:vertAlign w:val="baseline"/>
        </w:rPr>
        <w:t> </w:t>
      </w:r>
      <w:r>
        <w:rPr>
          <w:vertAlign w:val="baseline"/>
        </w:rPr>
        <w:t>open</w:t>
      </w:r>
      <w:r>
        <w:rPr>
          <w:spacing w:val="-1"/>
          <w:vertAlign w:val="baseline"/>
        </w:rPr>
        <w:t> </w:t>
      </w:r>
      <w:r>
        <w:rPr>
          <w:vertAlign w:val="baseline"/>
        </w:rPr>
        <w:t>to</w:t>
      </w:r>
      <w:r>
        <w:rPr>
          <w:spacing w:val="-1"/>
          <w:vertAlign w:val="baseline"/>
        </w:rPr>
        <w:t> </w:t>
      </w:r>
      <w:r>
        <w:rPr>
          <w:vertAlign w:val="baseline"/>
        </w:rPr>
        <w:t>a</w:t>
      </w:r>
      <w:r>
        <w:rPr>
          <w:spacing w:val="-1"/>
          <w:vertAlign w:val="baseline"/>
        </w:rPr>
        <w:t> </w:t>
      </w:r>
      <w:r>
        <w:rPr>
          <w:vertAlign w:val="baseline"/>
        </w:rPr>
        <w:t>defendant</w:t>
      </w:r>
      <w:r>
        <w:rPr>
          <w:spacing w:val="-1"/>
          <w:vertAlign w:val="baseline"/>
        </w:rPr>
        <w:t> </w:t>
      </w:r>
      <w:r>
        <w:rPr>
          <w:vertAlign w:val="baseline"/>
        </w:rPr>
        <w:t>to show that, had the representation not been made, the claimant would have entered another losing transaction. The evidential burden will be on the defendant, and in seeking to discharge this burden, the defendant (unlike the claimant) does not have the benefit of the principle that if the financial outcome of the alternative transaction is uncertain the court will make reasonable assumptions in its </w:t>
      </w:r>
      <w:bookmarkStart w:name="_bookmark533" w:id="535"/>
      <w:bookmarkEnd w:id="535"/>
      <w:r>
        <w:rPr>
          <w:vertAlign w:val="baseline"/>
        </w:rPr>
        <w:t>favour</w:t>
      </w:r>
      <w:r>
        <w:rPr>
          <w:vertAlign w:val="baseline"/>
        </w:rPr>
        <w:t> (for example by allowing damages to be calculated on a loss of a chance basis) to assist in the proof of loss. </w:t>
      </w:r>
      <w:r>
        <w:rPr>
          <w:color w:val="005DA1"/>
          <w:u w:val="single" w:color="005DA1"/>
          <w:vertAlign w:val="superscript"/>
        </w:rPr>
        <w:t>319</w:t>
      </w:r>
    </w:p>
    <w:p>
      <w:pPr>
        <w:pStyle w:val="BodyText"/>
      </w:pPr>
    </w:p>
    <w:p>
      <w:pPr>
        <w:pStyle w:val="BodyText"/>
        <w:spacing w:before="34"/>
      </w:pPr>
    </w:p>
    <w:p>
      <w:pPr>
        <w:spacing w:before="0"/>
        <w:ind w:left="165" w:right="0" w:firstLine="0"/>
        <w:jc w:val="left"/>
        <w:rPr>
          <w:rFonts w:ascii="Arial"/>
          <w:b/>
          <w:sz w:val="18"/>
        </w:rPr>
      </w:pPr>
      <w:r>
        <w:rPr>
          <w:rFonts w:ascii="Arial"/>
          <w:b/>
          <w:spacing w:val="-2"/>
          <w:sz w:val="18"/>
        </w:rPr>
        <w:t>Mitigation</w:t>
      </w:r>
    </w:p>
    <w:p>
      <w:pPr>
        <w:pStyle w:val="BodyText"/>
        <w:spacing w:before="41"/>
        <w:rPr>
          <w:rFonts w:ascii="Arial"/>
          <w:b/>
          <w:sz w:val="18"/>
        </w:rPr>
      </w:pPr>
    </w:p>
    <w:p>
      <w:pPr>
        <w:pStyle w:val="Heading2"/>
      </w:pPr>
      <w:r>
        <w:rPr/>
        <w:t>7-</w:t>
      </w:r>
      <w:r>
        <w:rPr>
          <w:spacing w:val="-5"/>
        </w:rPr>
        <w:t>067</w:t>
      </w:r>
    </w:p>
    <w:p>
      <w:pPr>
        <w:pStyle w:val="BodyText"/>
        <w:spacing w:line="235" w:lineRule="auto" w:before="203"/>
        <w:ind w:left="165" w:right="167"/>
        <w:jc w:val="both"/>
      </w:pPr>
      <w:bookmarkStart w:name="_bookmark534" w:id="536"/>
      <w:bookmarkEnd w:id="536"/>
      <w:r>
        <w:rPr/>
      </w:r>
      <w:r>
        <w:rPr/>
        <w:t>Finally it should be noted that Lord Browne-Wilkinson’s final proposition is that once the fraud is discovered, the plaintiff must take all reasonable steps to mitigate his loss. </w:t>
      </w:r>
      <w:r>
        <w:rPr>
          <w:color w:val="005DA1"/>
          <w:u w:val="single" w:color="005DA1"/>
          <w:vertAlign w:val="superscript"/>
        </w:rPr>
        <w:t>320</w:t>
      </w:r>
    </w:p>
    <w:p>
      <w:pPr>
        <w:pStyle w:val="BodyText"/>
      </w:pPr>
    </w:p>
    <w:p>
      <w:pPr>
        <w:pStyle w:val="BodyText"/>
        <w:spacing w:before="37"/>
      </w:pPr>
    </w:p>
    <w:p>
      <w:pPr>
        <w:spacing w:before="1"/>
        <w:ind w:left="165" w:right="0" w:firstLine="0"/>
        <w:jc w:val="left"/>
        <w:rPr>
          <w:rFonts w:ascii="Arial"/>
          <w:b/>
          <w:sz w:val="18"/>
        </w:rPr>
      </w:pPr>
      <w:r>
        <w:rPr>
          <w:rFonts w:ascii="Arial"/>
          <w:b/>
          <w:sz w:val="18"/>
        </w:rPr>
        <w:t>Damages for non-pecuniary </w:t>
      </w:r>
      <w:r>
        <w:rPr>
          <w:rFonts w:ascii="Arial"/>
          <w:b/>
          <w:spacing w:val="-2"/>
          <w:sz w:val="18"/>
        </w:rPr>
        <w:t>losses</w:t>
      </w:r>
    </w:p>
    <w:p>
      <w:pPr>
        <w:pStyle w:val="BodyText"/>
        <w:spacing w:before="41"/>
        <w:rPr>
          <w:rFonts w:ascii="Arial"/>
          <w:b/>
          <w:sz w:val="18"/>
        </w:rPr>
      </w:pPr>
    </w:p>
    <w:p>
      <w:pPr>
        <w:pStyle w:val="Heading2"/>
      </w:pPr>
      <w:r>
        <w:rPr/>
        <w:t>7-</w:t>
      </w:r>
      <w:r>
        <w:rPr>
          <w:spacing w:val="-5"/>
        </w:rPr>
        <w:t>068</w:t>
      </w:r>
    </w:p>
    <w:p>
      <w:pPr>
        <w:pStyle w:val="BodyText"/>
        <w:spacing w:line="235" w:lineRule="auto" w:before="203"/>
        <w:ind w:left="165" w:right="168"/>
        <w:jc w:val="both"/>
      </w:pPr>
      <w:bookmarkStart w:name="_bookmark535" w:id="537"/>
      <w:bookmarkEnd w:id="537"/>
      <w:r>
        <w:rPr/>
      </w:r>
      <w:r>
        <w:rPr/>
        <w:t>Damages for worry and inconvenience </w:t>
      </w:r>
      <w:r>
        <w:rPr>
          <w:color w:val="005DA1"/>
          <w:u w:val="single" w:color="005DA1"/>
          <w:vertAlign w:val="superscript"/>
        </w:rPr>
        <w:t>321</w:t>
      </w:r>
      <w:r>
        <w:rPr>
          <w:color w:val="005DA1"/>
          <w:vertAlign w:val="baseline"/>
        </w:rPr>
        <w:t> </w:t>
      </w:r>
      <w:r>
        <w:rPr>
          <w:vertAlign w:val="baseline"/>
        </w:rPr>
        <w:t>and for mental and physical suffering </w:t>
      </w:r>
      <w:r>
        <w:rPr>
          <w:color w:val="005DA1"/>
          <w:u w:val="single" w:color="005DA1"/>
          <w:vertAlign w:val="superscript"/>
        </w:rPr>
        <w:t>322</w:t>
      </w:r>
      <w:r>
        <w:rPr>
          <w:color w:val="005DA1"/>
          <w:vertAlign w:val="baseline"/>
        </w:rPr>
        <w:t> </w:t>
      </w:r>
      <w:r>
        <w:rPr>
          <w:vertAlign w:val="baseline"/>
        </w:rPr>
        <w:t>have been awarded in actions based on fraud.</w:t>
      </w:r>
    </w:p>
    <w:p>
      <w:pPr>
        <w:pStyle w:val="BodyText"/>
      </w:pPr>
    </w:p>
    <w:p>
      <w:pPr>
        <w:pStyle w:val="BodyText"/>
        <w:spacing w:before="37"/>
      </w:pPr>
    </w:p>
    <w:p>
      <w:pPr>
        <w:spacing w:before="0"/>
        <w:ind w:left="165" w:right="0" w:firstLine="0"/>
        <w:jc w:val="left"/>
        <w:rPr>
          <w:rFonts w:ascii="Arial"/>
          <w:b/>
          <w:sz w:val="18"/>
        </w:rPr>
      </w:pPr>
      <w:r>
        <w:rPr>
          <w:rFonts w:ascii="Arial"/>
          <w:b/>
          <w:sz w:val="18"/>
        </w:rPr>
        <w:t>No account of </w:t>
      </w:r>
      <w:r>
        <w:rPr>
          <w:rFonts w:ascii="Arial"/>
          <w:b/>
          <w:spacing w:val="-2"/>
          <w:sz w:val="18"/>
        </w:rPr>
        <w:t>profits</w:t>
      </w:r>
    </w:p>
    <w:p>
      <w:pPr>
        <w:pStyle w:val="BodyText"/>
        <w:spacing w:before="42"/>
        <w:rPr>
          <w:rFonts w:ascii="Arial"/>
          <w:b/>
          <w:sz w:val="18"/>
        </w:rPr>
      </w:pPr>
    </w:p>
    <w:p>
      <w:pPr>
        <w:pStyle w:val="Heading2"/>
      </w:pPr>
      <w:r>
        <w:rPr/>
        <w:t>7-</w:t>
      </w:r>
      <w:r>
        <w:rPr>
          <w:spacing w:val="-5"/>
        </w:rPr>
        <w:t>069</w:t>
      </w:r>
    </w:p>
    <w:p>
      <w:pPr>
        <w:pStyle w:val="BodyText"/>
        <w:spacing w:line="235" w:lineRule="auto" w:before="202"/>
        <w:ind w:left="165" w:right="167"/>
        <w:jc w:val="both"/>
        <w:rPr>
          <w:rFonts w:ascii="Arial"/>
          <w:i/>
        </w:rPr>
      </w:pPr>
      <w:bookmarkStart w:name="_bookmark536" w:id="538"/>
      <w:bookmarkEnd w:id="538"/>
      <w:r>
        <w:rPr/>
      </w:r>
      <w:r>
        <w:rPr/>
        <w:t>The victim of fraud may not obtain an account of profits made by the fraudulent party, at least where the</w:t>
      </w:r>
      <w:r>
        <w:rPr>
          <w:spacing w:val="8"/>
        </w:rPr>
        <w:t> </w:t>
      </w:r>
      <w:r>
        <w:rPr/>
        <w:t>victim</w:t>
      </w:r>
      <w:r>
        <w:rPr>
          <w:spacing w:val="8"/>
        </w:rPr>
        <w:t> </w:t>
      </w:r>
      <w:r>
        <w:rPr/>
        <w:t>has</w:t>
      </w:r>
      <w:r>
        <w:rPr>
          <w:spacing w:val="8"/>
        </w:rPr>
        <w:t> </w:t>
      </w:r>
      <w:r>
        <w:rPr/>
        <w:t>affirmed</w:t>
      </w:r>
      <w:r>
        <w:rPr>
          <w:spacing w:val="8"/>
        </w:rPr>
        <w:t> </w:t>
      </w:r>
      <w:r>
        <w:rPr/>
        <w:t>the</w:t>
      </w:r>
      <w:r>
        <w:rPr>
          <w:spacing w:val="8"/>
        </w:rPr>
        <w:t> </w:t>
      </w:r>
      <w:r>
        <w:rPr/>
        <w:t>contract</w:t>
      </w:r>
      <w:r>
        <w:rPr>
          <w:spacing w:val="8"/>
        </w:rPr>
        <w:t> </w:t>
      </w:r>
      <w:r>
        <w:rPr/>
        <w:t>and</w:t>
      </w:r>
      <w:r>
        <w:rPr>
          <w:spacing w:val="8"/>
        </w:rPr>
        <w:t> </w:t>
      </w:r>
      <w:r>
        <w:rPr/>
        <w:t>has</w:t>
      </w:r>
      <w:r>
        <w:rPr>
          <w:spacing w:val="8"/>
        </w:rPr>
        <w:t> </w:t>
      </w:r>
      <w:r>
        <w:rPr/>
        <w:t>suffered</w:t>
      </w:r>
      <w:r>
        <w:rPr>
          <w:spacing w:val="8"/>
        </w:rPr>
        <w:t> </w:t>
      </w:r>
      <w:r>
        <w:rPr/>
        <w:t>no</w:t>
      </w:r>
      <w:r>
        <w:rPr>
          <w:spacing w:val="8"/>
        </w:rPr>
        <w:t> </w:t>
      </w:r>
      <w:r>
        <w:rPr/>
        <w:t>loss.</w:t>
      </w:r>
      <w:r>
        <w:rPr>
          <w:spacing w:val="7"/>
        </w:rPr>
        <w:t> </w:t>
      </w:r>
      <w:r>
        <w:rPr>
          <w:color w:val="005DA1"/>
          <w:u w:val="single" w:color="005DA1"/>
          <w:vertAlign w:val="superscript"/>
        </w:rPr>
        <w:t>323</w:t>
      </w:r>
      <w:r>
        <w:rPr>
          <w:color w:val="005DA1"/>
          <w:spacing w:val="9"/>
          <w:vertAlign w:val="baseline"/>
        </w:rPr>
        <w:t> </w:t>
      </w:r>
      <w:r>
        <w:rPr>
          <w:vertAlign w:val="baseline"/>
        </w:rPr>
        <w:t>The</w:t>
      </w:r>
      <w:r>
        <w:rPr>
          <w:spacing w:val="8"/>
          <w:vertAlign w:val="baseline"/>
        </w:rPr>
        <w:t> </w:t>
      </w:r>
      <w:r>
        <w:rPr>
          <w:vertAlign w:val="baseline"/>
        </w:rPr>
        <w:t>House</w:t>
      </w:r>
      <w:r>
        <w:rPr>
          <w:spacing w:val="8"/>
          <w:vertAlign w:val="baseline"/>
        </w:rPr>
        <w:t> </w:t>
      </w:r>
      <w:r>
        <w:rPr>
          <w:vertAlign w:val="baseline"/>
        </w:rPr>
        <w:t>of</w:t>
      </w:r>
      <w:r>
        <w:rPr>
          <w:spacing w:val="8"/>
          <w:vertAlign w:val="baseline"/>
        </w:rPr>
        <w:t> </w:t>
      </w:r>
      <w:r>
        <w:rPr>
          <w:vertAlign w:val="baseline"/>
        </w:rPr>
        <w:t>Lords</w:t>
      </w:r>
      <w:r>
        <w:rPr>
          <w:spacing w:val="8"/>
          <w:vertAlign w:val="baseline"/>
        </w:rPr>
        <w:t> </w:t>
      </w:r>
      <w:r>
        <w:rPr>
          <w:vertAlign w:val="baseline"/>
        </w:rPr>
        <w:t>in</w:t>
      </w:r>
      <w:r>
        <w:rPr>
          <w:spacing w:val="8"/>
          <w:vertAlign w:val="baseline"/>
        </w:rPr>
        <w:t> </w:t>
      </w:r>
      <w:r>
        <w:rPr>
          <w:rFonts w:ascii="Arial"/>
          <w:i/>
          <w:vertAlign w:val="baseline"/>
        </w:rPr>
        <w:t>A.G.</w:t>
      </w:r>
      <w:r>
        <w:rPr>
          <w:rFonts w:ascii="Arial"/>
          <w:i/>
          <w:spacing w:val="8"/>
          <w:vertAlign w:val="baseline"/>
        </w:rPr>
        <w:t> </w:t>
      </w:r>
      <w:r>
        <w:rPr>
          <w:rFonts w:ascii="Arial"/>
          <w:i/>
          <w:vertAlign w:val="baseline"/>
        </w:rPr>
        <w:t>v</w:t>
      </w:r>
      <w:r>
        <w:rPr>
          <w:rFonts w:ascii="Arial"/>
          <w:i/>
          <w:spacing w:val="8"/>
          <w:vertAlign w:val="baseline"/>
        </w:rPr>
        <w:t> </w:t>
      </w:r>
      <w:r>
        <w:rPr>
          <w:rFonts w:ascii="Arial"/>
          <w:i/>
          <w:spacing w:val="-4"/>
          <w:vertAlign w:val="baseline"/>
        </w:rPr>
        <w:t>Blake</w:t>
      </w:r>
    </w:p>
    <w:p>
      <w:pPr>
        <w:pStyle w:val="BodyText"/>
        <w:spacing w:line="235" w:lineRule="auto"/>
        <w:ind w:left="164" w:right="167"/>
        <w:jc w:val="both"/>
      </w:pPr>
      <w:r>
        <w:rPr>
          <w:color w:val="005DA1"/>
          <w:u w:val="single" w:color="005DA1"/>
          <w:vertAlign w:val="superscript"/>
        </w:rPr>
        <w:t>324</w:t>
      </w:r>
      <w:r>
        <w:rPr>
          <w:color w:val="005DA1"/>
          <w:vertAlign w:val="baseline"/>
        </w:rPr>
        <w:t> </w:t>
      </w:r>
      <w:r>
        <w:rPr>
          <w:vertAlign w:val="baseline"/>
        </w:rPr>
        <w:t>held that, in certain circumstances, the victim of a breach of contract may obtain an account of </w:t>
      </w:r>
      <w:r>
        <w:rPr>
          <w:vertAlign w:val="baseline"/>
        </w:rPr>
        <w:t>the profit</w:t>
      </w:r>
      <w:r>
        <w:rPr>
          <w:spacing w:val="-1"/>
          <w:vertAlign w:val="baseline"/>
        </w:rPr>
        <w:t> </w:t>
      </w:r>
      <w:r>
        <w:rPr>
          <w:vertAlign w:val="baseline"/>
        </w:rPr>
        <w:t>made</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other</w:t>
      </w:r>
      <w:r>
        <w:rPr>
          <w:spacing w:val="-1"/>
          <w:vertAlign w:val="baseline"/>
        </w:rPr>
        <w:t> </w:t>
      </w:r>
      <w:r>
        <w:rPr>
          <w:vertAlign w:val="baseline"/>
        </w:rPr>
        <w:t>party</w:t>
      </w:r>
      <w:r>
        <w:rPr>
          <w:spacing w:val="-1"/>
          <w:vertAlign w:val="baseline"/>
        </w:rPr>
        <w:t> </w:t>
      </w:r>
      <w:r>
        <w:rPr>
          <w:vertAlign w:val="baseline"/>
        </w:rPr>
        <w:t>through</w:t>
      </w:r>
      <w:r>
        <w:rPr>
          <w:spacing w:val="-1"/>
          <w:vertAlign w:val="baseline"/>
        </w:rPr>
        <w:t> </w:t>
      </w:r>
      <w:r>
        <w:rPr>
          <w:vertAlign w:val="baseline"/>
        </w:rPr>
        <w:t>his</w:t>
      </w:r>
      <w:r>
        <w:rPr>
          <w:spacing w:val="-1"/>
          <w:vertAlign w:val="baseline"/>
        </w:rPr>
        <w:t> </w:t>
      </w:r>
      <w:r>
        <w:rPr>
          <w:vertAlign w:val="baseline"/>
        </w:rPr>
        <w:t>breach.</w:t>
      </w:r>
      <w:r>
        <w:rPr>
          <w:spacing w:val="-1"/>
          <w:vertAlign w:val="baseline"/>
        </w:rPr>
        <w:t> </w:t>
      </w:r>
      <w:r>
        <w:rPr>
          <w:vertAlign w:val="baseline"/>
        </w:rPr>
        <w:t>This</w:t>
      </w:r>
      <w:r>
        <w:rPr>
          <w:spacing w:val="-1"/>
          <w:vertAlign w:val="baseline"/>
        </w:rPr>
        <w:t> </w:t>
      </w:r>
      <w:r>
        <w:rPr>
          <w:vertAlign w:val="baseline"/>
        </w:rPr>
        <w:t>is</w:t>
      </w:r>
      <w:r>
        <w:rPr>
          <w:spacing w:val="-1"/>
          <w:vertAlign w:val="baseline"/>
        </w:rPr>
        <w:t> </w:t>
      </w:r>
      <w:r>
        <w:rPr>
          <w:vertAlign w:val="baseline"/>
        </w:rPr>
        <w:t>undoubtedly</w:t>
      </w:r>
      <w:r>
        <w:rPr>
          <w:spacing w:val="-1"/>
          <w:vertAlign w:val="baseline"/>
        </w:rPr>
        <w:t> </w:t>
      </w:r>
      <w:r>
        <w:rPr>
          <w:vertAlign w:val="baseline"/>
        </w:rPr>
        <w:t>a</w:t>
      </w:r>
      <w:r>
        <w:rPr>
          <w:spacing w:val="-1"/>
          <w:vertAlign w:val="baseline"/>
        </w:rPr>
        <w:t> </w:t>
      </w:r>
      <w:r>
        <w:rPr>
          <w:vertAlign w:val="baseline"/>
        </w:rPr>
        <w:t>relaxation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rule</w:t>
      </w:r>
      <w:r>
        <w:rPr>
          <w:spacing w:val="-1"/>
          <w:vertAlign w:val="baseline"/>
        </w:rPr>
        <w:t> </w:t>
      </w:r>
      <w:r>
        <w:rPr>
          <w:vertAlign w:val="baseline"/>
        </w:rPr>
        <w:t>in</w:t>
      </w:r>
      <w:r>
        <w:rPr>
          <w:spacing w:val="-1"/>
          <w:vertAlign w:val="baseline"/>
        </w:rPr>
        <w:t> </w:t>
      </w:r>
      <w:r>
        <w:rPr>
          <w:vertAlign w:val="baseline"/>
        </w:rPr>
        <w:t>cases of</w:t>
      </w:r>
      <w:r>
        <w:rPr>
          <w:spacing w:val="-1"/>
          <w:vertAlign w:val="baseline"/>
        </w:rPr>
        <w:t> </w:t>
      </w:r>
      <w:r>
        <w:rPr>
          <w:vertAlign w:val="baseline"/>
        </w:rPr>
        <w:t>breach</w:t>
      </w:r>
      <w:r>
        <w:rPr>
          <w:spacing w:val="-1"/>
          <w:vertAlign w:val="baseline"/>
        </w:rPr>
        <w:t> </w:t>
      </w:r>
      <w:r>
        <w:rPr>
          <w:vertAlign w:val="baseline"/>
        </w:rPr>
        <w:t>of</w:t>
      </w:r>
      <w:r>
        <w:rPr>
          <w:spacing w:val="-1"/>
          <w:vertAlign w:val="baseline"/>
        </w:rPr>
        <w:t> </w:t>
      </w:r>
      <w:r>
        <w:rPr>
          <w:vertAlign w:val="baseline"/>
        </w:rPr>
        <w:t>contract</w:t>
      </w:r>
      <w:r>
        <w:rPr>
          <w:spacing w:val="-1"/>
          <w:vertAlign w:val="baseline"/>
        </w:rPr>
        <w:t> </w:t>
      </w:r>
      <w:r>
        <w:rPr>
          <w:vertAlign w:val="baseline"/>
        </w:rPr>
        <w:t>and</w:t>
      </w:r>
      <w:r>
        <w:rPr>
          <w:spacing w:val="-1"/>
          <w:vertAlign w:val="baseline"/>
        </w:rPr>
        <w:t> </w:t>
      </w:r>
      <w:r>
        <w:rPr>
          <w:vertAlign w:val="baseline"/>
        </w:rPr>
        <w:t>it</w:t>
      </w:r>
      <w:r>
        <w:rPr>
          <w:spacing w:val="-1"/>
          <w:vertAlign w:val="baseline"/>
        </w:rPr>
        <w:t> </w:t>
      </w:r>
      <w:r>
        <w:rPr>
          <w:vertAlign w:val="baseline"/>
        </w:rPr>
        <w:t>may</w:t>
      </w:r>
      <w:r>
        <w:rPr>
          <w:spacing w:val="-1"/>
          <w:vertAlign w:val="baseline"/>
        </w:rPr>
        <w:t> </w:t>
      </w:r>
      <w:r>
        <w:rPr>
          <w:vertAlign w:val="baseline"/>
        </w:rPr>
        <w:t>be</w:t>
      </w:r>
      <w:r>
        <w:rPr>
          <w:spacing w:val="-1"/>
          <w:vertAlign w:val="baseline"/>
        </w:rPr>
        <w:t> </w:t>
      </w:r>
      <w:r>
        <w:rPr>
          <w:vertAlign w:val="baseline"/>
        </w:rPr>
        <w:t>asked</w:t>
      </w:r>
      <w:r>
        <w:rPr>
          <w:spacing w:val="-1"/>
          <w:vertAlign w:val="baseline"/>
        </w:rPr>
        <w:t> </w:t>
      </w:r>
      <w:r>
        <w:rPr>
          <w:vertAlign w:val="baseline"/>
        </w:rPr>
        <w:t>whether</w:t>
      </w:r>
      <w:r>
        <w:rPr>
          <w:spacing w:val="-1"/>
          <w:vertAlign w:val="baseline"/>
        </w:rPr>
        <w:t> </w:t>
      </w:r>
      <w:r>
        <w:rPr>
          <w:vertAlign w:val="baseline"/>
        </w:rPr>
        <w:t>the</w:t>
      </w:r>
      <w:r>
        <w:rPr>
          <w:spacing w:val="-1"/>
          <w:vertAlign w:val="baseline"/>
        </w:rPr>
        <w:t> </w:t>
      </w:r>
      <w:r>
        <w:rPr>
          <w:vertAlign w:val="baseline"/>
        </w:rPr>
        <w:t>rule</w:t>
      </w:r>
      <w:r>
        <w:rPr>
          <w:spacing w:val="-1"/>
          <w:vertAlign w:val="baseline"/>
        </w:rPr>
        <w:t> </w:t>
      </w:r>
      <w:r>
        <w:rPr>
          <w:vertAlign w:val="baseline"/>
        </w:rPr>
        <w:t>that</w:t>
      </w:r>
      <w:r>
        <w:rPr>
          <w:spacing w:val="-1"/>
          <w:vertAlign w:val="baseline"/>
        </w:rPr>
        <w:t> </w:t>
      </w:r>
      <w:r>
        <w:rPr>
          <w:vertAlign w:val="baseline"/>
        </w:rPr>
        <w:t>an</w:t>
      </w:r>
      <w:r>
        <w:rPr>
          <w:spacing w:val="-1"/>
          <w:vertAlign w:val="baseline"/>
        </w:rPr>
        <w:t> </w:t>
      </w:r>
      <w:r>
        <w:rPr>
          <w:vertAlign w:val="baseline"/>
        </w:rPr>
        <w:t>account</w:t>
      </w:r>
      <w:r>
        <w:rPr>
          <w:spacing w:val="-1"/>
          <w:vertAlign w:val="baseline"/>
        </w:rPr>
        <w:t> </w:t>
      </w:r>
      <w:r>
        <w:rPr>
          <w:vertAlign w:val="baseline"/>
        </w:rPr>
        <w:t>of</w:t>
      </w:r>
      <w:r>
        <w:rPr>
          <w:spacing w:val="-1"/>
          <w:vertAlign w:val="baseline"/>
        </w:rPr>
        <w:t> </w:t>
      </w:r>
      <w:r>
        <w:rPr>
          <w:vertAlign w:val="baseline"/>
        </w:rPr>
        <w:t>profits</w:t>
      </w:r>
      <w:r>
        <w:rPr>
          <w:spacing w:val="-1"/>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available</w:t>
      </w:r>
      <w:r>
        <w:rPr>
          <w:spacing w:val="-1"/>
          <w:vertAlign w:val="baseline"/>
        </w:rPr>
        <w:t> </w:t>
      </w:r>
      <w:r>
        <w:rPr>
          <w:vertAlign w:val="baseline"/>
        </w:rPr>
        <w:t>in case of fraud will continue to be applied. However, the conditions which the House of Lords laid down for an account of profits in breach of contract cases—broadly, that the claimant has a legitimate interest in the promised performance which an award of damages will not satisfy because the breach will not necessarily cause a loss—are less likely to occur in cases of fraud, since damages for fraud</w:t>
      </w:r>
      <w:r>
        <w:rPr>
          <w:spacing w:val="40"/>
          <w:vertAlign w:val="baseline"/>
        </w:rPr>
        <w:t> </w:t>
      </w:r>
      <w:r>
        <w:rPr>
          <w:vertAlign w:val="baseline"/>
        </w:rPr>
        <w:t>by definition do not include the gain the claimant would have made (the “expectation”) had the </w:t>
      </w:r>
      <w:bookmarkStart w:name="_bookmark537" w:id="539"/>
      <w:bookmarkEnd w:id="539"/>
      <w:r>
        <w:rPr>
          <w:vertAlign w:val="baseline"/>
        </w:rPr>
        <w:t>statement</w:t>
      </w:r>
      <w:r>
        <w:rPr>
          <w:spacing w:val="-1"/>
          <w:vertAlign w:val="baseline"/>
        </w:rPr>
        <w:t> </w:t>
      </w:r>
      <w:r>
        <w:rPr>
          <w:vertAlign w:val="baseline"/>
        </w:rPr>
        <w:t>made</w:t>
      </w:r>
      <w:r>
        <w:rPr>
          <w:spacing w:val="-1"/>
          <w:vertAlign w:val="baseline"/>
        </w:rPr>
        <w:t> </w:t>
      </w:r>
      <w:r>
        <w:rPr>
          <w:vertAlign w:val="baseline"/>
        </w:rPr>
        <w:t>been</w:t>
      </w:r>
      <w:r>
        <w:rPr>
          <w:spacing w:val="-1"/>
          <w:vertAlign w:val="baseline"/>
        </w:rPr>
        <w:t> </w:t>
      </w:r>
      <w:r>
        <w:rPr>
          <w:vertAlign w:val="baseline"/>
        </w:rPr>
        <w:t>true.</w:t>
      </w:r>
      <w:r>
        <w:rPr>
          <w:spacing w:val="-1"/>
          <w:vertAlign w:val="baseline"/>
        </w:rPr>
        <w:t> </w:t>
      </w:r>
      <w:r>
        <w:rPr>
          <w:vertAlign w:val="baseline"/>
        </w:rPr>
        <w:t>Thus</w:t>
      </w:r>
      <w:r>
        <w:rPr>
          <w:spacing w:val="-1"/>
          <w:vertAlign w:val="baseline"/>
        </w:rPr>
        <w:t> </w:t>
      </w:r>
      <w:r>
        <w:rPr>
          <w:vertAlign w:val="baseline"/>
        </w:rPr>
        <w:t>the</w:t>
      </w:r>
      <w:r>
        <w:rPr>
          <w:spacing w:val="-1"/>
          <w:vertAlign w:val="baseline"/>
        </w:rPr>
        <w:t> </w:t>
      </w:r>
      <w:r>
        <w:rPr>
          <w:vertAlign w:val="baseline"/>
        </w:rPr>
        <w:t>claimant</w:t>
      </w:r>
      <w:r>
        <w:rPr>
          <w:spacing w:val="-1"/>
          <w:vertAlign w:val="baseline"/>
        </w:rPr>
        <w:t> </w:t>
      </w:r>
      <w:r>
        <w:rPr>
          <w:vertAlign w:val="baseline"/>
        </w:rPr>
        <w:t>is</w:t>
      </w:r>
      <w:r>
        <w:rPr>
          <w:spacing w:val="-1"/>
          <w:vertAlign w:val="baseline"/>
        </w:rPr>
        <w:t> </w:t>
      </w:r>
      <w:r>
        <w:rPr>
          <w:vertAlign w:val="baseline"/>
        </w:rPr>
        <w:t>entitled</w:t>
      </w:r>
      <w:r>
        <w:rPr>
          <w:spacing w:val="-1"/>
          <w:vertAlign w:val="baseline"/>
        </w:rPr>
        <w:t> </w:t>
      </w:r>
      <w:r>
        <w:rPr>
          <w:vertAlign w:val="baseline"/>
        </w:rPr>
        <w:t>only</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put</w:t>
      </w:r>
      <w:r>
        <w:rPr>
          <w:spacing w:val="-1"/>
          <w:vertAlign w:val="baseline"/>
        </w:rPr>
        <w:t> </w:t>
      </w:r>
      <w:r>
        <w:rPr>
          <w:vertAlign w:val="baseline"/>
        </w:rPr>
        <w:t>into</w:t>
      </w:r>
      <w:r>
        <w:rPr>
          <w:spacing w:val="-1"/>
          <w:vertAlign w:val="baseline"/>
        </w:rPr>
        <w:t> </w:t>
      </w:r>
      <w:r>
        <w:rPr>
          <w:vertAlign w:val="baseline"/>
        </w:rPr>
        <w:t>the</w:t>
      </w:r>
      <w:r>
        <w:rPr>
          <w:spacing w:val="-1"/>
          <w:vertAlign w:val="baseline"/>
        </w:rPr>
        <w:t> </w:t>
      </w:r>
      <w:r>
        <w:rPr>
          <w:vertAlign w:val="baseline"/>
        </w:rPr>
        <w:t>position</w:t>
      </w:r>
      <w:r>
        <w:rPr>
          <w:spacing w:val="-1"/>
          <w:vertAlign w:val="baseline"/>
        </w:rPr>
        <w:t> </w:t>
      </w:r>
      <w:r>
        <w:rPr>
          <w:vertAlign w:val="baseline"/>
        </w:rPr>
        <w:t>he</w:t>
      </w:r>
      <w:r>
        <w:rPr>
          <w:spacing w:val="-1"/>
          <w:vertAlign w:val="baseline"/>
        </w:rPr>
        <w:t> </w:t>
      </w:r>
      <w:r>
        <w:rPr>
          <w:vertAlign w:val="baseline"/>
        </w:rPr>
        <w:t>would</w:t>
      </w:r>
      <w:r>
        <w:rPr>
          <w:spacing w:val="-1"/>
          <w:vertAlign w:val="baseline"/>
        </w:rPr>
        <w:t> </w:t>
      </w:r>
      <w:r>
        <w:rPr>
          <w:vertAlign w:val="baseline"/>
        </w:rPr>
        <w:t>have been in had the misrepresentation not been made, </w:t>
      </w:r>
      <w:r>
        <w:rPr>
          <w:color w:val="005DA1"/>
          <w:u w:val="single" w:color="005DA1"/>
          <w:vertAlign w:val="superscript"/>
        </w:rPr>
        <w:t>325</w:t>
      </w:r>
      <w:r>
        <w:rPr>
          <w:color w:val="005DA1"/>
          <w:vertAlign w:val="baseline"/>
        </w:rPr>
        <w:t> </w:t>
      </w:r>
      <w:r>
        <w:rPr>
          <w:vertAlign w:val="baseline"/>
        </w:rPr>
        <w:t>and it is suggested that damages will normally be adequate for this purpose. To award the victim of a fraud an account of profit would be to allow</w:t>
      </w:r>
      <w:r>
        <w:rPr>
          <w:spacing w:val="80"/>
          <w:vertAlign w:val="baseline"/>
        </w:rPr>
        <w:t> </w:t>
      </w:r>
      <w:bookmarkStart w:name="_bookmark538" w:id="540"/>
      <w:bookmarkEnd w:id="540"/>
      <w:r>
        <w:rPr>
          <w:vertAlign w:val="baseline"/>
        </w:rPr>
        <w:t>him</w:t>
      </w:r>
      <w:r>
        <w:rPr>
          <w:vertAlign w:val="baseline"/>
        </w:rPr>
        <w:t> a fully restitutionary claim, and in </w:t>
      </w:r>
      <w:r>
        <w:rPr>
          <w:rFonts w:ascii="Arial" w:hAnsi="Arial"/>
          <w:i/>
          <w:vertAlign w:val="baseline"/>
        </w:rPr>
        <w:t>Halifax Building Society v Thomas </w:t>
      </w:r>
      <w:r>
        <w:rPr>
          <w:vertAlign w:val="baseline"/>
        </w:rPr>
        <w:t>that was held by the Court of Appeal not to be available. </w:t>
      </w:r>
      <w:r>
        <w:rPr>
          <w:color w:val="005DA1"/>
          <w:u w:val="single" w:color="005DA1"/>
          <w:vertAlign w:val="superscript"/>
        </w:rPr>
        <w:t>326</w:t>
      </w:r>
    </w:p>
    <w:p>
      <w:pPr>
        <w:pStyle w:val="BodyText"/>
      </w:pPr>
    </w:p>
    <w:p>
      <w:pPr>
        <w:pStyle w:val="BodyText"/>
        <w:spacing w:before="33"/>
      </w:pPr>
    </w:p>
    <w:p>
      <w:pPr>
        <w:spacing w:before="0"/>
        <w:ind w:left="165" w:right="0" w:firstLine="0"/>
        <w:jc w:val="left"/>
        <w:rPr>
          <w:rFonts w:ascii="Arial"/>
          <w:b/>
          <w:sz w:val="18"/>
        </w:rPr>
      </w:pPr>
      <w:r>
        <w:rPr>
          <w:rFonts w:ascii="Arial"/>
          <w:b/>
          <w:sz w:val="18"/>
        </w:rPr>
        <w:t>Exemplary </w:t>
      </w:r>
      <w:r>
        <w:rPr>
          <w:rFonts w:ascii="Arial"/>
          <w:b/>
          <w:spacing w:val="-2"/>
          <w:sz w:val="18"/>
        </w:rPr>
        <w:t>damages</w:t>
      </w:r>
    </w:p>
    <w:p>
      <w:pPr>
        <w:pStyle w:val="BodyText"/>
        <w:spacing w:before="42"/>
        <w:rPr>
          <w:rFonts w:ascii="Arial"/>
          <w:b/>
          <w:sz w:val="18"/>
        </w:rPr>
      </w:pPr>
    </w:p>
    <w:p>
      <w:pPr>
        <w:pStyle w:val="Heading2"/>
      </w:pPr>
      <w:r>
        <w:rPr/>
        <w:t>7-</w:t>
      </w:r>
      <w:r>
        <w:rPr>
          <w:spacing w:val="-5"/>
        </w:rPr>
        <w:t>070</w:t>
      </w:r>
    </w:p>
    <w:p>
      <w:pPr>
        <w:pStyle w:val="BodyText"/>
        <w:spacing w:line="235" w:lineRule="auto" w:before="202"/>
        <w:ind w:left="165" w:right="167"/>
        <w:jc w:val="both"/>
      </w:pPr>
      <w:bookmarkStart w:name="_bookmark539" w:id="541"/>
      <w:bookmarkEnd w:id="541"/>
      <w:r>
        <w:rPr/>
      </w:r>
      <w:r>
        <w:rPr/>
        <w:t>It is not yet wholly clear if exemplary damages can be awarded for fraud. </w:t>
      </w:r>
      <w:r>
        <w:rPr>
          <w:color w:val="005DA1"/>
          <w:u w:val="single" w:color="005DA1"/>
          <w:vertAlign w:val="superscript"/>
        </w:rPr>
        <w:t>327</w:t>
      </w:r>
      <w:r>
        <w:rPr>
          <w:color w:val="005DA1"/>
          <w:vertAlign w:val="baseline"/>
        </w:rPr>
        <w:t> </w:t>
      </w:r>
      <w:r>
        <w:rPr>
          <w:vertAlign w:val="baseline"/>
        </w:rPr>
        <w:t>Until recently it seemed </w:t>
      </w:r>
      <w:bookmarkStart w:name="_bookmark540" w:id="542"/>
      <w:bookmarkEnd w:id="542"/>
      <w:r>
        <w:rPr>
          <w:vertAlign w:val="baseline"/>
        </w:rPr>
        <w:t>very</w:t>
      </w:r>
      <w:r>
        <w:rPr>
          <w:vertAlign w:val="baseline"/>
        </w:rPr>
        <w:t> unlikely. Even if fraud could be brought within the first or second of Lord Devlin’s three</w:t>
      </w:r>
      <w:r>
        <w:rPr>
          <w:spacing w:val="80"/>
          <w:vertAlign w:val="baseline"/>
        </w:rPr>
        <w:t> </w:t>
      </w:r>
      <w:r>
        <w:rPr>
          <w:vertAlign w:val="baseline"/>
        </w:rPr>
        <w:t>categories in </w:t>
      </w:r>
      <w:r>
        <w:rPr>
          <w:rFonts w:ascii="Arial" w:hAnsi="Arial"/>
          <w:i/>
          <w:vertAlign w:val="baseline"/>
        </w:rPr>
        <w:t>Rookes v Barnard</w:t>
      </w:r>
      <w:r>
        <w:rPr>
          <w:vertAlign w:val="baseline"/>
        </w:rPr>
        <w:t>, </w:t>
      </w:r>
      <w:r>
        <w:rPr>
          <w:color w:val="005DA1"/>
          <w:u w:val="single" w:color="005DA1"/>
          <w:vertAlign w:val="superscript"/>
        </w:rPr>
        <w:t>328</w:t>
      </w:r>
      <w:r>
        <w:rPr>
          <w:color w:val="005DA1"/>
          <w:vertAlign w:val="baseline"/>
        </w:rPr>
        <w:t> </w:t>
      </w:r>
      <w:r>
        <w:rPr>
          <w:vertAlign w:val="baseline"/>
        </w:rPr>
        <w:t>namely, first, oppressive, arbitrary or unconstitutional action by</w:t>
      </w:r>
      <w:r>
        <w:rPr>
          <w:spacing w:val="40"/>
          <w:vertAlign w:val="baseline"/>
        </w:rPr>
        <w:t> </w:t>
      </w:r>
      <w:bookmarkStart w:name="_bookmark541" w:id="543"/>
      <w:bookmarkEnd w:id="543"/>
      <w:r>
        <w:rPr>
          <w:vertAlign w:val="baseline"/>
        </w:rPr>
        <w:t>the</w:t>
      </w:r>
      <w:r>
        <w:rPr>
          <w:spacing w:val="-1"/>
          <w:vertAlign w:val="baseline"/>
        </w:rPr>
        <w:t> </w:t>
      </w:r>
      <w:r>
        <w:rPr>
          <w:vertAlign w:val="baseline"/>
        </w:rPr>
        <w:t>servants</w:t>
      </w:r>
      <w:r>
        <w:rPr>
          <w:spacing w:val="-1"/>
          <w:vertAlign w:val="baseline"/>
        </w:rPr>
        <w:t> </w:t>
      </w:r>
      <w:r>
        <w:rPr>
          <w:vertAlign w:val="baseline"/>
        </w:rPr>
        <w:t>of</w:t>
      </w:r>
      <w:r>
        <w:rPr>
          <w:spacing w:val="-1"/>
          <w:vertAlign w:val="baseline"/>
        </w:rPr>
        <w:t> </w:t>
      </w:r>
      <w:r>
        <w:rPr>
          <w:vertAlign w:val="baseline"/>
        </w:rPr>
        <w:t>government</w:t>
      </w:r>
      <w:r>
        <w:rPr>
          <w:spacing w:val="-1"/>
          <w:vertAlign w:val="baseline"/>
        </w:rPr>
        <w:t> </w:t>
      </w:r>
      <w:r>
        <w:rPr>
          <w:vertAlign w:val="baseline"/>
        </w:rPr>
        <w:t>or,</w:t>
      </w:r>
      <w:r>
        <w:rPr>
          <w:spacing w:val="-1"/>
          <w:vertAlign w:val="baseline"/>
        </w:rPr>
        <w:t> </w:t>
      </w:r>
      <w:r>
        <w:rPr>
          <w:vertAlign w:val="baseline"/>
        </w:rPr>
        <w:t>secondly,</w:t>
      </w:r>
      <w:r>
        <w:rPr>
          <w:spacing w:val="-1"/>
          <w:vertAlign w:val="baseline"/>
        </w:rPr>
        <w:t> </w:t>
      </w:r>
      <w:r>
        <w:rPr>
          <w:vertAlign w:val="baseline"/>
        </w:rPr>
        <w:t>cases</w:t>
      </w:r>
      <w:r>
        <w:rPr>
          <w:spacing w:val="-1"/>
          <w:vertAlign w:val="baseline"/>
        </w:rPr>
        <w:t> </w:t>
      </w:r>
      <w:r>
        <w:rPr>
          <w:vertAlign w:val="baseline"/>
        </w:rPr>
        <w:t>in</w:t>
      </w:r>
      <w:r>
        <w:rPr>
          <w:spacing w:val="-1"/>
          <w:vertAlign w:val="baseline"/>
        </w:rPr>
        <w:t> </w:t>
      </w:r>
      <w:r>
        <w:rPr>
          <w:vertAlign w:val="baseline"/>
        </w:rPr>
        <w:t>which</w:t>
      </w:r>
      <w:r>
        <w:rPr>
          <w:spacing w:val="-1"/>
          <w:vertAlign w:val="baseline"/>
        </w:rPr>
        <w:t> </w:t>
      </w:r>
      <w:r>
        <w:rPr>
          <w:vertAlign w:val="baseline"/>
        </w:rPr>
        <w:t>the</w:t>
      </w:r>
      <w:r>
        <w:rPr>
          <w:spacing w:val="-1"/>
          <w:vertAlign w:val="baseline"/>
        </w:rPr>
        <w:t> </w:t>
      </w:r>
      <w:r>
        <w:rPr>
          <w:vertAlign w:val="baseline"/>
        </w:rPr>
        <w:t>defendant’s</w:t>
      </w:r>
      <w:r>
        <w:rPr>
          <w:spacing w:val="-1"/>
          <w:vertAlign w:val="baseline"/>
        </w:rPr>
        <w:t> </w:t>
      </w:r>
      <w:r>
        <w:rPr>
          <w:vertAlign w:val="baseline"/>
        </w:rPr>
        <w:t>conduct</w:t>
      </w:r>
      <w:r>
        <w:rPr>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calculated to</w:t>
      </w:r>
      <w:r>
        <w:rPr>
          <w:spacing w:val="14"/>
          <w:vertAlign w:val="baseline"/>
        </w:rPr>
        <w:t> </w:t>
      </w:r>
      <w:r>
        <w:rPr>
          <w:vertAlign w:val="baseline"/>
        </w:rPr>
        <w:t>make</w:t>
      </w:r>
      <w:r>
        <w:rPr>
          <w:spacing w:val="15"/>
          <w:vertAlign w:val="baseline"/>
        </w:rPr>
        <w:t> </w:t>
      </w:r>
      <w:r>
        <w:rPr>
          <w:vertAlign w:val="baseline"/>
        </w:rPr>
        <w:t>a</w:t>
      </w:r>
      <w:r>
        <w:rPr>
          <w:spacing w:val="15"/>
          <w:vertAlign w:val="baseline"/>
        </w:rPr>
        <w:t> </w:t>
      </w:r>
      <w:r>
        <w:rPr>
          <w:vertAlign w:val="baseline"/>
        </w:rPr>
        <w:t>profit</w:t>
      </w:r>
      <w:r>
        <w:rPr>
          <w:spacing w:val="15"/>
          <w:vertAlign w:val="baseline"/>
        </w:rPr>
        <w:t> </w:t>
      </w:r>
      <w:r>
        <w:rPr>
          <w:vertAlign w:val="baseline"/>
        </w:rPr>
        <w:t>for</w:t>
      </w:r>
      <w:r>
        <w:rPr>
          <w:spacing w:val="15"/>
          <w:vertAlign w:val="baseline"/>
        </w:rPr>
        <w:t> </w:t>
      </w:r>
      <w:r>
        <w:rPr>
          <w:vertAlign w:val="baseline"/>
        </w:rPr>
        <w:t>himself</w:t>
      </w:r>
      <w:r>
        <w:rPr>
          <w:spacing w:val="15"/>
          <w:vertAlign w:val="baseline"/>
        </w:rPr>
        <w:t> </w:t>
      </w:r>
      <w:r>
        <w:rPr>
          <w:vertAlign w:val="baseline"/>
        </w:rPr>
        <w:t>which</w:t>
      </w:r>
      <w:r>
        <w:rPr>
          <w:spacing w:val="15"/>
          <w:vertAlign w:val="baseline"/>
        </w:rPr>
        <w:t> </w:t>
      </w:r>
      <w:r>
        <w:rPr>
          <w:vertAlign w:val="baseline"/>
        </w:rPr>
        <w:t>may</w:t>
      </w:r>
      <w:r>
        <w:rPr>
          <w:spacing w:val="15"/>
          <w:vertAlign w:val="baseline"/>
        </w:rPr>
        <w:t> </w:t>
      </w:r>
      <w:r>
        <w:rPr>
          <w:vertAlign w:val="baseline"/>
        </w:rPr>
        <w:t>well</w:t>
      </w:r>
      <w:r>
        <w:rPr>
          <w:spacing w:val="15"/>
          <w:vertAlign w:val="baseline"/>
        </w:rPr>
        <w:t> </w:t>
      </w:r>
      <w:r>
        <w:rPr>
          <w:vertAlign w:val="baseline"/>
        </w:rPr>
        <w:t>exceed</w:t>
      </w:r>
      <w:r>
        <w:rPr>
          <w:spacing w:val="15"/>
          <w:vertAlign w:val="baseline"/>
        </w:rPr>
        <w:t> </w:t>
      </w:r>
      <w:r>
        <w:rPr>
          <w:vertAlign w:val="baseline"/>
        </w:rPr>
        <w:t>the</w:t>
      </w:r>
      <w:r>
        <w:rPr>
          <w:spacing w:val="15"/>
          <w:vertAlign w:val="baseline"/>
        </w:rPr>
        <w:t> </w:t>
      </w:r>
      <w:r>
        <w:rPr>
          <w:vertAlign w:val="baseline"/>
        </w:rPr>
        <w:t>compensation</w:t>
      </w:r>
      <w:r>
        <w:rPr>
          <w:spacing w:val="15"/>
          <w:vertAlign w:val="baseline"/>
        </w:rPr>
        <w:t> </w:t>
      </w:r>
      <w:r>
        <w:rPr>
          <w:vertAlign w:val="baseline"/>
        </w:rPr>
        <w:t>payable</w:t>
      </w:r>
      <w:r>
        <w:rPr>
          <w:spacing w:val="15"/>
          <w:vertAlign w:val="baseline"/>
        </w:rPr>
        <w:t> </w:t>
      </w:r>
      <w:r>
        <w:rPr>
          <w:vertAlign w:val="baseline"/>
        </w:rPr>
        <w:t>to</w:t>
      </w:r>
      <w:r>
        <w:rPr>
          <w:spacing w:val="15"/>
          <w:vertAlign w:val="baseline"/>
        </w:rPr>
        <w:t> </w:t>
      </w:r>
      <w:r>
        <w:rPr>
          <w:vertAlign w:val="baseline"/>
        </w:rPr>
        <w:t>the</w:t>
      </w:r>
      <w:r>
        <w:rPr>
          <w:spacing w:val="15"/>
          <w:vertAlign w:val="baseline"/>
        </w:rPr>
        <w:t> </w:t>
      </w:r>
      <w:r>
        <w:rPr>
          <w:vertAlign w:val="baseline"/>
        </w:rPr>
        <w:t>plaintiff,</w:t>
      </w:r>
      <w:r>
        <w:rPr>
          <w:spacing w:val="14"/>
          <w:vertAlign w:val="baseline"/>
        </w:rPr>
        <w:t> </w:t>
      </w:r>
      <w:r>
        <w:rPr>
          <w:color w:val="005DA1"/>
          <w:u w:val="single" w:color="005DA1"/>
          <w:vertAlign w:val="superscript"/>
        </w:rPr>
        <w:t>329</w:t>
      </w:r>
      <w:r>
        <w:rPr>
          <w:color w:val="005DA1"/>
          <w:spacing w:val="15"/>
          <w:vertAlign w:val="baseline"/>
        </w:rPr>
        <w:t> </w:t>
      </w:r>
      <w:r>
        <w:rPr>
          <w:spacing w:val="-5"/>
          <w:vertAlign w:val="baseline"/>
        </w:rPr>
        <w:t>the</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4" w:right="167"/>
        <w:jc w:val="both"/>
      </w:pPr>
      <w:bookmarkStart w:name="_bookmark542" w:id="544"/>
      <w:bookmarkEnd w:id="544"/>
      <w:r>
        <w:rPr/>
      </w:r>
      <w:bookmarkStart w:name="_bookmark543" w:id="545"/>
      <w:bookmarkEnd w:id="545"/>
      <w:r>
        <w:rPr/>
      </w:r>
      <w:r>
        <w:rPr/>
        <w:t>interpretation of those categories by the House of Lords in </w:t>
      </w:r>
      <w:r>
        <w:rPr>
          <w:rFonts w:ascii="Arial" w:hAnsi="Arial"/>
          <w:i/>
        </w:rPr>
        <w:t>Cassell &amp; Co Ltd v Broome </w:t>
      </w:r>
      <w:r>
        <w:rPr>
          <w:color w:val="005DA1"/>
          <w:u w:val="single" w:color="005DA1"/>
          <w:vertAlign w:val="superscript"/>
        </w:rPr>
        <w:t>330</w:t>
      </w:r>
      <w:r>
        <w:rPr>
          <w:color w:val="005DA1"/>
          <w:vertAlign w:val="baseline"/>
        </w:rPr>
        <w:t> </w:t>
      </w:r>
      <w:r>
        <w:rPr>
          <w:vertAlign w:val="baseline"/>
        </w:rPr>
        <w:t>and by the Court</w:t>
      </w:r>
      <w:r>
        <w:rPr>
          <w:spacing w:val="-2"/>
          <w:vertAlign w:val="baseline"/>
        </w:rPr>
        <w:t> </w:t>
      </w:r>
      <w:r>
        <w:rPr>
          <w:vertAlign w:val="baseline"/>
        </w:rPr>
        <w:t>of</w:t>
      </w:r>
      <w:r>
        <w:rPr>
          <w:spacing w:val="-2"/>
          <w:vertAlign w:val="baseline"/>
        </w:rPr>
        <w:t> </w:t>
      </w:r>
      <w:r>
        <w:rPr>
          <w:vertAlign w:val="baseline"/>
        </w:rPr>
        <w:t>Appeal</w:t>
      </w:r>
      <w:r>
        <w:rPr>
          <w:spacing w:val="-2"/>
          <w:vertAlign w:val="baseline"/>
        </w:rPr>
        <w:t> </w:t>
      </w:r>
      <w:r>
        <w:rPr>
          <w:vertAlign w:val="baseline"/>
        </w:rPr>
        <w:t>in</w:t>
      </w:r>
      <w:r>
        <w:rPr>
          <w:spacing w:val="-3"/>
          <w:vertAlign w:val="baseline"/>
        </w:rPr>
        <w:t> </w:t>
      </w:r>
      <w:r>
        <w:rPr>
          <w:rFonts w:ascii="Arial" w:hAnsi="Arial"/>
          <w:i/>
          <w:vertAlign w:val="baseline"/>
        </w:rPr>
        <w:t>AB</w:t>
      </w:r>
      <w:r>
        <w:rPr>
          <w:rFonts w:ascii="Arial" w:hAnsi="Arial"/>
          <w:i/>
          <w:spacing w:val="-2"/>
          <w:vertAlign w:val="baseline"/>
        </w:rPr>
        <w:t> </w:t>
      </w:r>
      <w:r>
        <w:rPr>
          <w:rFonts w:ascii="Arial" w:hAnsi="Arial"/>
          <w:i/>
          <w:vertAlign w:val="baseline"/>
        </w:rPr>
        <w:t>v</w:t>
      </w:r>
      <w:r>
        <w:rPr>
          <w:rFonts w:ascii="Arial" w:hAnsi="Arial"/>
          <w:i/>
          <w:spacing w:val="-2"/>
          <w:vertAlign w:val="baseline"/>
        </w:rPr>
        <w:t> </w:t>
      </w:r>
      <w:r>
        <w:rPr>
          <w:rFonts w:ascii="Arial" w:hAnsi="Arial"/>
          <w:i/>
          <w:vertAlign w:val="baseline"/>
        </w:rPr>
        <w:t>South</w:t>
      </w:r>
      <w:r>
        <w:rPr>
          <w:rFonts w:ascii="Arial" w:hAnsi="Arial"/>
          <w:i/>
          <w:spacing w:val="-2"/>
          <w:vertAlign w:val="baseline"/>
        </w:rPr>
        <w:t> </w:t>
      </w:r>
      <w:r>
        <w:rPr>
          <w:rFonts w:ascii="Arial" w:hAnsi="Arial"/>
          <w:i/>
          <w:vertAlign w:val="baseline"/>
        </w:rPr>
        <w:t>West</w:t>
      </w:r>
      <w:r>
        <w:rPr>
          <w:rFonts w:ascii="Arial" w:hAnsi="Arial"/>
          <w:i/>
          <w:spacing w:val="-2"/>
          <w:vertAlign w:val="baseline"/>
        </w:rPr>
        <w:t> </w:t>
      </w:r>
      <w:r>
        <w:rPr>
          <w:rFonts w:ascii="Arial" w:hAnsi="Arial"/>
          <w:i/>
          <w:vertAlign w:val="baseline"/>
        </w:rPr>
        <w:t>Water</w:t>
      </w:r>
      <w:r>
        <w:rPr>
          <w:rFonts w:ascii="Arial" w:hAnsi="Arial"/>
          <w:i/>
          <w:spacing w:val="-2"/>
          <w:vertAlign w:val="baseline"/>
        </w:rPr>
        <w:t> </w:t>
      </w:r>
      <w:r>
        <w:rPr>
          <w:rFonts w:ascii="Arial" w:hAnsi="Arial"/>
          <w:i/>
          <w:vertAlign w:val="baseline"/>
        </w:rPr>
        <w:t>Services</w:t>
      </w:r>
      <w:r>
        <w:rPr>
          <w:rFonts w:ascii="Arial" w:hAnsi="Arial"/>
          <w:i/>
          <w:spacing w:val="-2"/>
          <w:vertAlign w:val="baseline"/>
        </w:rPr>
        <w:t> </w:t>
      </w:r>
      <w:r>
        <w:rPr>
          <w:rFonts w:ascii="Arial" w:hAnsi="Arial"/>
          <w:i/>
          <w:vertAlign w:val="baseline"/>
        </w:rPr>
        <w:t>Ltd</w:t>
      </w:r>
      <w:r>
        <w:rPr>
          <w:rFonts w:ascii="Arial" w:hAnsi="Arial"/>
          <w:i/>
          <w:spacing w:val="-2"/>
          <w:vertAlign w:val="baseline"/>
        </w:rPr>
        <w:t> </w:t>
      </w:r>
      <w:r>
        <w:rPr>
          <w:color w:val="005DA1"/>
          <w:u w:val="single" w:color="005DA1"/>
          <w:vertAlign w:val="superscript"/>
        </w:rPr>
        <w:t>331</w:t>
      </w:r>
      <w:r>
        <w:rPr>
          <w:color w:val="005DA1"/>
          <w:spacing w:val="-2"/>
          <w:vertAlign w:val="baseline"/>
        </w:rPr>
        <w:t> </w:t>
      </w:r>
      <w:r>
        <w:rPr>
          <w:vertAlign w:val="baseline"/>
        </w:rPr>
        <w:t>required</w:t>
      </w:r>
      <w:r>
        <w:rPr>
          <w:spacing w:val="-2"/>
          <w:vertAlign w:val="baseline"/>
        </w:rPr>
        <w:t> </w:t>
      </w:r>
      <w:r>
        <w:rPr>
          <w:vertAlign w:val="baseline"/>
        </w:rPr>
        <w:t>that</w:t>
      </w:r>
      <w:r>
        <w:rPr>
          <w:spacing w:val="-2"/>
          <w:vertAlign w:val="baseline"/>
        </w:rPr>
        <w:t> </w:t>
      </w:r>
      <w:r>
        <w:rPr>
          <w:vertAlign w:val="baseline"/>
        </w:rPr>
        <w:t>for</w:t>
      </w:r>
      <w:r>
        <w:rPr>
          <w:spacing w:val="-2"/>
          <w:vertAlign w:val="baseline"/>
        </w:rPr>
        <w:t> </w:t>
      </w:r>
      <w:r>
        <w:rPr>
          <w:vertAlign w:val="baseline"/>
        </w:rPr>
        <w:t>exemplary</w:t>
      </w:r>
      <w:r>
        <w:rPr>
          <w:spacing w:val="-2"/>
          <w:vertAlign w:val="baseline"/>
        </w:rPr>
        <w:t> </w:t>
      </w:r>
      <w:r>
        <w:rPr>
          <w:vertAlign w:val="baseline"/>
        </w:rPr>
        <w:t>damages</w:t>
      </w:r>
      <w:r>
        <w:rPr>
          <w:spacing w:val="-2"/>
          <w:vertAlign w:val="baseline"/>
        </w:rPr>
        <w:t> </w:t>
      </w:r>
      <w:r>
        <w:rPr>
          <w:vertAlign w:val="baseline"/>
        </w:rPr>
        <w:t>to</w:t>
      </w:r>
      <w:r>
        <w:rPr>
          <w:spacing w:val="-2"/>
          <w:vertAlign w:val="baseline"/>
        </w:rPr>
        <w:t> </w:t>
      </w:r>
      <w:r>
        <w:rPr>
          <w:vertAlign w:val="baseline"/>
        </w:rPr>
        <w:t>be </w:t>
      </w:r>
      <w:bookmarkStart w:name="_bookmark544" w:id="546"/>
      <w:bookmarkEnd w:id="546"/>
      <w:r>
        <w:rPr>
          <w:vertAlign w:val="baseline"/>
        </w:rPr>
        <w:t>awarded</w:t>
      </w:r>
      <w:r>
        <w:rPr>
          <w:vertAlign w:val="baseline"/>
        </w:rPr>
        <w:t> the tort must be one in respect of which such an award had been made prior to 1964, and deceit is not such a tort. </w:t>
      </w:r>
      <w:r>
        <w:rPr>
          <w:color w:val="005DA1"/>
          <w:u w:val="single" w:color="005DA1"/>
          <w:vertAlign w:val="superscript"/>
        </w:rPr>
        <w:t>332</w:t>
      </w:r>
      <w:r>
        <w:rPr>
          <w:color w:val="005DA1"/>
          <w:vertAlign w:val="baseline"/>
        </w:rPr>
        <w:t> </w:t>
      </w:r>
      <w:r>
        <w:rPr>
          <w:vertAlign w:val="baseline"/>
        </w:rPr>
        <w:t>However in </w:t>
      </w:r>
      <w:r>
        <w:rPr>
          <w:rFonts w:ascii="Arial" w:hAnsi="Arial"/>
          <w:i/>
          <w:vertAlign w:val="baseline"/>
        </w:rPr>
        <w:t>Kuddus v Chief Constable of Leicestershire Constabulary </w:t>
      </w:r>
      <w:r>
        <w:rPr>
          <w:color w:val="005DA1"/>
          <w:u w:val="single" w:color="005DA1"/>
          <w:vertAlign w:val="superscript"/>
        </w:rPr>
        <w:t>333</w:t>
      </w:r>
      <w:r>
        <w:rPr>
          <w:color w:val="005DA1"/>
          <w:vertAlign w:val="baseline"/>
        </w:rPr>
        <w:t> </w:t>
      </w:r>
      <w:r>
        <w:rPr>
          <w:vertAlign w:val="baseline"/>
        </w:rPr>
        <w:t>the House of Lords held that the power to award exemplary damages is not limited to those cases in which</w:t>
      </w:r>
      <w:r>
        <w:rPr>
          <w:spacing w:val="-1"/>
          <w:vertAlign w:val="baseline"/>
        </w:rPr>
        <w:t> </w:t>
      </w:r>
      <w:r>
        <w:rPr>
          <w:vertAlign w:val="baseline"/>
        </w:rPr>
        <w:t>such</w:t>
      </w:r>
      <w:r>
        <w:rPr>
          <w:spacing w:val="-1"/>
          <w:vertAlign w:val="baseline"/>
        </w:rPr>
        <w:t> </w:t>
      </w:r>
      <w:r>
        <w:rPr>
          <w:vertAlign w:val="baseline"/>
        </w:rPr>
        <w:t>awards</w:t>
      </w:r>
      <w:r>
        <w:rPr>
          <w:spacing w:val="-1"/>
          <w:vertAlign w:val="baseline"/>
        </w:rPr>
        <w:t> </w:t>
      </w:r>
      <w:r>
        <w:rPr>
          <w:vertAlign w:val="baseline"/>
        </w:rPr>
        <w:t>had</w:t>
      </w:r>
      <w:r>
        <w:rPr>
          <w:spacing w:val="-1"/>
          <w:vertAlign w:val="baseline"/>
        </w:rPr>
        <w:t> </w:t>
      </w:r>
      <w:r>
        <w:rPr>
          <w:vertAlign w:val="baseline"/>
        </w:rPr>
        <w:t>been</w:t>
      </w:r>
      <w:r>
        <w:rPr>
          <w:spacing w:val="-1"/>
          <w:vertAlign w:val="baseline"/>
        </w:rPr>
        <w:t> </w:t>
      </w:r>
      <w:r>
        <w:rPr>
          <w:vertAlign w:val="baseline"/>
        </w:rPr>
        <w:t>made</w:t>
      </w:r>
      <w:r>
        <w:rPr>
          <w:spacing w:val="-1"/>
          <w:vertAlign w:val="baseline"/>
        </w:rPr>
        <w:t> </w:t>
      </w:r>
      <w:r>
        <w:rPr>
          <w:vertAlign w:val="baseline"/>
        </w:rPr>
        <w:t>before</w:t>
      </w:r>
      <w:r>
        <w:rPr>
          <w:spacing w:val="-1"/>
          <w:vertAlign w:val="baseline"/>
        </w:rPr>
        <w:t> </w:t>
      </w:r>
      <w:r>
        <w:rPr>
          <w:vertAlign w:val="baseline"/>
        </w:rPr>
        <w:t>1964.</w:t>
      </w:r>
      <w:r>
        <w:rPr>
          <w:spacing w:val="-2"/>
          <w:vertAlign w:val="baseline"/>
        </w:rPr>
        <w:t> </w:t>
      </w:r>
      <w:r>
        <w:rPr>
          <w:rFonts w:ascii="Arial" w:hAnsi="Arial"/>
          <w:i/>
          <w:vertAlign w:val="baseline"/>
        </w:rPr>
        <w:t>AB</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vertAlign w:val="baseline"/>
        </w:rPr>
        <w:t>South</w:t>
      </w:r>
      <w:r>
        <w:rPr>
          <w:rFonts w:ascii="Arial" w:hAnsi="Arial"/>
          <w:i/>
          <w:spacing w:val="-1"/>
          <w:vertAlign w:val="baseline"/>
        </w:rPr>
        <w:t> </w:t>
      </w:r>
      <w:r>
        <w:rPr>
          <w:rFonts w:ascii="Arial" w:hAnsi="Arial"/>
          <w:i/>
          <w:vertAlign w:val="baseline"/>
        </w:rPr>
        <w:t>West</w:t>
      </w:r>
      <w:r>
        <w:rPr>
          <w:rFonts w:ascii="Arial" w:hAnsi="Arial"/>
          <w:i/>
          <w:spacing w:val="-1"/>
          <w:vertAlign w:val="baseline"/>
        </w:rPr>
        <w:t> </w:t>
      </w:r>
      <w:r>
        <w:rPr>
          <w:rFonts w:ascii="Arial" w:hAnsi="Arial"/>
          <w:i/>
          <w:vertAlign w:val="baseline"/>
        </w:rPr>
        <w:t>Water</w:t>
      </w:r>
      <w:r>
        <w:rPr>
          <w:rFonts w:ascii="Arial" w:hAnsi="Arial"/>
          <w:i/>
          <w:spacing w:val="-1"/>
          <w:vertAlign w:val="baseline"/>
        </w:rPr>
        <w:t> </w:t>
      </w:r>
      <w:r>
        <w:rPr>
          <w:rFonts w:ascii="Arial" w:hAnsi="Arial"/>
          <w:i/>
          <w:vertAlign w:val="baseline"/>
        </w:rPr>
        <w:t>Services</w:t>
      </w:r>
      <w:r>
        <w:rPr>
          <w:rFonts w:ascii="Arial" w:hAnsi="Arial"/>
          <w:i/>
          <w:spacing w:val="-1"/>
          <w:vertAlign w:val="baseline"/>
        </w:rPr>
        <w:t> </w:t>
      </w:r>
      <w:r>
        <w:rPr>
          <w:rFonts w:ascii="Arial" w:hAnsi="Arial"/>
          <w:i/>
          <w:vertAlign w:val="baseline"/>
        </w:rPr>
        <w:t>Ltd</w:t>
      </w:r>
      <w:r>
        <w:rPr>
          <w:rFonts w:ascii="Arial" w:hAnsi="Arial"/>
          <w:i/>
          <w:spacing w:val="-2"/>
          <w:vertAlign w:val="baseline"/>
        </w:rPr>
        <w:t> </w:t>
      </w:r>
      <w:r>
        <w:rPr>
          <w:vertAlign w:val="baseline"/>
        </w:rPr>
        <w:t>was</w:t>
      </w:r>
      <w:r>
        <w:rPr>
          <w:spacing w:val="-1"/>
          <w:vertAlign w:val="baseline"/>
        </w:rPr>
        <w:t> </w:t>
      </w:r>
      <w:r>
        <w:rPr>
          <w:vertAlign w:val="baseline"/>
        </w:rPr>
        <w:t>overruled. </w:t>
      </w:r>
      <w:bookmarkStart w:name="_bookmark545" w:id="547"/>
      <w:bookmarkEnd w:id="547"/>
      <w:r>
        <w:rPr>
          <w:vertAlign w:val="baseline"/>
        </w:rPr>
        <w:t>This</w:t>
      </w:r>
      <w:r>
        <w:rPr>
          <w:vertAlign w:val="baseline"/>
        </w:rPr>
        <w:t> seems to open the way for awards of exemplary damages in cases of deceit which fall into Lord Devlin’s first two categories. However both Lord Nicholls </w:t>
      </w:r>
      <w:r>
        <w:rPr>
          <w:color w:val="005DA1"/>
          <w:u w:val="single" w:color="005DA1"/>
          <w:vertAlign w:val="superscript"/>
        </w:rPr>
        <w:t>334</w:t>
      </w:r>
      <w:r>
        <w:rPr>
          <w:color w:val="005DA1"/>
          <w:vertAlign w:val="baseline"/>
        </w:rPr>
        <w:t> </w:t>
      </w:r>
      <w:r>
        <w:rPr>
          <w:vertAlign w:val="baseline"/>
        </w:rPr>
        <w:t>and Lord Scott </w:t>
      </w:r>
      <w:r>
        <w:rPr>
          <w:color w:val="005DA1"/>
          <w:u w:val="single" w:color="005DA1"/>
          <w:vertAlign w:val="superscript"/>
        </w:rPr>
        <w:t>335</w:t>
      </w:r>
      <w:r>
        <w:rPr>
          <w:color w:val="005DA1"/>
          <w:vertAlign w:val="baseline"/>
        </w:rPr>
        <w:t> </w:t>
      </w:r>
      <w:r>
        <w:rPr>
          <w:vertAlign w:val="baseline"/>
        </w:rPr>
        <w:t>remarked that the </w:t>
      </w:r>
      <w:bookmarkStart w:name="_bookmark546" w:id="548"/>
      <w:bookmarkEnd w:id="548"/>
      <w:r>
        <w:rPr>
          <w:vertAlign w:val="baseline"/>
        </w:rPr>
        <w:t>growth</w:t>
      </w:r>
      <w:r>
        <w:rPr>
          <w:spacing w:val="-3"/>
          <w:vertAlign w:val="baseline"/>
        </w:rPr>
        <w:t> </w:t>
      </w:r>
      <w:r>
        <w:rPr>
          <w:vertAlign w:val="baseline"/>
        </w:rPr>
        <w:t>of</w:t>
      </w:r>
      <w:r>
        <w:rPr>
          <w:spacing w:val="-3"/>
          <w:vertAlign w:val="baseline"/>
        </w:rPr>
        <w:t> </w:t>
      </w:r>
      <w:r>
        <w:rPr>
          <w:vertAlign w:val="baseline"/>
        </w:rPr>
        <w:t>remedies</w:t>
      </w:r>
      <w:r>
        <w:rPr>
          <w:spacing w:val="-3"/>
          <w:vertAlign w:val="baseline"/>
        </w:rPr>
        <w:t> </w:t>
      </w:r>
      <w:r>
        <w:rPr>
          <w:vertAlign w:val="baseline"/>
        </w:rPr>
        <w:t>for</w:t>
      </w:r>
      <w:r>
        <w:rPr>
          <w:spacing w:val="-3"/>
          <w:vertAlign w:val="baseline"/>
        </w:rPr>
        <w:t> </w:t>
      </w:r>
      <w:r>
        <w:rPr>
          <w:vertAlign w:val="baseline"/>
        </w:rPr>
        <w:t>unjust</w:t>
      </w:r>
      <w:r>
        <w:rPr>
          <w:spacing w:val="-3"/>
          <w:vertAlign w:val="baseline"/>
        </w:rPr>
        <w:t> </w:t>
      </w:r>
      <w:r>
        <w:rPr>
          <w:vertAlign w:val="baseline"/>
        </w:rPr>
        <w:t>enrichment</w:t>
      </w:r>
      <w:r>
        <w:rPr>
          <w:spacing w:val="-3"/>
          <w:vertAlign w:val="baseline"/>
        </w:rPr>
        <w:t> </w:t>
      </w:r>
      <w:r>
        <w:rPr>
          <w:vertAlign w:val="baseline"/>
        </w:rPr>
        <w:t>may</w:t>
      </w:r>
      <w:r>
        <w:rPr>
          <w:spacing w:val="-3"/>
          <w:vertAlign w:val="baseline"/>
        </w:rPr>
        <w:t> </w:t>
      </w:r>
      <w:r>
        <w:rPr>
          <w:vertAlign w:val="baseline"/>
        </w:rPr>
        <w:t>make</w:t>
      </w:r>
      <w:r>
        <w:rPr>
          <w:spacing w:val="-3"/>
          <w:vertAlign w:val="baseline"/>
        </w:rPr>
        <w:t> </w:t>
      </w:r>
      <w:r>
        <w:rPr>
          <w:vertAlign w:val="baseline"/>
        </w:rPr>
        <w:t>Lord</w:t>
      </w:r>
      <w:r>
        <w:rPr>
          <w:spacing w:val="-3"/>
          <w:vertAlign w:val="baseline"/>
        </w:rPr>
        <w:t> </w:t>
      </w:r>
      <w:r>
        <w:rPr>
          <w:vertAlign w:val="baseline"/>
        </w:rPr>
        <w:t>Devlin’s</w:t>
      </w:r>
      <w:r>
        <w:rPr>
          <w:spacing w:val="-3"/>
          <w:vertAlign w:val="baseline"/>
        </w:rPr>
        <w:t> </w:t>
      </w:r>
      <w:r>
        <w:rPr>
          <w:vertAlign w:val="baseline"/>
        </w:rPr>
        <w:t>second</w:t>
      </w:r>
      <w:r>
        <w:rPr>
          <w:spacing w:val="-3"/>
          <w:vertAlign w:val="baseline"/>
        </w:rPr>
        <w:t> </w:t>
      </w:r>
      <w:r>
        <w:rPr>
          <w:vertAlign w:val="baseline"/>
        </w:rPr>
        <w:t>category</w:t>
      </w:r>
      <w:r>
        <w:rPr>
          <w:spacing w:val="-3"/>
          <w:vertAlign w:val="baseline"/>
        </w:rPr>
        <w:t> </w:t>
      </w:r>
      <w:r>
        <w:rPr>
          <w:vertAlign w:val="baseline"/>
        </w:rPr>
        <w:t>of</w:t>
      </w:r>
      <w:r>
        <w:rPr>
          <w:spacing w:val="-3"/>
          <w:vertAlign w:val="baseline"/>
        </w:rPr>
        <w:t> </w:t>
      </w:r>
      <w:r>
        <w:rPr>
          <w:vertAlign w:val="baseline"/>
        </w:rPr>
        <w:t>less</w:t>
      </w:r>
      <w:r>
        <w:rPr>
          <w:spacing w:val="-3"/>
          <w:vertAlign w:val="baseline"/>
        </w:rPr>
        <w:t> </w:t>
      </w:r>
      <w:r>
        <w:rPr>
          <w:vertAlign w:val="baseline"/>
        </w:rPr>
        <w:t>importance as</w:t>
      </w:r>
      <w:r>
        <w:rPr>
          <w:spacing w:val="-3"/>
          <w:vertAlign w:val="baseline"/>
        </w:rPr>
        <w:t> </w:t>
      </w:r>
      <w:r>
        <w:rPr>
          <w:vertAlign w:val="baseline"/>
        </w:rPr>
        <w:t>the</w:t>
      </w:r>
      <w:r>
        <w:rPr>
          <w:spacing w:val="-3"/>
          <w:vertAlign w:val="baseline"/>
        </w:rPr>
        <w:t> </w:t>
      </w:r>
      <w:r>
        <w:rPr>
          <w:vertAlign w:val="baseline"/>
        </w:rPr>
        <w:t>defendant’s</w:t>
      </w:r>
      <w:r>
        <w:rPr>
          <w:spacing w:val="-3"/>
          <w:vertAlign w:val="baseline"/>
        </w:rPr>
        <w:t> </w:t>
      </w:r>
      <w:r>
        <w:rPr>
          <w:vertAlign w:val="baseline"/>
        </w:rPr>
        <w:t>profit</w:t>
      </w:r>
      <w:r>
        <w:rPr>
          <w:spacing w:val="-3"/>
          <w:vertAlign w:val="baseline"/>
        </w:rPr>
        <w:t> </w:t>
      </w:r>
      <w:r>
        <w:rPr>
          <w:vertAlign w:val="baseline"/>
        </w:rPr>
        <w:t>may</w:t>
      </w:r>
      <w:r>
        <w:rPr>
          <w:spacing w:val="-3"/>
          <w:vertAlign w:val="baseline"/>
        </w:rPr>
        <w:t> </w:t>
      </w:r>
      <w:r>
        <w:rPr>
          <w:vertAlign w:val="baseline"/>
        </w:rPr>
        <w:t>be</w:t>
      </w:r>
      <w:r>
        <w:rPr>
          <w:spacing w:val="-3"/>
          <w:vertAlign w:val="baseline"/>
        </w:rPr>
        <w:t> </w:t>
      </w:r>
      <w:r>
        <w:rPr>
          <w:vertAlign w:val="baseline"/>
        </w:rPr>
        <w:t>removed</w:t>
      </w:r>
      <w:r>
        <w:rPr>
          <w:spacing w:val="-3"/>
          <w:vertAlign w:val="baseline"/>
        </w:rPr>
        <w:t> </w:t>
      </w:r>
      <w:r>
        <w:rPr>
          <w:vertAlign w:val="baseline"/>
        </w:rPr>
        <w:t>without</w:t>
      </w:r>
      <w:r>
        <w:rPr>
          <w:spacing w:val="-3"/>
          <w:vertAlign w:val="baseline"/>
        </w:rPr>
        <w:t> </w:t>
      </w:r>
      <w:r>
        <w:rPr>
          <w:vertAlign w:val="baseline"/>
        </w:rPr>
        <w:t>an</w:t>
      </w:r>
      <w:r>
        <w:rPr>
          <w:spacing w:val="-3"/>
          <w:vertAlign w:val="baseline"/>
        </w:rPr>
        <w:t> </w:t>
      </w:r>
      <w:r>
        <w:rPr>
          <w:vertAlign w:val="baseline"/>
        </w:rPr>
        <w:t>award</w:t>
      </w:r>
      <w:r>
        <w:rPr>
          <w:spacing w:val="-3"/>
          <w:vertAlign w:val="baseline"/>
        </w:rPr>
        <w:t> </w:t>
      </w:r>
      <w:r>
        <w:rPr>
          <w:vertAlign w:val="baseline"/>
        </w:rPr>
        <w:t>of</w:t>
      </w:r>
      <w:r>
        <w:rPr>
          <w:spacing w:val="-3"/>
          <w:vertAlign w:val="baseline"/>
        </w:rPr>
        <w:t> </w:t>
      </w:r>
      <w:r>
        <w:rPr>
          <w:vertAlign w:val="baseline"/>
        </w:rPr>
        <w:t>exemplary</w:t>
      </w:r>
      <w:r>
        <w:rPr>
          <w:spacing w:val="-3"/>
          <w:vertAlign w:val="baseline"/>
        </w:rPr>
        <w:t> </w:t>
      </w:r>
      <w:r>
        <w:rPr>
          <w:vertAlign w:val="baseline"/>
        </w:rPr>
        <w:t>damages.</w:t>
      </w:r>
      <w:r>
        <w:rPr>
          <w:spacing w:val="-4"/>
          <w:vertAlign w:val="baseline"/>
        </w:rPr>
        <w:t> </w:t>
      </w:r>
      <w:r>
        <w:rPr>
          <w:color w:val="005DA1"/>
          <w:u w:val="single" w:color="005DA1"/>
          <w:vertAlign w:val="superscript"/>
        </w:rPr>
        <w:t>336</w:t>
      </w:r>
      <w:r>
        <w:rPr>
          <w:color w:val="005DA1"/>
          <w:spacing w:val="-3"/>
          <w:vertAlign w:val="baseline"/>
        </w:rPr>
        <w:t> </w:t>
      </w:r>
      <w:r>
        <w:rPr>
          <w:vertAlign w:val="baseline"/>
        </w:rPr>
        <w:t>Even</w:t>
      </w:r>
      <w:r>
        <w:rPr>
          <w:spacing w:val="-3"/>
          <w:vertAlign w:val="baseline"/>
        </w:rPr>
        <w:t> </w:t>
      </w:r>
      <w:r>
        <w:rPr>
          <w:vertAlign w:val="baseline"/>
        </w:rPr>
        <w:t>if</w:t>
      </w:r>
      <w:r>
        <w:rPr>
          <w:spacing w:val="-3"/>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still open to a court to hold that exemplary damages may be awarded in an action for deceit (even if the </w:t>
      </w:r>
      <w:bookmarkStart w:name="_bookmark547" w:id="549"/>
      <w:bookmarkEnd w:id="549"/>
      <w:r>
        <w:rPr>
          <w:vertAlign w:val="baseline"/>
        </w:rPr>
        <w:t>defendant</w:t>
      </w:r>
      <w:r>
        <w:rPr>
          <w:vertAlign w:val="baseline"/>
        </w:rPr>
        <w:t> has not succeeded in making any profit from his deceit) it is wrong to do so where the defendant has already been convicted and imprisoned for the same fraud. </w:t>
      </w:r>
      <w:r>
        <w:rPr>
          <w:color w:val="005DA1"/>
          <w:u w:val="single" w:color="005DA1"/>
          <w:vertAlign w:val="superscript"/>
        </w:rPr>
        <w:t>337</w:t>
      </w:r>
      <w:r>
        <w:rPr>
          <w:color w:val="005DA1"/>
          <w:vertAlign w:val="baseline"/>
        </w:rPr>
        <w:t> </w:t>
      </w:r>
      <w:r>
        <w:rPr>
          <w:vertAlign w:val="baseline"/>
        </w:rPr>
        <w:t>This would infringe the basic principle that a man should not be punished twice for the same offence.</w:t>
      </w:r>
    </w:p>
    <w:p>
      <w:pPr>
        <w:pStyle w:val="BodyText"/>
      </w:pPr>
    </w:p>
    <w:p>
      <w:pPr>
        <w:pStyle w:val="BodyText"/>
        <w:spacing w:before="33"/>
      </w:pPr>
    </w:p>
    <w:p>
      <w:pPr>
        <w:spacing w:before="0"/>
        <w:ind w:left="165" w:right="0" w:firstLine="0"/>
        <w:jc w:val="left"/>
        <w:rPr>
          <w:rFonts w:ascii="Arial"/>
          <w:b/>
          <w:sz w:val="18"/>
        </w:rPr>
      </w:pPr>
      <w:r>
        <w:rPr>
          <w:rFonts w:ascii="Arial"/>
          <w:b/>
          <w:sz w:val="18"/>
        </w:rPr>
        <w:t>Contributory </w:t>
      </w:r>
      <w:r>
        <w:rPr>
          <w:rFonts w:ascii="Arial"/>
          <w:b/>
          <w:spacing w:val="-2"/>
          <w:sz w:val="18"/>
        </w:rPr>
        <w:t>negligence</w:t>
      </w:r>
    </w:p>
    <w:p>
      <w:pPr>
        <w:pStyle w:val="BodyText"/>
        <w:spacing w:before="41"/>
        <w:rPr>
          <w:rFonts w:ascii="Arial"/>
          <w:b/>
          <w:sz w:val="18"/>
        </w:rPr>
      </w:pPr>
    </w:p>
    <w:p>
      <w:pPr>
        <w:pStyle w:val="Heading2"/>
      </w:pPr>
      <w:r>
        <w:rPr/>
        <w:t>7-</w:t>
      </w:r>
      <w:r>
        <w:rPr>
          <w:spacing w:val="-5"/>
        </w:rPr>
        <w:t>071</w:t>
      </w:r>
    </w:p>
    <w:p>
      <w:pPr>
        <w:pStyle w:val="BodyText"/>
        <w:spacing w:line="235" w:lineRule="auto" w:before="203"/>
        <w:ind w:left="164" w:right="167"/>
        <w:jc w:val="both"/>
      </w:pPr>
      <w:bookmarkStart w:name="_bookmark548" w:id="550"/>
      <w:bookmarkEnd w:id="550"/>
      <w:r>
        <w:rPr/>
      </w:r>
      <w:r>
        <w:rPr/>
        <w:t>Contributory negligence is not a defence to an action of deceit and the Law Reform (Contributory Negligence) Act 1945 </w:t>
      </w:r>
      <w:r>
        <w:rPr>
          <w:color w:val="005DA1"/>
          <w:u w:val="single" w:color="005DA1"/>
          <w:vertAlign w:val="superscript"/>
        </w:rPr>
        <w:t>338</w:t>
      </w:r>
      <w:r>
        <w:rPr>
          <w:color w:val="005DA1"/>
          <w:vertAlign w:val="baseline"/>
        </w:rPr>
        <w:t> </w:t>
      </w:r>
      <w:r>
        <w:rPr>
          <w:vertAlign w:val="baseline"/>
        </w:rPr>
        <w:t>does not apply. Section 1(1) of the Law Reform (Contributory Negligence) Act 1945 applies “[w]hen any person suffers damage as the result partly of his own fault and partly </w:t>
      </w:r>
      <w:r>
        <w:rPr>
          <w:vertAlign w:val="baseline"/>
        </w:rPr>
        <w:t>of the fault of any other person”. Section 4 defines “fault” as:</w:t>
      </w:r>
    </w:p>
    <w:p>
      <w:pPr>
        <w:pStyle w:val="BodyText"/>
      </w:pPr>
    </w:p>
    <w:p>
      <w:pPr>
        <w:pStyle w:val="BodyText"/>
        <w:spacing w:before="125"/>
      </w:pPr>
    </w:p>
    <w:p>
      <w:pPr>
        <w:pStyle w:val="BodyText"/>
        <w:spacing w:line="235" w:lineRule="auto"/>
        <w:ind w:left="1244" w:right="167"/>
        <w:jc w:val="both"/>
      </w:pPr>
      <w:r>
        <w:rPr/>
        <w:t>“… negligence, breach of statutory duty or other act or omission which gives rise to liability in tort or would, apart from this Act, give rise to the defence of </w:t>
      </w:r>
      <w:r>
        <w:rPr/>
        <w:t>contributory </w:t>
      </w:r>
      <w:r>
        <w:rPr>
          <w:spacing w:val="-2"/>
        </w:rPr>
        <w:t>negligence.”</w:t>
      </w:r>
    </w:p>
    <w:p>
      <w:pPr>
        <w:pStyle w:val="BodyText"/>
        <w:spacing w:before="116"/>
      </w:pPr>
    </w:p>
    <w:p>
      <w:pPr>
        <w:pStyle w:val="BodyText"/>
        <w:spacing w:line="235" w:lineRule="auto"/>
        <w:ind w:left="164" w:right="167"/>
        <w:jc w:val="both"/>
      </w:pPr>
      <w:r>
        <w:rPr/>
        <w:t>Thus for the Act to apply, the claimant’s conduct must either be an act giving rise to liability to the </w:t>
      </w:r>
      <w:bookmarkStart w:name="_bookmark549" w:id="551"/>
      <w:bookmarkEnd w:id="551"/>
      <w:r>
        <w:rPr/>
        <w:t>defendant</w:t>
      </w:r>
      <w:r>
        <w:rPr/>
        <w:t> in tort or be one which at common law would have given rise to the defence of </w:t>
      </w:r>
      <w:r>
        <w:rPr/>
        <w:t>contributory </w:t>
      </w:r>
      <w:bookmarkStart w:name="_bookmark550" w:id="552"/>
      <w:bookmarkEnd w:id="552"/>
      <w:r>
        <w:rPr/>
        <w:t>negligence.</w:t>
      </w:r>
      <w:r>
        <w:rPr/>
        <w:t> </w:t>
      </w:r>
      <w:r>
        <w:rPr>
          <w:color w:val="005DA1"/>
          <w:u w:val="single" w:color="005DA1"/>
          <w:vertAlign w:val="superscript"/>
        </w:rPr>
        <w:t>339</w:t>
      </w:r>
      <w:r>
        <w:rPr>
          <w:color w:val="005DA1"/>
          <w:vertAlign w:val="baseline"/>
        </w:rPr>
        <w:t> </w:t>
      </w:r>
      <w:r>
        <w:rPr>
          <w:vertAlign w:val="baseline"/>
        </w:rPr>
        <w:t>It has been held that at common law contributory negligence is not a defence to fraud and that therefore the Law Reform (Contributory Negligence) Act does not apply to fraud. </w:t>
      </w:r>
      <w:r>
        <w:rPr>
          <w:color w:val="005DA1"/>
          <w:u w:val="single" w:color="005DA1"/>
          <w:vertAlign w:val="superscript"/>
        </w:rPr>
        <w:t>340</w:t>
      </w:r>
    </w:p>
    <w:p>
      <w:pPr>
        <w:pStyle w:val="BodyText"/>
      </w:pPr>
    </w:p>
    <w:p>
      <w:pPr>
        <w:pStyle w:val="BodyText"/>
        <w:spacing w:before="37"/>
      </w:pPr>
    </w:p>
    <w:p>
      <w:pPr>
        <w:spacing w:before="0"/>
        <w:ind w:left="165" w:right="0" w:firstLine="0"/>
        <w:jc w:val="left"/>
        <w:rPr>
          <w:rFonts w:ascii="Arial"/>
          <w:b/>
          <w:sz w:val="18"/>
        </w:rPr>
      </w:pPr>
      <w:r>
        <w:rPr>
          <w:rFonts w:ascii="Arial"/>
          <w:b/>
          <w:sz w:val="18"/>
        </w:rPr>
        <w:t>Compound </w:t>
      </w:r>
      <w:r>
        <w:rPr>
          <w:rFonts w:ascii="Arial"/>
          <w:b/>
          <w:spacing w:val="-2"/>
          <w:sz w:val="18"/>
        </w:rPr>
        <w:t>interest</w:t>
      </w:r>
    </w:p>
    <w:p>
      <w:pPr>
        <w:pStyle w:val="BodyText"/>
        <w:spacing w:before="41"/>
        <w:rPr>
          <w:rFonts w:ascii="Arial"/>
          <w:b/>
          <w:sz w:val="18"/>
        </w:rPr>
      </w:pPr>
    </w:p>
    <w:p>
      <w:pPr>
        <w:pStyle w:val="Heading2"/>
      </w:pPr>
      <w:r>
        <w:rPr/>
        <w:t>7-</w:t>
      </w:r>
      <w:r>
        <w:rPr>
          <w:spacing w:val="-5"/>
        </w:rPr>
        <w:t>072</w:t>
      </w:r>
    </w:p>
    <w:p>
      <w:pPr>
        <w:pStyle w:val="BodyText"/>
        <w:spacing w:line="235" w:lineRule="auto" w:before="203"/>
        <w:ind w:left="165" w:right="167"/>
        <w:jc w:val="both"/>
      </w:pPr>
      <w:bookmarkStart w:name="_bookmark551" w:id="553"/>
      <w:bookmarkEnd w:id="553"/>
      <w:r>
        <w:rPr/>
      </w:r>
      <w:r>
        <w:rPr/>
        <w:t>In</w:t>
      </w:r>
      <w:r>
        <w:rPr>
          <w:spacing w:val="-3"/>
        </w:rPr>
        <w:t> </w:t>
      </w:r>
      <w:r>
        <w:rPr>
          <w:rFonts w:ascii="Arial"/>
          <w:i/>
        </w:rPr>
        <w:t>Black</w:t>
      </w:r>
      <w:r>
        <w:rPr>
          <w:rFonts w:ascii="Arial"/>
          <w:i/>
          <w:spacing w:val="-3"/>
        </w:rPr>
        <w:t> </w:t>
      </w:r>
      <w:r>
        <w:rPr>
          <w:rFonts w:ascii="Arial"/>
          <w:i/>
        </w:rPr>
        <w:t>v</w:t>
      </w:r>
      <w:r>
        <w:rPr>
          <w:rFonts w:ascii="Arial"/>
          <w:i/>
          <w:spacing w:val="-3"/>
        </w:rPr>
        <w:t> </w:t>
      </w:r>
      <w:r>
        <w:rPr>
          <w:rFonts w:ascii="Arial"/>
          <w:i/>
        </w:rPr>
        <w:t>Davies</w:t>
      </w:r>
      <w:r>
        <w:rPr>
          <w:rFonts w:ascii="Arial"/>
          <w:i/>
          <w:spacing w:val="-3"/>
        </w:rPr>
        <w:t> </w:t>
      </w:r>
      <w:r>
        <w:rPr>
          <w:color w:val="005DA1"/>
          <w:u w:val="single" w:color="005DA1"/>
          <w:vertAlign w:val="superscript"/>
        </w:rPr>
        <w:t>341</w:t>
      </w:r>
      <w:r>
        <w:rPr>
          <w:color w:val="005DA1"/>
          <w:spacing w:val="-3"/>
          <w:vertAlign w:val="baseline"/>
        </w:rPr>
        <w:t> </w:t>
      </w:r>
      <w:r>
        <w:rPr>
          <w:vertAlign w:val="baseline"/>
        </w:rPr>
        <w:t>the</w:t>
      </w:r>
      <w:r>
        <w:rPr>
          <w:spacing w:val="-3"/>
          <w:vertAlign w:val="baseline"/>
        </w:rPr>
        <w:t> </w:t>
      </w:r>
      <w:r>
        <w:rPr>
          <w:vertAlign w:val="baseline"/>
        </w:rPr>
        <w:t>Court</w:t>
      </w:r>
      <w:r>
        <w:rPr>
          <w:spacing w:val="-3"/>
          <w:vertAlign w:val="baseline"/>
        </w:rPr>
        <w:t> </w:t>
      </w:r>
      <w:r>
        <w:rPr>
          <w:vertAlign w:val="baseline"/>
        </w:rPr>
        <w:t>of</w:t>
      </w:r>
      <w:r>
        <w:rPr>
          <w:spacing w:val="-3"/>
          <w:vertAlign w:val="baseline"/>
        </w:rPr>
        <w:t> </w:t>
      </w:r>
      <w:r>
        <w:rPr>
          <w:vertAlign w:val="baseline"/>
        </w:rPr>
        <w:t>Appeal</w:t>
      </w:r>
      <w:r>
        <w:rPr>
          <w:spacing w:val="-3"/>
          <w:vertAlign w:val="baseline"/>
        </w:rPr>
        <w:t> </w:t>
      </w:r>
      <w:r>
        <w:rPr>
          <w:vertAlign w:val="baseline"/>
        </w:rPr>
        <w:t>held</w:t>
      </w:r>
      <w:r>
        <w:rPr>
          <w:spacing w:val="-3"/>
          <w:vertAlign w:val="baseline"/>
        </w:rPr>
        <w:t> </w:t>
      </w:r>
      <w:r>
        <w:rPr>
          <w:vertAlign w:val="baseline"/>
        </w:rPr>
        <w:t>that</w:t>
      </w:r>
      <w:r>
        <w:rPr>
          <w:spacing w:val="-3"/>
          <w:vertAlign w:val="baseline"/>
        </w:rPr>
        <w:t> </w:t>
      </w:r>
      <w:r>
        <w:rPr>
          <w:vertAlign w:val="baseline"/>
        </w:rPr>
        <w:t>compound</w:t>
      </w:r>
      <w:r>
        <w:rPr>
          <w:spacing w:val="-3"/>
          <w:vertAlign w:val="baseline"/>
        </w:rPr>
        <w:t> </w:t>
      </w:r>
      <w:r>
        <w:rPr>
          <w:vertAlign w:val="baseline"/>
        </w:rPr>
        <w:t>interest</w:t>
      </w:r>
      <w:r>
        <w:rPr>
          <w:spacing w:val="-3"/>
          <w:vertAlign w:val="baseline"/>
        </w:rPr>
        <w:t> </w:t>
      </w:r>
      <w:r>
        <w:rPr>
          <w:vertAlign w:val="baseline"/>
        </w:rPr>
        <w:t>cannot</w:t>
      </w:r>
      <w:r>
        <w:rPr>
          <w:spacing w:val="-3"/>
          <w:vertAlign w:val="baseline"/>
        </w:rPr>
        <w:t> </w:t>
      </w:r>
      <w:r>
        <w:rPr>
          <w:vertAlign w:val="baseline"/>
        </w:rPr>
        <w:t>be</w:t>
      </w:r>
      <w:r>
        <w:rPr>
          <w:spacing w:val="-3"/>
          <w:vertAlign w:val="baseline"/>
        </w:rPr>
        <w:t> </w:t>
      </w:r>
      <w:r>
        <w:rPr>
          <w:vertAlign w:val="baseline"/>
        </w:rPr>
        <w:t>awarded</w:t>
      </w:r>
      <w:r>
        <w:rPr>
          <w:spacing w:val="-3"/>
          <w:vertAlign w:val="baseline"/>
        </w:rPr>
        <w:t> </w:t>
      </w:r>
      <w:r>
        <w:rPr>
          <w:vertAlign w:val="baseline"/>
        </w:rPr>
        <w:t>on</w:t>
      </w:r>
      <w:r>
        <w:rPr>
          <w:spacing w:val="-3"/>
          <w:vertAlign w:val="baseline"/>
        </w:rPr>
        <w:t> </w:t>
      </w:r>
      <w:r>
        <w:rPr>
          <w:vertAlign w:val="baseline"/>
        </w:rPr>
        <w:t>damages for fraud. Waller L.J., giving the judgment of the court, said that compound interest will be awarded in equity in the two cases:</w:t>
      </w:r>
    </w:p>
    <w:p>
      <w:pPr>
        <w:pStyle w:val="BodyText"/>
      </w:pPr>
    </w:p>
    <w:p>
      <w:pPr>
        <w:pStyle w:val="BodyText"/>
        <w:spacing w:before="125"/>
      </w:pPr>
    </w:p>
    <w:p>
      <w:pPr>
        <w:pStyle w:val="BodyText"/>
        <w:spacing w:line="235" w:lineRule="auto" w:before="1"/>
        <w:ind w:left="1245" w:right="167"/>
        <w:jc w:val="both"/>
      </w:pPr>
      <w:bookmarkStart w:name="_bookmark552" w:id="554"/>
      <w:bookmarkEnd w:id="554"/>
      <w:r>
        <w:rPr/>
      </w:r>
      <w:r>
        <w:rPr/>
        <w:t>“[1] … where money had been obtained and retained by fraud, or [2] where it had been withheld or misapplied by a trustee or anyone else in a fiduciary position.” </w:t>
      </w:r>
      <w:r>
        <w:rPr>
          <w:color w:val="005DA1"/>
          <w:u w:val="single" w:color="005DA1"/>
          <w:vertAlign w:val="superscript"/>
        </w:rPr>
        <w:t>342</w:t>
      </w:r>
    </w:p>
    <w:p>
      <w:pPr>
        <w:pStyle w:val="BodyText"/>
        <w:spacing w:before="115"/>
      </w:pPr>
    </w:p>
    <w:p>
      <w:pPr>
        <w:pStyle w:val="BodyText"/>
        <w:spacing w:line="235" w:lineRule="auto" w:before="1"/>
        <w:ind w:left="164" w:right="167"/>
        <w:jc w:val="both"/>
      </w:pPr>
      <w:bookmarkStart w:name="_bookmark553" w:id="555"/>
      <w:bookmarkEnd w:id="555"/>
      <w:r>
        <w:rPr/>
      </w:r>
      <w:r>
        <w:rPr/>
        <w:t>However,</w:t>
      </w:r>
      <w:r>
        <w:rPr>
          <w:spacing w:val="-1"/>
        </w:rPr>
        <w:t> </w:t>
      </w:r>
      <w:r>
        <w:rPr/>
        <w:t>the</w:t>
      </w:r>
      <w:r>
        <w:rPr>
          <w:spacing w:val="-1"/>
        </w:rPr>
        <w:t> </w:t>
      </w:r>
      <w:r>
        <w:rPr/>
        <w:t>House</w:t>
      </w:r>
      <w:r>
        <w:rPr>
          <w:spacing w:val="-1"/>
        </w:rPr>
        <w:t> </w:t>
      </w:r>
      <w:r>
        <w:rPr/>
        <w:t>of</w:t>
      </w:r>
      <w:r>
        <w:rPr>
          <w:spacing w:val="-1"/>
        </w:rPr>
        <w:t> </w:t>
      </w:r>
      <w:r>
        <w:rPr/>
        <w:t>Lords</w:t>
      </w:r>
      <w:r>
        <w:rPr>
          <w:spacing w:val="-1"/>
        </w:rPr>
        <w:t> </w:t>
      </w:r>
      <w:r>
        <w:rPr/>
        <w:t>has</w:t>
      </w:r>
      <w:r>
        <w:rPr>
          <w:spacing w:val="-1"/>
        </w:rPr>
        <w:t> </w:t>
      </w:r>
      <w:r>
        <w:rPr/>
        <w:t>recently</w:t>
      </w:r>
      <w:r>
        <w:rPr>
          <w:spacing w:val="-1"/>
        </w:rPr>
        <w:t> </w:t>
      </w:r>
      <w:r>
        <w:rPr/>
        <w:t>said</w:t>
      </w:r>
      <w:r>
        <w:rPr>
          <w:spacing w:val="-1"/>
        </w:rPr>
        <w:t> </w:t>
      </w:r>
      <w:r>
        <w:rPr/>
        <w:t>that</w:t>
      </w:r>
      <w:r>
        <w:rPr>
          <w:spacing w:val="-1"/>
        </w:rPr>
        <w:t> </w:t>
      </w:r>
      <w:r>
        <w:rPr/>
        <w:t>the</w:t>
      </w:r>
      <w:r>
        <w:rPr>
          <w:spacing w:val="-1"/>
        </w:rPr>
        <w:t> </w:t>
      </w:r>
      <w:r>
        <w:rPr/>
        <w:t>rule</w:t>
      </w:r>
      <w:r>
        <w:rPr>
          <w:spacing w:val="-1"/>
        </w:rPr>
        <w:t> </w:t>
      </w:r>
      <w:r>
        <w:rPr/>
        <w:t>that</w:t>
      </w:r>
      <w:r>
        <w:rPr>
          <w:spacing w:val="-1"/>
        </w:rPr>
        <w:t> </w:t>
      </w:r>
      <w:r>
        <w:rPr/>
        <w:t>lost</w:t>
      </w:r>
      <w:r>
        <w:rPr>
          <w:spacing w:val="-1"/>
        </w:rPr>
        <w:t> </w:t>
      </w:r>
      <w:r>
        <w:rPr/>
        <w:t>interest</w:t>
      </w:r>
      <w:r>
        <w:rPr>
          <w:spacing w:val="-1"/>
        </w:rPr>
        <w:t> </w:t>
      </w:r>
      <w:r>
        <w:rPr/>
        <w:t>may</w:t>
      </w:r>
      <w:r>
        <w:rPr>
          <w:spacing w:val="-1"/>
        </w:rPr>
        <w:t> </w:t>
      </w:r>
      <w:r>
        <w:rPr/>
        <w:t>not</w:t>
      </w:r>
      <w:r>
        <w:rPr>
          <w:spacing w:val="-1"/>
        </w:rPr>
        <w:t> </w:t>
      </w:r>
      <w:r>
        <w:rPr/>
        <w:t>be</w:t>
      </w:r>
      <w:r>
        <w:rPr>
          <w:spacing w:val="-1"/>
        </w:rPr>
        <w:t> </w:t>
      </w:r>
      <w:r>
        <w:rPr/>
        <w:t>recovered</w:t>
      </w:r>
      <w:r>
        <w:rPr>
          <w:spacing w:val="-1"/>
        </w:rPr>
        <w:t> </w:t>
      </w:r>
      <w:r>
        <w:rPr/>
        <w:t>by </w:t>
      </w:r>
      <w:bookmarkStart w:name="_bookmark554" w:id="556"/>
      <w:bookmarkEnd w:id="556"/>
      <w:r>
        <w:rPr/>
        <w:t>way</w:t>
      </w:r>
      <w:r>
        <w:rPr/>
        <w:t> of damages should be confined to those cases in which the loss is not pleaded or proved. </w:t>
      </w:r>
      <w:r>
        <w:rPr>
          <w:color w:val="005DA1"/>
          <w:u w:val="single" w:color="005DA1"/>
          <w:vertAlign w:val="superscript"/>
        </w:rPr>
        <w:t>343</w:t>
      </w:r>
      <w:r>
        <w:rPr>
          <w:color w:val="005DA1"/>
          <w:vertAlign w:val="baseline"/>
        </w:rPr>
        <w:t> </w:t>
      </w:r>
      <w:r>
        <w:rPr>
          <w:vertAlign w:val="baseline"/>
        </w:rPr>
        <w:t>Loss of interest at compound rates can be recovered if that is the loss pleaded and proven. </w:t>
      </w:r>
      <w:r>
        <w:rPr>
          <w:color w:val="005DA1"/>
          <w:u w:val="single" w:color="005DA1"/>
          <w:vertAlign w:val="superscript"/>
        </w:rPr>
        <w:t>344</w:t>
      </w:r>
      <w:r>
        <w:rPr>
          <w:color w:val="005DA1"/>
          <w:vertAlign w:val="baseline"/>
        </w:rPr>
        <w:t> </w:t>
      </w:r>
      <w:r>
        <w:rPr>
          <w:vertAlign w:val="baseline"/>
        </w:rPr>
        <w:t>This applies to damages for fraud as much as to damages for any other common law claim. It has been </w:t>
      </w:r>
      <w:bookmarkStart w:name="_bookmark555" w:id="557"/>
      <w:bookmarkEnd w:id="557"/>
      <w:r>
        <w:rPr>
          <w:vertAlign w:val="baseline"/>
        </w:rPr>
        <w:t>held</w:t>
      </w:r>
      <w:r>
        <w:rPr>
          <w:vertAlign w:val="baseline"/>
        </w:rPr>
        <w:t> in a case of fraud that damages may be recovered for loss of use of money on an alternative investment. </w:t>
      </w:r>
      <w:r>
        <w:rPr>
          <w:color w:val="005DA1"/>
          <w:u w:val="single" w:color="005DA1"/>
          <w:vertAlign w:val="superscript"/>
        </w:rPr>
        <w:t>345</w:t>
      </w:r>
    </w:p>
    <w:p>
      <w:pPr>
        <w:pStyle w:val="BodyText"/>
      </w:pPr>
    </w:p>
    <w:p>
      <w:pPr>
        <w:pStyle w:val="BodyText"/>
        <w:spacing w:before="36"/>
      </w:pPr>
    </w:p>
    <w:p>
      <w:pPr>
        <w:spacing w:before="0"/>
        <w:ind w:left="165" w:right="0" w:firstLine="0"/>
        <w:jc w:val="left"/>
        <w:rPr>
          <w:rFonts w:ascii="Arial"/>
          <w:b/>
          <w:sz w:val="18"/>
        </w:rPr>
      </w:pPr>
      <w:r>
        <w:rPr>
          <w:rFonts w:ascii="Arial"/>
          <w:b/>
          <w:spacing w:val="-2"/>
          <w:sz w:val="18"/>
        </w:rPr>
        <w:t>Illegality</w:t>
      </w:r>
    </w:p>
    <w:p>
      <w:pPr>
        <w:spacing w:after="0"/>
        <w:jc w:val="left"/>
        <w:rPr>
          <w:rFonts w:ascii="Arial"/>
          <w:b/>
          <w:sz w:val="18"/>
        </w:rPr>
        <w:sectPr>
          <w:pgSz w:w="11900" w:h="16840"/>
          <w:pgMar w:header="971" w:footer="0" w:top="1160" w:bottom="280" w:left="1275" w:right="1275"/>
        </w:sectPr>
      </w:pPr>
    </w:p>
    <w:p>
      <w:pPr>
        <w:pStyle w:val="BodyText"/>
        <w:spacing w:before="130"/>
        <w:rPr>
          <w:rFonts w:ascii="Arial"/>
          <w:b/>
          <w:sz w:val="24"/>
        </w:rPr>
      </w:pPr>
    </w:p>
    <w:p>
      <w:pPr>
        <w:pStyle w:val="Heading2"/>
      </w:pPr>
      <w:r>
        <w:rPr/>
        <w:t>7-</w:t>
      </w:r>
      <w:r>
        <w:rPr>
          <w:spacing w:val="-5"/>
        </w:rPr>
        <w:t>073</w:t>
      </w:r>
    </w:p>
    <w:p>
      <w:pPr>
        <w:pStyle w:val="BodyText"/>
        <w:spacing w:line="235" w:lineRule="auto" w:before="203"/>
        <w:ind w:left="165" w:right="167"/>
        <w:jc w:val="both"/>
      </w:pPr>
      <w:bookmarkStart w:name="_bookmark556" w:id="558"/>
      <w:bookmarkEnd w:id="558"/>
      <w:r>
        <w:rPr/>
      </w:r>
      <w:r>
        <w:rPr/>
        <w:t>It has been held that payments made under a contract which was illegal (though not to the knowledge of</w:t>
      </w:r>
      <w:r>
        <w:rPr>
          <w:spacing w:val="-3"/>
        </w:rPr>
        <w:t> </w:t>
      </w:r>
      <w:r>
        <w:rPr/>
        <w:t>the</w:t>
      </w:r>
      <w:r>
        <w:rPr>
          <w:spacing w:val="-3"/>
        </w:rPr>
        <w:t> </w:t>
      </w:r>
      <w:r>
        <w:rPr/>
        <w:t>plaintiff)</w:t>
      </w:r>
      <w:r>
        <w:rPr>
          <w:spacing w:val="-3"/>
        </w:rPr>
        <w:t> </w:t>
      </w:r>
      <w:r>
        <w:rPr/>
        <w:t>could</w:t>
      </w:r>
      <w:r>
        <w:rPr>
          <w:spacing w:val="-3"/>
        </w:rPr>
        <w:t> </w:t>
      </w:r>
      <w:r>
        <w:rPr/>
        <w:t>be</w:t>
      </w:r>
      <w:r>
        <w:rPr>
          <w:spacing w:val="-3"/>
        </w:rPr>
        <w:t> </w:t>
      </w:r>
      <w:r>
        <w:rPr/>
        <w:t>recovered</w:t>
      </w:r>
      <w:r>
        <w:rPr>
          <w:spacing w:val="-3"/>
        </w:rPr>
        <w:t> </w:t>
      </w:r>
      <w:r>
        <w:rPr/>
        <w:t>in</w:t>
      </w:r>
      <w:r>
        <w:rPr>
          <w:spacing w:val="-3"/>
        </w:rPr>
        <w:t> </w:t>
      </w:r>
      <w:r>
        <w:rPr/>
        <w:t>an</w:t>
      </w:r>
      <w:r>
        <w:rPr>
          <w:spacing w:val="-3"/>
        </w:rPr>
        <w:t> </w:t>
      </w:r>
      <w:r>
        <w:rPr/>
        <w:t>action</w:t>
      </w:r>
      <w:r>
        <w:rPr>
          <w:spacing w:val="-3"/>
        </w:rPr>
        <w:t> </w:t>
      </w:r>
      <w:r>
        <w:rPr/>
        <w:t>of</w:t>
      </w:r>
      <w:r>
        <w:rPr>
          <w:spacing w:val="-3"/>
        </w:rPr>
        <w:t> </w:t>
      </w:r>
      <w:r>
        <w:rPr/>
        <w:t>fraud,</w:t>
      </w:r>
      <w:r>
        <w:rPr>
          <w:spacing w:val="-4"/>
        </w:rPr>
        <w:t> </w:t>
      </w:r>
      <w:r>
        <w:rPr>
          <w:color w:val="005DA1"/>
          <w:u w:val="single" w:color="005DA1"/>
          <w:vertAlign w:val="superscript"/>
        </w:rPr>
        <w:t>346</w:t>
      </w:r>
      <w:r>
        <w:rPr>
          <w:color w:val="005DA1"/>
          <w:spacing w:val="-3"/>
          <w:vertAlign w:val="baseline"/>
        </w:rPr>
        <w:t> </w:t>
      </w:r>
      <w:r>
        <w:rPr>
          <w:vertAlign w:val="baseline"/>
        </w:rPr>
        <w:t>though</w:t>
      </w:r>
      <w:r>
        <w:rPr>
          <w:spacing w:val="-3"/>
          <w:vertAlign w:val="baseline"/>
        </w:rPr>
        <w:t> </w:t>
      </w:r>
      <w:r>
        <w:rPr>
          <w:vertAlign w:val="baseline"/>
        </w:rPr>
        <w:t>the</w:t>
      </w:r>
      <w:r>
        <w:rPr>
          <w:spacing w:val="-3"/>
          <w:vertAlign w:val="baseline"/>
        </w:rPr>
        <w:t> </w:t>
      </w:r>
      <w:r>
        <w:rPr>
          <w:vertAlign w:val="baseline"/>
        </w:rPr>
        <w:t>contract</w:t>
      </w:r>
      <w:r>
        <w:rPr>
          <w:spacing w:val="-3"/>
          <w:vertAlign w:val="baseline"/>
        </w:rPr>
        <w:t> </w:t>
      </w:r>
      <w:r>
        <w:rPr>
          <w:vertAlign w:val="baseline"/>
        </w:rPr>
        <w:t>itself</w:t>
      </w:r>
      <w:r>
        <w:rPr>
          <w:spacing w:val="-3"/>
          <w:vertAlign w:val="baseline"/>
        </w:rPr>
        <w:t> </w:t>
      </w:r>
      <w:r>
        <w:rPr>
          <w:vertAlign w:val="baseline"/>
        </w:rPr>
        <w:t>could</w:t>
      </w:r>
      <w:r>
        <w:rPr>
          <w:spacing w:val="-3"/>
          <w:vertAlign w:val="baseline"/>
        </w:rPr>
        <w:t> </w:t>
      </w:r>
      <w:r>
        <w:rPr>
          <w:vertAlign w:val="baseline"/>
        </w:rPr>
        <w:t>not</w:t>
      </w:r>
      <w:r>
        <w:rPr>
          <w:spacing w:val="-3"/>
          <w:vertAlign w:val="baseline"/>
        </w:rPr>
        <w:t> </w:t>
      </w:r>
      <w:r>
        <w:rPr>
          <w:vertAlign w:val="baseline"/>
        </w:rPr>
        <w:t>be</w:t>
      </w:r>
      <w:r>
        <w:rPr>
          <w:spacing w:val="-3"/>
          <w:vertAlign w:val="baseline"/>
        </w:rPr>
        <w:t> </w:t>
      </w:r>
      <w:r>
        <w:rPr>
          <w:vertAlign w:val="baseline"/>
        </w:rPr>
        <w:t>sued </w:t>
      </w:r>
      <w:bookmarkStart w:name="_bookmark557" w:id="559"/>
      <w:bookmarkEnd w:id="559"/>
      <w:r>
        <w:rPr>
          <w:vertAlign w:val="baseline"/>
        </w:rPr>
        <w:t>upon</w:t>
      </w:r>
      <w:r>
        <w:rPr>
          <w:vertAlign w:val="baseline"/>
        </w:rPr>
        <w:t> because of the illegality. Further, damages for fraud may be recovered even where the contract </w:t>
      </w:r>
      <w:bookmarkStart w:name="_bookmark558" w:id="560"/>
      <w:bookmarkEnd w:id="560"/>
      <w:r>
        <w:rPr>
          <w:vertAlign w:val="baseline"/>
        </w:rPr>
        <w:t>was</w:t>
      </w:r>
      <w:r>
        <w:rPr>
          <w:vertAlign w:val="baseline"/>
        </w:rPr>
        <w:t> known by the plaintiffs to be illegal, if the fraud and the illegality were quite unconnected. </w:t>
      </w:r>
      <w:r>
        <w:rPr>
          <w:color w:val="005DA1"/>
          <w:u w:val="single" w:color="005DA1"/>
          <w:vertAlign w:val="superscript"/>
        </w:rPr>
        <w:t>347</w:t>
      </w:r>
      <w:r>
        <w:rPr>
          <w:color w:val="005DA1"/>
          <w:vertAlign w:val="baseline"/>
        </w:rPr>
        <w:t> </w:t>
      </w:r>
      <w:r>
        <w:rPr>
          <w:vertAlign w:val="baseline"/>
        </w:rPr>
        <w:t>In </w:t>
      </w:r>
      <w:r>
        <w:rPr>
          <w:rFonts w:ascii="Arial"/>
          <w:i/>
          <w:vertAlign w:val="baseline"/>
        </w:rPr>
        <w:t>Hughes</w:t>
      </w:r>
      <w:r>
        <w:rPr>
          <w:rFonts w:ascii="Arial"/>
          <w:i/>
          <w:spacing w:val="-2"/>
          <w:vertAlign w:val="baseline"/>
        </w:rPr>
        <w:t> </w:t>
      </w:r>
      <w:r>
        <w:rPr>
          <w:rFonts w:ascii="Arial"/>
          <w:i/>
          <w:vertAlign w:val="baseline"/>
        </w:rPr>
        <w:t>v</w:t>
      </w:r>
      <w:r>
        <w:rPr>
          <w:rFonts w:ascii="Arial"/>
          <w:i/>
          <w:spacing w:val="-2"/>
          <w:vertAlign w:val="baseline"/>
        </w:rPr>
        <w:t> </w:t>
      </w:r>
      <w:r>
        <w:rPr>
          <w:rFonts w:ascii="Arial"/>
          <w:i/>
          <w:vertAlign w:val="baseline"/>
        </w:rPr>
        <w:t>Clewley,</w:t>
      </w:r>
      <w:r>
        <w:rPr>
          <w:rFonts w:ascii="Arial"/>
          <w:i/>
          <w:spacing w:val="-2"/>
          <w:vertAlign w:val="baseline"/>
        </w:rPr>
        <w:t> </w:t>
      </w:r>
      <w:r>
        <w:rPr>
          <w:rFonts w:ascii="Arial"/>
          <w:i/>
          <w:vertAlign w:val="baseline"/>
        </w:rPr>
        <w:t>The</w:t>
      </w:r>
      <w:r>
        <w:rPr>
          <w:rFonts w:ascii="Arial"/>
          <w:i/>
          <w:spacing w:val="-2"/>
          <w:vertAlign w:val="baseline"/>
        </w:rPr>
        <w:t> </w:t>
      </w:r>
      <w:r>
        <w:rPr>
          <w:rFonts w:ascii="Arial"/>
          <w:i/>
          <w:vertAlign w:val="baseline"/>
        </w:rPr>
        <w:t>Siben</w:t>
      </w:r>
      <w:r>
        <w:rPr>
          <w:rFonts w:ascii="Arial"/>
          <w:i/>
          <w:spacing w:val="-2"/>
          <w:vertAlign w:val="baseline"/>
        </w:rPr>
        <w:t> </w:t>
      </w:r>
      <w:r>
        <w:rPr>
          <w:rFonts w:ascii="Arial"/>
          <w:i/>
          <w:vertAlign w:val="baseline"/>
        </w:rPr>
        <w:t>(No.2)</w:t>
      </w:r>
      <w:r>
        <w:rPr>
          <w:rFonts w:ascii="Arial"/>
          <w:i/>
          <w:spacing w:val="-3"/>
          <w:vertAlign w:val="baseline"/>
        </w:rPr>
        <w:t> </w:t>
      </w:r>
      <w:r>
        <w:rPr>
          <w:color w:val="005DA1"/>
          <w:u w:val="single" w:color="005DA1"/>
          <w:vertAlign w:val="superscript"/>
        </w:rPr>
        <w:t>348</w:t>
      </w:r>
      <w:r>
        <w:rPr>
          <w:color w:val="005DA1"/>
          <w:spacing w:val="-2"/>
          <w:vertAlign w:val="baseline"/>
        </w:rPr>
        <w:t> </w:t>
      </w:r>
      <w:r>
        <w:rPr>
          <w:vertAlign w:val="baseline"/>
        </w:rPr>
        <w:t>the</w:t>
      </w:r>
      <w:r>
        <w:rPr>
          <w:spacing w:val="-2"/>
          <w:vertAlign w:val="baseline"/>
        </w:rPr>
        <w:t> </w:t>
      </w:r>
      <w:r>
        <w:rPr>
          <w:vertAlign w:val="baseline"/>
        </w:rPr>
        <w:t>misrepresentee</w:t>
      </w:r>
      <w:r>
        <w:rPr>
          <w:spacing w:val="-2"/>
          <w:vertAlign w:val="baseline"/>
        </w:rPr>
        <w:t> </w:t>
      </w:r>
      <w:r>
        <w:rPr>
          <w:vertAlign w:val="baseline"/>
        </w:rPr>
        <w:t>was</w:t>
      </w:r>
      <w:r>
        <w:rPr>
          <w:spacing w:val="-2"/>
          <w:vertAlign w:val="baseline"/>
        </w:rPr>
        <w:t> </w:t>
      </w:r>
      <w:r>
        <w:rPr>
          <w:vertAlign w:val="baseline"/>
        </w:rPr>
        <w:t>permitted</w:t>
      </w:r>
      <w:r>
        <w:rPr>
          <w:spacing w:val="-2"/>
          <w:vertAlign w:val="baseline"/>
        </w:rPr>
        <w:t> </w:t>
      </w:r>
      <w:r>
        <w:rPr>
          <w:vertAlign w:val="baseline"/>
        </w:rPr>
        <w:t>to</w:t>
      </w:r>
      <w:r>
        <w:rPr>
          <w:spacing w:val="-2"/>
          <w:vertAlign w:val="baseline"/>
        </w:rPr>
        <w:t> </w:t>
      </w:r>
      <w:r>
        <w:rPr>
          <w:vertAlign w:val="baseline"/>
        </w:rPr>
        <w:t>claim</w:t>
      </w:r>
      <w:r>
        <w:rPr>
          <w:spacing w:val="-2"/>
          <w:vertAlign w:val="baseline"/>
        </w:rPr>
        <w:t> </w:t>
      </w:r>
      <w:r>
        <w:rPr>
          <w:vertAlign w:val="baseline"/>
        </w:rPr>
        <w:t>damages</w:t>
      </w:r>
      <w:r>
        <w:rPr>
          <w:spacing w:val="-2"/>
          <w:vertAlign w:val="baseline"/>
        </w:rPr>
        <w:t> </w:t>
      </w:r>
      <w:r>
        <w:rPr>
          <w:vertAlign w:val="baseline"/>
        </w:rPr>
        <w:t>for</w:t>
      </w:r>
      <w:r>
        <w:rPr>
          <w:spacing w:val="-2"/>
          <w:vertAlign w:val="baseline"/>
        </w:rPr>
        <w:t> </w:t>
      </w:r>
      <w:r>
        <w:rPr>
          <w:vertAlign w:val="baseline"/>
        </w:rPr>
        <w:t>fraud although</w:t>
      </w:r>
      <w:r>
        <w:rPr>
          <w:spacing w:val="-2"/>
          <w:vertAlign w:val="baseline"/>
        </w:rPr>
        <w:t> </w:t>
      </w:r>
      <w:r>
        <w:rPr>
          <w:vertAlign w:val="baseline"/>
        </w:rPr>
        <w:t>part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business</w:t>
      </w:r>
      <w:r>
        <w:rPr>
          <w:spacing w:val="-2"/>
          <w:vertAlign w:val="baseline"/>
        </w:rPr>
        <w:t> </w:t>
      </w:r>
      <w:r>
        <w:rPr>
          <w:vertAlign w:val="baseline"/>
        </w:rPr>
        <w:t>transferred</w:t>
      </w:r>
      <w:r>
        <w:rPr>
          <w:spacing w:val="-2"/>
          <w:vertAlign w:val="baseline"/>
        </w:rPr>
        <w:t> </w:t>
      </w:r>
      <w:r>
        <w:rPr>
          <w:vertAlign w:val="baseline"/>
        </w:rPr>
        <w:t>to</w:t>
      </w:r>
      <w:r>
        <w:rPr>
          <w:spacing w:val="-2"/>
          <w:vertAlign w:val="baseline"/>
        </w:rPr>
        <w:t> </w:t>
      </w:r>
      <w:r>
        <w:rPr>
          <w:vertAlign w:val="baseline"/>
        </w:rPr>
        <w:t>him</w:t>
      </w:r>
      <w:r>
        <w:rPr>
          <w:spacing w:val="-2"/>
          <w:vertAlign w:val="baseline"/>
        </w:rPr>
        <w:t> </w:t>
      </w:r>
      <w:r>
        <w:rPr>
          <w:vertAlign w:val="baseline"/>
        </w:rPr>
        <w:t>was</w:t>
      </w:r>
      <w:r>
        <w:rPr>
          <w:spacing w:val="-2"/>
          <w:vertAlign w:val="baseline"/>
        </w:rPr>
        <w:t> </w:t>
      </w:r>
      <w:r>
        <w:rPr>
          <w:vertAlign w:val="baseline"/>
        </w:rPr>
        <w:t>used</w:t>
      </w:r>
      <w:r>
        <w:rPr>
          <w:spacing w:val="-2"/>
          <w:vertAlign w:val="baseline"/>
        </w:rPr>
        <w:t> </w:t>
      </w:r>
      <w:r>
        <w:rPr>
          <w:vertAlign w:val="baseline"/>
        </w:rPr>
        <w:t>for</w:t>
      </w:r>
      <w:r>
        <w:rPr>
          <w:spacing w:val="-2"/>
          <w:vertAlign w:val="baseline"/>
        </w:rPr>
        <w:t> </w:t>
      </w:r>
      <w:r>
        <w:rPr>
          <w:vertAlign w:val="baseline"/>
        </w:rPr>
        <w:t>immoral</w:t>
      </w:r>
      <w:r>
        <w:rPr>
          <w:spacing w:val="-2"/>
          <w:vertAlign w:val="baseline"/>
        </w:rPr>
        <w:t> </w:t>
      </w:r>
      <w:r>
        <w:rPr>
          <w:vertAlign w:val="baseline"/>
        </w:rPr>
        <w:t>purposes,</w:t>
      </w:r>
      <w:r>
        <w:rPr>
          <w:spacing w:val="-2"/>
          <w:vertAlign w:val="baseline"/>
        </w:rPr>
        <w:t> </w:t>
      </w:r>
      <w:r>
        <w:rPr>
          <w:vertAlign w:val="baseline"/>
        </w:rPr>
        <w:t>as</w:t>
      </w:r>
      <w:r>
        <w:rPr>
          <w:spacing w:val="-2"/>
          <w:vertAlign w:val="baseline"/>
        </w:rPr>
        <w:t> </w:t>
      </w:r>
      <w:r>
        <w:rPr>
          <w:vertAlign w:val="baseline"/>
        </w:rPr>
        <w:t>it</w:t>
      </w:r>
      <w:r>
        <w:rPr>
          <w:spacing w:val="-2"/>
          <w:vertAlign w:val="baseline"/>
        </w:rPr>
        <w:t> </w:t>
      </w:r>
      <w:r>
        <w:rPr>
          <w:vertAlign w:val="baseline"/>
        </w:rPr>
        <w:t>was</w:t>
      </w:r>
      <w:r>
        <w:rPr>
          <w:spacing w:val="-2"/>
          <w:vertAlign w:val="baseline"/>
        </w:rPr>
        <w:t> </w:t>
      </w:r>
      <w:r>
        <w:rPr>
          <w:vertAlign w:val="baseline"/>
        </w:rPr>
        <w:t>said</w:t>
      </w:r>
      <w:r>
        <w:rPr>
          <w:spacing w:val="-2"/>
          <w:vertAlign w:val="baseline"/>
        </w:rPr>
        <w:t> </w:t>
      </w:r>
      <w:r>
        <w:rPr>
          <w:vertAlign w:val="baseline"/>
        </w:rPr>
        <w:t>that</w:t>
      </w:r>
      <w:r>
        <w:rPr>
          <w:spacing w:val="-2"/>
          <w:vertAlign w:val="baseline"/>
        </w:rPr>
        <w:t> </w:t>
      </w:r>
      <w:r>
        <w:rPr>
          <w:vertAlign w:val="baseline"/>
        </w:rPr>
        <w:t>he did not have to rely on the illegal contract. Moreover, in calculating the value of what he had received for the purposes of damages, the value of this part of the business was disregarded.</w:t>
      </w:r>
    </w:p>
    <w:p>
      <w:pPr>
        <w:pStyle w:val="BodyText"/>
      </w:pPr>
    </w:p>
    <w:p>
      <w:pPr>
        <w:pStyle w:val="BodyText"/>
        <w:spacing w:before="36"/>
      </w:pPr>
      <w:r>
        <w:rPr/>
        <mc:AlternateContent>
          <mc:Choice Requires="wps">
            <w:drawing>
              <wp:anchor distT="0" distB="0" distL="0" distR="0" allowOverlap="1" layoutInCell="1" locked="0" behindDoc="1" simplePos="0" relativeHeight="487616512">
                <wp:simplePos x="0" y="0"/>
                <wp:positionH relativeFrom="page">
                  <wp:posOffset>914400</wp:posOffset>
                </wp:positionH>
                <wp:positionV relativeFrom="paragraph">
                  <wp:posOffset>184679</wp:posOffset>
                </wp:positionV>
                <wp:extent cx="5724525" cy="1270"/>
                <wp:effectExtent l="0" t="0" r="0" b="0"/>
                <wp:wrapTopAndBottom/>
                <wp:docPr id="122" name="Graphic 122"/>
                <wp:cNvGraphicFramePr>
                  <a:graphicFrameLocks/>
                </wp:cNvGraphicFramePr>
                <a:graphic>
                  <a:graphicData uri="http://schemas.microsoft.com/office/word/2010/wordprocessingShape">
                    <wps:wsp>
                      <wps:cNvPr id="122" name="Graphic 12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41664pt;width:450.75pt;height:.1pt;mso-position-horizontal-relative:page;mso-position-vertical-relative:paragraph;z-index:-15699968;mso-wrap-distance-left:0;mso-wrap-distance-right:0" id="docshape12"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3891712">
                <wp:simplePos x="0" y="0"/>
                <wp:positionH relativeFrom="page">
                  <wp:posOffset>914400</wp:posOffset>
                </wp:positionH>
                <wp:positionV relativeFrom="paragraph">
                  <wp:posOffset>94576</wp:posOffset>
                </wp:positionV>
                <wp:extent cx="4953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24768" from="72pt,7.446977pt" to="75.892pt,7.446977pt" stroked="true" strokeweight=".5pt" strokecolor="#005da1">
                <v:stroke dashstyle="solid"/>
                <w10:wrap type="none"/>
              </v:line>
            </w:pict>
          </mc:Fallback>
        </mc:AlternateContent>
      </w:r>
      <w:hyperlink w:history="true" w:anchor="_bookmark1576">
        <w:r>
          <w:rPr>
            <w:color w:val="005DA1"/>
            <w:spacing w:val="-6"/>
            <w:position w:val="5"/>
            <w:sz w:val="14"/>
          </w:rPr>
          <w:t>1</w:t>
        </w:r>
      </w:hyperlink>
      <w:r>
        <w:rPr>
          <w:spacing w:val="-6"/>
          <w:position w:val="5"/>
          <w:sz w:val="14"/>
        </w:rPr>
        <w:t>.</w:t>
      </w:r>
      <w:r>
        <w:rPr>
          <w:position w:val="5"/>
          <w:sz w:val="14"/>
        </w:rPr>
        <w:tab/>
      </w:r>
      <w:r>
        <w:rPr>
          <w:sz w:val="20"/>
        </w:rPr>
        <w:t>See Allen, </w:t>
      </w:r>
      <w:r>
        <w:rPr>
          <w:rFonts w:ascii="Arial"/>
          <w:i/>
          <w:sz w:val="20"/>
        </w:rPr>
        <w:t>Misrepresentation </w:t>
      </w:r>
      <w:r>
        <w:rPr>
          <w:sz w:val="20"/>
        </w:rPr>
        <w:t>(1988); Cartwright, </w:t>
      </w:r>
      <w:r>
        <w:rPr>
          <w:rFonts w:ascii="Arial"/>
          <w:i/>
          <w:sz w:val="20"/>
        </w:rPr>
        <w:t>Unequal Bargaining </w:t>
      </w:r>
      <w:r>
        <w:rPr>
          <w:sz w:val="20"/>
        </w:rPr>
        <w:t>(1991), Ch.3; </w:t>
      </w:r>
      <w:r>
        <w:rPr>
          <w:sz w:val="20"/>
        </w:rPr>
        <w:t>Cartwright, Misrepresentation, Mistake and Non-disclosure, 4th edn (2016); Spencer Bower and Handley, </w:t>
      </w:r>
      <w:r>
        <w:rPr>
          <w:rFonts w:ascii="Arial"/>
          <w:i/>
          <w:sz w:val="20"/>
        </w:rPr>
        <w:t>Actionable Misrepresentation</w:t>
      </w:r>
      <w:r>
        <w:rPr>
          <w:sz w:val="20"/>
        </w:rPr>
        <w:t>, 5th edn (2014).</w:t>
      </w:r>
    </w:p>
    <w:p>
      <w:pPr>
        <w:pStyle w:val="BodyText"/>
        <w:spacing w:before="9"/>
      </w:pPr>
    </w:p>
    <w:p>
      <w:pPr>
        <w:tabs>
          <w:tab w:pos="705" w:val="left" w:leader="none"/>
        </w:tabs>
        <w:spacing w:line="235" w:lineRule="auto" w:before="0"/>
        <w:ind w:left="705" w:right="168" w:hanging="541"/>
        <w:jc w:val="left"/>
        <w:rPr>
          <w:sz w:val="20"/>
        </w:rPr>
      </w:pPr>
      <w:bookmarkStart w:name="_bookmark559" w:id="561"/>
      <w:bookmarkEnd w:id="561"/>
      <w:r>
        <w:rPr/>
      </w:r>
      <w:hyperlink w:history="true" w:anchor="_bookmark468">
        <w:r>
          <w:rPr>
            <w:color w:val="005DA1"/>
            <w:spacing w:val="-4"/>
            <w:position w:val="5"/>
            <w:sz w:val="14"/>
            <w:u w:val="single" w:color="005DA1"/>
          </w:rPr>
          <w:t>249</w:t>
        </w:r>
      </w:hyperlink>
      <w:r>
        <w:rPr>
          <w:spacing w:val="-4"/>
          <w:position w:val="5"/>
          <w:sz w:val="14"/>
        </w:rPr>
        <w:t>.</w:t>
      </w:r>
      <w:r>
        <w:rPr>
          <w:position w:val="5"/>
          <w:sz w:val="14"/>
        </w:rPr>
        <w:tab/>
      </w:r>
      <w:r>
        <w:rPr>
          <w:rFonts w:ascii="Arial"/>
          <w:i/>
          <w:sz w:val="20"/>
        </w:rPr>
        <w:t>Archer v</w:t>
      </w:r>
      <w:r>
        <w:rPr>
          <w:rFonts w:ascii="Arial"/>
          <w:i/>
          <w:spacing w:val="-1"/>
          <w:sz w:val="20"/>
        </w:rPr>
        <w:t> </w:t>
      </w:r>
      <w:r>
        <w:rPr>
          <w:rFonts w:ascii="Arial"/>
          <w:i/>
          <w:sz w:val="20"/>
        </w:rPr>
        <w:t>Brown [1985]</w:t>
      </w:r>
      <w:r>
        <w:rPr>
          <w:rFonts w:ascii="Arial"/>
          <w:i/>
          <w:spacing w:val="-1"/>
          <w:sz w:val="20"/>
        </w:rPr>
        <w:t> </w:t>
      </w:r>
      <w:r>
        <w:rPr>
          <w:rFonts w:ascii="Arial"/>
          <w:i/>
          <w:sz w:val="20"/>
        </w:rPr>
        <w:t>Q.B. 401</w:t>
      </w:r>
      <w:r>
        <w:rPr>
          <w:sz w:val="20"/>
        </w:rPr>
        <w:t>;</w:t>
      </w:r>
      <w:r>
        <w:rPr>
          <w:spacing w:val="-1"/>
          <w:sz w:val="20"/>
        </w:rPr>
        <w:t> </w:t>
      </w:r>
      <w:r>
        <w:rPr>
          <w:sz w:val="20"/>
        </w:rPr>
        <w:t>cf. Companies</w:t>
      </w:r>
      <w:r>
        <w:rPr>
          <w:spacing w:val="-1"/>
          <w:sz w:val="20"/>
        </w:rPr>
        <w:t> </w:t>
      </w:r>
      <w:r>
        <w:rPr>
          <w:sz w:val="20"/>
        </w:rPr>
        <w:t>Act 2006</w:t>
      </w:r>
      <w:r>
        <w:rPr>
          <w:spacing w:val="-1"/>
          <w:sz w:val="20"/>
        </w:rPr>
        <w:t> </w:t>
      </w:r>
      <w:r>
        <w:rPr>
          <w:sz w:val="20"/>
        </w:rPr>
        <w:t>s.655, replacing</w:t>
      </w:r>
      <w:r>
        <w:rPr>
          <w:spacing w:val="-1"/>
          <w:sz w:val="20"/>
        </w:rPr>
        <w:t> </w:t>
      </w:r>
      <w:r>
        <w:rPr>
          <w:sz w:val="20"/>
        </w:rPr>
        <w:t>Companies Act</w:t>
      </w:r>
      <w:r>
        <w:rPr>
          <w:spacing w:val="-1"/>
          <w:sz w:val="20"/>
        </w:rPr>
        <w:t> </w:t>
      </w:r>
      <w:r>
        <w:rPr>
          <w:sz w:val="20"/>
        </w:rPr>
        <w:t>1985 </w:t>
      </w:r>
      <w:r>
        <w:rPr>
          <w:spacing w:val="-2"/>
          <w:sz w:val="20"/>
        </w:rPr>
        <w:t>s.111A.</w:t>
      </w:r>
    </w:p>
    <w:p>
      <w:pPr>
        <w:pStyle w:val="BodyText"/>
        <w:spacing w:before="5"/>
      </w:pPr>
    </w:p>
    <w:p>
      <w:pPr>
        <w:pStyle w:val="BodyText"/>
        <w:tabs>
          <w:tab w:pos="705" w:val="left" w:leader="none"/>
        </w:tabs>
        <w:ind w:left="165"/>
      </w:pPr>
      <w:bookmarkStart w:name="_bookmark560" w:id="562"/>
      <w:bookmarkEnd w:id="562"/>
      <w:r>
        <w:rPr/>
      </w:r>
      <w:hyperlink w:history="true" w:anchor="_bookmark468">
        <w:r>
          <w:rPr>
            <w:color w:val="005DA1"/>
            <w:spacing w:val="-4"/>
            <w:position w:val="5"/>
            <w:sz w:val="14"/>
            <w:u w:val="single" w:color="005DA1"/>
          </w:rPr>
          <w:t>250</w:t>
        </w:r>
      </w:hyperlink>
      <w:r>
        <w:rPr>
          <w:spacing w:val="-4"/>
          <w:position w:val="5"/>
          <w:sz w:val="14"/>
        </w:rPr>
        <w:t>.</w:t>
      </w:r>
      <w:r>
        <w:rPr>
          <w:position w:val="5"/>
          <w:sz w:val="14"/>
        </w:rPr>
        <w:tab/>
      </w:r>
      <w:r>
        <w:rPr/>
        <w:t>Below,</w:t>
      </w:r>
      <w:r>
        <w:rPr>
          <w:spacing w:val="-2"/>
        </w:rPr>
        <w:t> </w:t>
      </w:r>
      <w:r>
        <w:rPr/>
        <w:t>paras 7-111—7-</w:t>
      </w:r>
      <w:r>
        <w:rPr>
          <w:spacing w:val="-4"/>
        </w:rPr>
        <w:t>142.</w:t>
      </w:r>
    </w:p>
    <w:p>
      <w:pPr>
        <w:pStyle w:val="BodyText"/>
        <w:spacing w:before="5"/>
      </w:pPr>
    </w:p>
    <w:p>
      <w:pPr>
        <w:pStyle w:val="BodyText"/>
        <w:tabs>
          <w:tab w:pos="705" w:val="left" w:leader="none"/>
        </w:tabs>
        <w:ind w:left="165"/>
      </w:pPr>
      <w:bookmarkStart w:name="_bookmark561" w:id="563"/>
      <w:bookmarkEnd w:id="563"/>
      <w:r>
        <w:rPr/>
      </w:r>
      <w:hyperlink w:history="true" w:anchor="_bookmark469">
        <w:r>
          <w:rPr>
            <w:color w:val="005DA1"/>
            <w:spacing w:val="-4"/>
            <w:position w:val="5"/>
            <w:sz w:val="14"/>
            <w:u w:val="single" w:color="005DA1"/>
          </w:rPr>
          <w:t>251</w:t>
        </w:r>
      </w:hyperlink>
      <w:r>
        <w:rPr>
          <w:spacing w:val="-4"/>
          <w:position w:val="5"/>
          <w:sz w:val="14"/>
        </w:rPr>
        <w:t>.</w:t>
      </w:r>
      <w:r>
        <w:rPr>
          <w:position w:val="5"/>
          <w:sz w:val="14"/>
        </w:rPr>
        <w:tab/>
      </w:r>
      <w:r>
        <w:rPr/>
        <w:t>See</w:t>
      </w:r>
      <w:r>
        <w:rPr>
          <w:spacing w:val="-2"/>
        </w:rPr>
        <w:t> </w:t>
      </w:r>
      <w:r>
        <w:rPr/>
        <w:t>below, para.7-</w:t>
      </w:r>
      <w:r>
        <w:rPr>
          <w:spacing w:val="-4"/>
        </w:rPr>
        <w:t>076.</w:t>
      </w:r>
    </w:p>
    <w:p>
      <w:pPr>
        <w:pStyle w:val="BodyText"/>
        <w:spacing w:before="5"/>
      </w:pPr>
    </w:p>
    <w:p>
      <w:pPr>
        <w:pStyle w:val="BodyText"/>
        <w:tabs>
          <w:tab w:pos="705" w:val="left" w:leader="none"/>
        </w:tabs>
        <w:ind w:left="165"/>
      </w:pPr>
      <w:bookmarkStart w:name="_bookmark562" w:id="564"/>
      <w:bookmarkEnd w:id="564"/>
      <w:r>
        <w:rPr/>
      </w:r>
      <w:hyperlink w:history="true" w:anchor="_bookmark469">
        <w:r>
          <w:rPr>
            <w:color w:val="005DA1"/>
            <w:spacing w:val="-4"/>
            <w:position w:val="5"/>
            <w:sz w:val="14"/>
            <w:u w:val="single" w:color="005DA1"/>
          </w:rPr>
          <w:t>252</w:t>
        </w:r>
      </w:hyperlink>
      <w:r>
        <w:rPr>
          <w:spacing w:val="-4"/>
          <w:position w:val="5"/>
          <w:sz w:val="14"/>
        </w:rPr>
        <w:t>.</w:t>
      </w:r>
      <w:r>
        <w:rPr>
          <w:position w:val="5"/>
          <w:sz w:val="14"/>
        </w:rPr>
        <w:tab/>
      </w:r>
      <w:r>
        <w:rPr/>
        <w:t>Below,</w:t>
      </w:r>
      <w:r>
        <w:rPr>
          <w:spacing w:val="-2"/>
        </w:rPr>
        <w:t> </w:t>
      </w:r>
      <w:r>
        <w:rPr/>
        <w:t>paras 7-075 et </w:t>
      </w:r>
      <w:r>
        <w:rPr>
          <w:spacing w:val="-4"/>
        </w:rPr>
        <w:t>seq.</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8336">
            <wp:simplePos x="0" y="0"/>
            <wp:positionH relativeFrom="page">
              <wp:posOffset>1257846</wp:posOffset>
            </wp:positionH>
            <wp:positionV relativeFrom="paragraph">
              <wp:posOffset>160441</wp:posOffset>
            </wp:positionV>
            <wp:extent cx="107988" cy="107988"/>
            <wp:effectExtent l="0" t="0" r="0" b="0"/>
            <wp:wrapNone/>
            <wp:docPr id="124" name="Image 124"/>
            <wp:cNvGraphicFramePr>
              <a:graphicFrameLocks/>
            </wp:cNvGraphicFramePr>
            <a:graphic>
              <a:graphicData uri="http://schemas.openxmlformats.org/drawingml/2006/picture">
                <pic:pic>
                  <pic:nvPicPr>
                    <pic:cNvPr id="124" name="Image 12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563" w:id="565"/>
      <w:bookmarkEnd w:id="565"/>
      <w:r>
        <w:rPr/>
      </w:r>
      <w:hyperlink w:history="true" w:anchor="_bookmark470">
        <w:r>
          <w:rPr>
            <w:color w:val="005DA1"/>
            <w:spacing w:val="-4"/>
            <w:sz w:val="14"/>
            <w:u w:val="single" w:color="005DA1"/>
          </w:rPr>
          <w:t>253</w:t>
        </w:r>
      </w:hyperlink>
      <w:r>
        <w:rPr>
          <w:spacing w:val="-4"/>
          <w:sz w:val="14"/>
        </w:rPr>
        <w:t>.</w:t>
      </w:r>
    </w:p>
    <w:p>
      <w:pPr>
        <w:spacing w:line="235" w:lineRule="auto" w:before="212"/>
        <w:ind w:left="165" w:right="167" w:firstLine="170"/>
        <w:jc w:val="both"/>
        <w:rPr>
          <w:sz w:val="20"/>
        </w:rPr>
      </w:pPr>
      <w:r>
        <w:rPr/>
        <w:br w:type="column"/>
      </w:r>
      <w:r>
        <w:rPr>
          <w:sz w:val="20"/>
        </w:rPr>
        <w:t>Strictly, the burden is the same as that in other civil proceedings, namely, proof on the balance of probabilities (</w:t>
      </w:r>
      <w:r>
        <w:rPr>
          <w:rFonts w:ascii="Arial" w:hAnsi="Arial"/>
          <w:i/>
          <w:sz w:val="20"/>
        </w:rPr>
        <w:t>Hornal v Neuberger Properties Ltd [1957] 1 Q.B. 247</w:t>
      </w:r>
      <w:r>
        <w:rPr>
          <w:sz w:val="20"/>
        </w:rPr>
        <w:t>), but it is well known that the burden of proof of fraud is not easily discharged in practice. See the explanation in </w:t>
      </w:r>
      <w:r>
        <w:rPr>
          <w:rFonts w:ascii="Arial" w:hAnsi="Arial"/>
          <w:i/>
          <w:sz w:val="20"/>
        </w:rPr>
        <w:t>Dadourian Group International Inc v Simms [2009] EWCA Civ 169, [2009] 1 Lloyd’s Rep. </w:t>
      </w:r>
      <w:r>
        <w:rPr>
          <w:rFonts w:ascii="Arial" w:hAnsi="Arial"/>
          <w:i/>
          <w:sz w:val="20"/>
        </w:rPr>
        <w:t>601 </w:t>
      </w:r>
      <w:r>
        <w:rPr>
          <w:sz w:val="20"/>
        </w:rPr>
        <w:t>at [31]–[32], referring to the speech of Lord Nicholls in </w:t>
      </w:r>
      <w:r>
        <w:rPr>
          <w:rFonts w:ascii="Arial" w:hAnsi="Arial"/>
          <w:i/>
          <w:sz w:val="20"/>
        </w:rPr>
        <w:t>Re H (Minors) [1996] A.C. 563, 586 </w:t>
      </w:r>
      <w:r>
        <w:rPr>
          <w:sz w:val="20"/>
        </w:rPr>
        <w:t>and that of Baroness Hale in </w:t>
      </w:r>
      <w:r>
        <w:rPr>
          <w:rFonts w:ascii="Arial" w:hAnsi="Arial"/>
          <w:i/>
          <w:sz w:val="20"/>
        </w:rPr>
        <w:t>Re B (Children) (Care proceedings: standard of proof) [2008] UKHL</w:t>
      </w:r>
      <w:r>
        <w:rPr>
          <w:rFonts w:ascii="Arial" w:hAnsi="Arial"/>
          <w:i/>
          <w:spacing w:val="40"/>
          <w:sz w:val="20"/>
        </w:rPr>
        <w:t> </w:t>
      </w:r>
      <w:r>
        <w:rPr>
          <w:rFonts w:ascii="Arial" w:hAnsi="Arial"/>
          <w:i/>
          <w:sz w:val="20"/>
        </w:rPr>
        <w:t>35, [2009] 1 A.C. 11 </w:t>
      </w:r>
      <w:r>
        <w:rPr>
          <w:sz w:val="20"/>
        </w:rPr>
        <w:t>at [62]. In </w:t>
      </w:r>
      <w:r>
        <w:rPr>
          <w:rFonts w:ascii="Arial" w:hAnsi="Arial"/>
          <w:i/>
          <w:sz w:val="20"/>
        </w:rPr>
        <w:t>Cassa di Risparmio della Repubblica di San Marino SpA v Barclays Bank Ltd [2011] EWHC 484 (Comm), [2011] 1 C.L.C. 701 </w:t>
      </w:r>
      <w:r>
        <w:rPr>
          <w:sz w:val="20"/>
        </w:rPr>
        <w:t>at [229] Hamblen J. summarised the point thus: “Where a serious allegation (such as deceit) is in issue, this does not mean the standard of proof is higher. However, the inherent probability or improbability of</w:t>
      </w:r>
      <w:r>
        <w:rPr>
          <w:spacing w:val="40"/>
          <w:sz w:val="20"/>
        </w:rPr>
        <w:t> </w:t>
      </w:r>
      <w:r>
        <w:rPr>
          <w:sz w:val="20"/>
        </w:rPr>
        <w:t>an event is itself a matter to be taken into account when weighing the probabilities and deciding whether, on balance, the event occurred. The more improbable the event, the stronger must be the evidence that it did occur before, on the balance of probability, its occurrence will be </w:t>
      </w:r>
      <w:r>
        <w:rPr>
          <w:spacing w:val="-2"/>
          <w:sz w:val="20"/>
        </w:rPr>
        <w:t>established”.</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1"/>
      </w:pPr>
    </w:p>
    <w:p>
      <w:pPr>
        <w:tabs>
          <w:tab w:pos="705" w:val="left" w:leader="none"/>
        </w:tabs>
        <w:spacing w:before="0"/>
        <w:ind w:left="165" w:right="0" w:firstLine="0"/>
        <w:jc w:val="left"/>
        <w:rPr>
          <w:sz w:val="20"/>
        </w:rPr>
      </w:pPr>
      <w:bookmarkStart w:name="_bookmark564" w:id="566"/>
      <w:bookmarkEnd w:id="566"/>
      <w:r>
        <w:rPr/>
      </w:r>
      <w:hyperlink w:history="true" w:anchor="_bookmark471">
        <w:r>
          <w:rPr>
            <w:color w:val="005DA1"/>
            <w:spacing w:val="-4"/>
            <w:position w:val="5"/>
            <w:sz w:val="14"/>
            <w:u w:val="single" w:color="005DA1"/>
          </w:rPr>
          <w:t>254</w:t>
        </w:r>
      </w:hyperlink>
      <w:r>
        <w:rPr>
          <w:spacing w:val="-4"/>
          <w:position w:val="5"/>
          <w:sz w:val="14"/>
        </w:rPr>
        <w:t>.</w:t>
      </w:r>
      <w:r>
        <w:rPr>
          <w:position w:val="5"/>
          <w:sz w:val="14"/>
        </w:rPr>
        <w:tab/>
      </w:r>
      <w:r>
        <w:rPr>
          <w:sz w:val="20"/>
        </w:rPr>
        <w:t>Below, para.7-</w:t>
      </w:r>
      <w:r>
        <w:rPr>
          <w:spacing w:val="-4"/>
          <w:sz w:val="20"/>
        </w:rPr>
        <w:t>095.</w:t>
      </w:r>
    </w:p>
    <w:p>
      <w:pPr>
        <w:pStyle w:val="BodyText"/>
        <w:spacing w:before="5"/>
      </w:pPr>
    </w:p>
    <w:p>
      <w:pPr>
        <w:tabs>
          <w:tab w:pos="705" w:val="left" w:leader="none"/>
        </w:tabs>
        <w:spacing w:before="0"/>
        <w:ind w:left="165" w:right="0" w:firstLine="0"/>
        <w:jc w:val="left"/>
        <w:rPr>
          <w:sz w:val="20"/>
        </w:rPr>
      </w:pPr>
      <w:bookmarkStart w:name="_bookmark565" w:id="567"/>
      <w:bookmarkEnd w:id="567"/>
      <w:r>
        <w:rPr/>
      </w:r>
      <w:hyperlink w:history="true" w:anchor="_bookmark472">
        <w:r>
          <w:rPr>
            <w:color w:val="005DA1"/>
            <w:spacing w:val="-4"/>
            <w:position w:val="5"/>
            <w:sz w:val="14"/>
            <w:u w:val="single" w:color="005DA1"/>
          </w:rPr>
          <w:t>255</w:t>
        </w:r>
      </w:hyperlink>
      <w:r>
        <w:rPr>
          <w:spacing w:val="-4"/>
          <w:position w:val="5"/>
          <w:sz w:val="14"/>
        </w:rPr>
        <w:t>.</w:t>
      </w:r>
      <w:r>
        <w:rPr>
          <w:position w:val="5"/>
          <w:sz w:val="14"/>
        </w:rPr>
        <w:tab/>
      </w:r>
      <w:r>
        <w:rPr>
          <w:sz w:val="20"/>
        </w:rPr>
        <w:t>Below, para.7-</w:t>
      </w:r>
      <w:r>
        <w:rPr>
          <w:spacing w:val="-4"/>
          <w:sz w:val="20"/>
        </w:rPr>
        <w:t>104.</w:t>
      </w:r>
    </w:p>
    <w:p>
      <w:pPr>
        <w:pStyle w:val="BodyText"/>
        <w:spacing w:before="5"/>
      </w:pPr>
    </w:p>
    <w:p>
      <w:pPr>
        <w:tabs>
          <w:tab w:pos="705" w:val="left" w:leader="none"/>
        </w:tabs>
        <w:spacing w:before="0"/>
        <w:ind w:left="165" w:right="0" w:firstLine="0"/>
        <w:jc w:val="left"/>
        <w:rPr>
          <w:sz w:val="20"/>
        </w:rPr>
      </w:pPr>
      <w:bookmarkStart w:name="_bookmark566" w:id="568"/>
      <w:bookmarkEnd w:id="568"/>
      <w:r>
        <w:rPr/>
      </w:r>
      <w:hyperlink w:history="true" w:anchor="_bookmark473">
        <w:r>
          <w:rPr>
            <w:color w:val="005DA1"/>
            <w:spacing w:val="-4"/>
            <w:position w:val="5"/>
            <w:sz w:val="14"/>
            <w:u w:val="single" w:color="005DA1"/>
          </w:rPr>
          <w:t>256</w:t>
        </w:r>
      </w:hyperlink>
      <w:r>
        <w:rPr>
          <w:spacing w:val="-4"/>
          <w:position w:val="5"/>
          <w:sz w:val="14"/>
        </w:rPr>
        <w:t>.</w:t>
      </w:r>
      <w:r>
        <w:rPr>
          <w:position w:val="5"/>
          <w:sz w:val="14"/>
        </w:rPr>
        <w:tab/>
      </w:r>
      <w:r>
        <w:rPr>
          <w:rFonts w:ascii="Arial"/>
          <w:i/>
          <w:sz w:val="20"/>
        </w:rPr>
        <w:t>(1889) 14 App. Cas. </w:t>
      </w:r>
      <w:r>
        <w:rPr>
          <w:rFonts w:ascii="Arial"/>
          <w:i/>
          <w:spacing w:val="-4"/>
          <w:sz w:val="20"/>
        </w:rPr>
        <w:t>337</w:t>
      </w:r>
      <w:r>
        <w:rPr>
          <w:spacing w:val="-4"/>
          <w:sz w:val="20"/>
        </w:rPr>
        <w:t>.</w:t>
      </w:r>
    </w:p>
    <w:p>
      <w:pPr>
        <w:pStyle w:val="BodyText"/>
        <w:spacing w:before="9"/>
      </w:pPr>
    </w:p>
    <w:p>
      <w:pPr>
        <w:spacing w:line="235" w:lineRule="auto" w:before="0"/>
        <w:ind w:left="705" w:right="168" w:hanging="541"/>
        <w:jc w:val="both"/>
        <w:rPr>
          <w:sz w:val="20"/>
        </w:rPr>
      </w:pPr>
      <w:bookmarkStart w:name="_bookmark567" w:id="569"/>
      <w:bookmarkEnd w:id="569"/>
      <w:r>
        <w:rPr/>
      </w:r>
      <w:hyperlink w:history="true" w:anchor="_bookmark474">
        <w:r>
          <w:rPr>
            <w:color w:val="005DA1"/>
            <w:position w:val="5"/>
            <w:sz w:val="14"/>
            <w:u w:val="single" w:color="005DA1"/>
          </w:rPr>
          <w:t>257</w:t>
        </w:r>
      </w:hyperlink>
      <w:r>
        <w:rPr>
          <w:position w:val="5"/>
          <w:sz w:val="14"/>
        </w:rPr>
        <w:t>.</w:t>
      </w:r>
      <w:r>
        <w:rPr>
          <w:spacing w:val="80"/>
          <w:position w:val="5"/>
          <w:sz w:val="14"/>
        </w:rPr>
        <w:t> </w:t>
      </w:r>
      <w:r>
        <w:rPr>
          <w:sz w:val="20"/>
        </w:rPr>
        <w:t>Or knowledge that a fact stated previously is no longer true, and of its significance: </w:t>
      </w:r>
      <w:r>
        <w:rPr>
          <w:rFonts w:ascii="Arial" w:hAnsi="Arial"/>
          <w:i/>
          <w:sz w:val="20"/>
        </w:rPr>
        <w:t>Fitzroy Robinson Ltd v Mentmore Towers Ltd [2009] EWHC 1552 (TCC)</w:t>
      </w:r>
      <w:r>
        <w:rPr>
          <w:sz w:val="20"/>
        </w:rPr>
        <w:t>; </w:t>
      </w:r>
      <w:r>
        <w:rPr>
          <w:rFonts w:ascii="Arial" w:hAnsi="Arial"/>
          <w:i/>
          <w:sz w:val="20"/>
        </w:rPr>
        <w:t>FoodCo UK LLP (t/a Muffin Break) v Henry Boot Developments Ltd [2010] EWHC 358 (Ch) </w:t>
      </w:r>
      <w:r>
        <w:rPr>
          <w:sz w:val="20"/>
        </w:rPr>
        <w:t>at [213]–[214]: see above, </w:t>
      </w:r>
      <w:r>
        <w:rPr>
          <w:spacing w:val="-2"/>
          <w:sz w:val="20"/>
        </w:rPr>
        <w:t>para.7-021.</w:t>
      </w:r>
    </w:p>
    <w:p>
      <w:pPr>
        <w:pStyle w:val="BodyText"/>
        <w:spacing w:before="4"/>
      </w:pPr>
    </w:p>
    <w:p>
      <w:pPr>
        <w:tabs>
          <w:tab w:pos="705" w:val="left" w:leader="none"/>
        </w:tabs>
        <w:spacing w:before="1"/>
        <w:ind w:left="165" w:right="0" w:firstLine="0"/>
        <w:jc w:val="left"/>
        <w:rPr>
          <w:sz w:val="20"/>
        </w:rPr>
      </w:pPr>
      <w:bookmarkStart w:name="_bookmark568" w:id="570"/>
      <w:bookmarkEnd w:id="570"/>
      <w:r>
        <w:rPr/>
      </w:r>
      <w:hyperlink w:history="true" w:anchor="_bookmark475">
        <w:r>
          <w:rPr>
            <w:color w:val="005DA1"/>
            <w:spacing w:val="-4"/>
            <w:position w:val="5"/>
            <w:sz w:val="14"/>
            <w:u w:val="single" w:color="005DA1"/>
          </w:rPr>
          <w:t>258</w:t>
        </w:r>
      </w:hyperlink>
      <w:r>
        <w:rPr>
          <w:spacing w:val="-4"/>
          <w:position w:val="5"/>
          <w:sz w:val="14"/>
        </w:rPr>
        <w:t>.</w:t>
      </w:r>
      <w:r>
        <w:rPr>
          <w:position w:val="5"/>
          <w:sz w:val="14"/>
        </w:rPr>
        <w:tab/>
      </w:r>
      <w:r>
        <w:rPr>
          <w:rFonts w:ascii="Arial"/>
          <w:i/>
          <w:sz w:val="20"/>
        </w:rPr>
        <w:t>(1889) 14 App. Cas. 337, </w:t>
      </w:r>
      <w:r>
        <w:rPr>
          <w:rFonts w:ascii="Arial"/>
          <w:i/>
          <w:spacing w:val="-4"/>
          <w:sz w:val="20"/>
        </w:rPr>
        <w:t>374</w:t>
      </w:r>
      <w:r>
        <w:rPr>
          <w:spacing w:val="-4"/>
          <w:sz w:val="20"/>
        </w:rPr>
        <w:t>.</w:t>
      </w:r>
    </w:p>
    <w:p>
      <w:pPr>
        <w:pStyle w:val="BodyText"/>
        <w:spacing w:before="8"/>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8848">
            <wp:simplePos x="0" y="0"/>
            <wp:positionH relativeFrom="page">
              <wp:posOffset>1257846</wp:posOffset>
            </wp:positionH>
            <wp:positionV relativeFrom="paragraph">
              <wp:posOffset>160652</wp:posOffset>
            </wp:positionV>
            <wp:extent cx="107988" cy="107988"/>
            <wp:effectExtent l="0" t="0" r="0" b="0"/>
            <wp:wrapNone/>
            <wp:docPr id="125" name="Image 125"/>
            <wp:cNvGraphicFramePr>
              <a:graphicFrameLocks/>
            </wp:cNvGraphicFramePr>
            <a:graphic>
              <a:graphicData uri="http://schemas.openxmlformats.org/drawingml/2006/picture">
                <pic:pic>
                  <pic:nvPicPr>
                    <pic:cNvPr id="125" name="Image 12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569" w:id="571"/>
      <w:bookmarkEnd w:id="571"/>
      <w:r>
        <w:rPr/>
      </w:r>
      <w:hyperlink w:history="true" w:anchor="_bookmark476">
        <w:r>
          <w:rPr>
            <w:color w:val="005DA1"/>
            <w:spacing w:val="-4"/>
            <w:sz w:val="14"/>
            <w:u w:val="single" w:color="005DA1"/>
          </w:rPr>
          <w:t>259</w:t>
        </w:r>
      </w:hyperlink>
      <w:r>
        <w:rPr>
          <w:spacing w:val="-4"/>
          <w:sz w:val="14"/>
        </w:rPr>
        <w:t>.</w:t>
      </w:r>
    </w:p>
    <w:p>
      <w:pPr>
        <w:pStyle w:val="BodyText"/>
        <w:spacing w:line="235" w:lineRule="auto" w:before="212"/>
        <w:ind w:left="165" w:right="167" w:firstLine="170"/>
        <w:jc w:val="both"/>
        <w:rPr>
          <w:rFonts w:ascii="Arial" w:hAnsi="Arial"/>
          <w:i/>
        </w:rPr>
      </w:pPr>
      <w:r>
        <w:rPr/>
        <w:br w:type="column"/>
      </w:r>
      <w:r>
        <w:rPr/>
        <w:t>“I can conceive of many cases where the fact that an alleged belief was destitute of </w:t>
      </w:r>
      <w:r>
        <w:rPr/>
        <w:t>all reasonable foundation would suffice of itself to convince the Court that it was not really entertained, and that the representation was a fraudulent one.”: Lord Herschell (1889) 14 App. Cas.</w:t>
      </w:r>
      <w:r>
        <w:rPr>
          <w:spacing w:val="5"/>
        </w:rPr>
        <w:t> </w:t>
      </w:r>
      <w:r>
        <w:rPr/>
        <w:t>337,</w:t>
      </w:r>
      <w:r>
        <w:rPr>
          <w:spacing w:val="5"/>
        </w:rPr>
        <w:t> </w:t>
      </w:r>
      <w:r>
        <w:rPr/>
        <w:t>375,</w:t>
      </w:r>
      <w:r>
        <w:rPr>
          <w:spacing w:val="5"/>
        </w:rPr>
        <w:t> </w:t>
      </w:r>
      <w:r>
        <w:rPr/>
        <w:t>cited</w:t>
      </w:r>
      <w:r>
        <w:rPr>
          <w:spacing w:val="5"/>
        </w:rPr>
        <w:t> </w:t>
      </w:r>
      <w:r>
        <w:rPr/>
        <w:t>in</w:t>
      </w:r>
      <w:r>
        <w:rPr>
          <w:spacing w:val="5"/>
        </w:rPr>
        <w:t> </w:t>
      </w:r>
      <w:r>
        <w:rPr>
          <w:rFonts w:ascii="Arial" w:hAnsi="Arial"/>
          <w:i/>
        </w:rPr>
        <w:t>Mortgage</w:t>
      </w:r>
      <w:r>
        <w:rPr>
          <w:rFonts w:ascii="Arial" w:hAnsi="Arial"/>
          <w:i/>
          <w:spacing w:val="5"/>
        </w:rPr>
        <w:t> </w:t>
      </w:r>
      <w:r>
        <w:rPr>
          <w:rFonts w:ascii="Arial" w:hAnsi="Arial"/>
          <w:i/>
        </w:rPr>
        <w:t>Express</w:t>
      </w:r>
      <w:r>
        <w:rPr>
          <w:rFonts w:ascii="Arial" w:hAnsi="Arial"/>
          <w:i/>
          <w:spacing w:val="5"/>
        </w:rPr>
        <w:t> </w:t>
      </w:r>
      <w:r>
        <w:rPr>
          <w:rFonts w:ascii="Arial" w:hAnsi="Arial"/>
          <w:i/>
        </w:rPr>
        <w:t>v</w:t>
      </w:r>
      <w:r>
        <w:rPr>
          <w:rFonts w:ascii="Arial" w:hAnsi="Arial"/>
          <w:i/>
          <w:spacing w:val="5"/>
        </w:rPr>
        <w:t> </w:t>
      </w:r>
      <w:r>
        <w:rPr>
          <w:rFonts w:ascii="Arial" w:hAnsi="Arial"/>
          <w:i/>
        </w:rPr>
        <w:t>Countrywide</w:t>
      </w:r>
      <w:r>
        <w:rPr>
          <w:rFonts w:ascii="Arial" w:hAnsi="Arial"/>
          <w:i/>
          <w:spacing w:val="5"/>
        </w:rPr>
        <w:t> </w:t>
      </w:r>
      <w:r>
        <w:rPr>
          <w:rFonts w:ascii="Arial" w:hAnsi="Arial"/>
          <w:i/>
        </w:rPr>
        <w:t>Surveyors</w:t>
      </w:r>
      <w:r>
        <w:rPr>
          <w:rFonts w:ascii="Arial" w:hAnsi="Arial"/>
          <w:i/>
          <w:spacing w:val="5"/>
        </w:rPr>
        <w:t> </w:t>
      </w:r>
      <w:r>
        <w:rPr>
          <w:rFonts w:ascii="Arial" w:hAnsi="Arial"/>
          <w:i/>
        </w:rPr>
        <w:t>Ltd</w:t>
      </w:r>
      <w:r>
        <w:rPr>
          <w:rFonts w:ascii="Arial" w:hAnsi="Arial"/>
          <w:i/>
          <w:spacing w:val="5"/>
        </w:rPr>
        <w:t> </w:t>
      </w:r>
      <w:r>
        <w:rPr>
          <w:rFonts w:ascii="Arial" w:hAnsi="Arial"/>
          <w:i/>
        </w:rPr>
        <w:t>[2016]</w:t>
      </w:r>
      <w:r>
        <w:rPr>
          <w:rFonts w:ascii="Arial" w:hAnsi="Arial"/>
          <w:i/>
          <w:spacing w:val="5"/>
        </w:rPr>
        <w:t> </w:t>
      </w:r>
      <w:r>
        <w:rPr>
          <w:rFonts w:ascii="Arial" w:hAnsi="Arial"/>
          <w:i/>
        </w:rPr>
        <w:t>EWHC</w:t>
      </w:r>
      <w:r>
        <w:rPr>
          <w:rFonts w:ascii="Arial" w:hAnsi="Arial"/>
          <w:i/>
          <w:spacing w:val="5"/>
        </w:rPr>
        <w:t> </w:t>
      </w:r>
      <w:r>
        <w:rPr>
          <w:rFonts w:ascii="Arial" w:hAnsi="Arial"/>
          <w:i/>
        </w:rPr>
        <w:t>224</w:t>
      </w:r>
      <w:r>
        <w:rPr>
          <w:rFonts w:ascii="Arial" w:hAnsi="Arial"/>
          <w:i/>
          <w:spacing w:val="5"/>
        </w:rPr>
        <w:t> </w:t>
      </w:r>
      <w:r>
        <w:rPr>
          <w:rFonts w:ascii="Arial" w:hAnsi="Arial"/>
          <w:i/>
          <w:spacing w:val="-4"/>
        </w:rPr>
        <w:t>(Ch)</w:t>
      </w:r>
    </w:p>
    <w:p>
      <w:pPr>
        <w:pStyle w:val="BodyText"/>
        <w:spacing w:after="0" w:line="235" w:lineRule="auto"/>
        <w:jc w:val="both"/>
        <w:rPr>
          <w:rFonts w:ascii="Arial" w:hAnsi="Arial"/>
          <w:i/>
        </w:rPr>
        <w:sectPr>
          <w:type w:val="continuous"/>
          <w:pgSz w:w="11900" w:h="16840"/>
          <w:pgMar w:header="971" w:footer="0" w:top="1160" w:bottom="280" w:left="1275" w:right="1275"/>
          <w:cols w:num="2" w:equalWidth="0">
            <w:col w:w="478" w:space="63"/>
            <w:col w:w="8809"/>
          </w:cols>
        </w:sectPr>
      </w:pPr>
    </w:p>
    <w:p>
      <w:pPr>
        <w:pStyle w:val="BodyText"/>
        <w:spacing w:before="21"/>
        <w:rPr>
          <w:rFonts w:ascii="Arial"/>
          <w:i/>
        </w:rPr>
      </w:pPr>
    </w:p>
    <w:p>
      <w:pPr>
        <w:pStyle w:val="BodyText"/>
        <w:ind w:left="705"/>
      </w:pPr>
      <w:r>
        <w:rPr/>
        <w:t>at </w:t>
      </w:r>
      <w:r>
        <w:rPr>
          <w:spacing w:val="-2"/>
        </w:rPr>
        <w:t>[164].</w:t>
      </w:r>
    </w:p>
    <w:p>
      <w:pPr>
        <w:pStyle w:val="BodyText"/>
        <w:spacing w:before="5"/>
      </w:pPr>
    </w:p>
    <w:p>
      <w:pPr>
        <w:tabs>
          <w:tab w:pos="705" w:val="left" w:leader="none"/>
        </w:tabs>
        <w:spacing w:before="0"/>
        <w:ind w:left="165" w:right="0" w:firstLine="0"/>
        <w:jc w:val="left"/>
        <w:rPr>
          <w:sz w:val="20"/>
        </w:rPr>
      </w:pPr>
      <w:bookmarkStart w:name="_bookmark570" w:id="572"/>
      <w:bookmarkEnd w:id="572"/>
      <w:r>
        <w:rPr/>
      </w:r>
      <w:hyperlink w:history="true" w:anchor="_bookmark477">
        <w:r>
          <w:rPr>
            <w:color w:val="005DA1"/>
            <w:spacing w:val="-4"/>
            <w:position w:val="5"/>
            <w:sz w:val="14"/>
            <w:u w:val="single" w:color="005DA1"/>
          </w:rPr>
          <w:t>260</w:t>
        </w:r>
      </w:hyperlink>
      <w:r>
        <w:rPr>
          <w:spacing w:val="-4"/>
          <w:position w:val="5"/>
          <w:sz w:val="14"/>
        </w:rPr>
        <w:t>.</w:t>
      </w:r>
      <w:r>
        <w:rPr>
          <w:position w:val="5"/>
          <w:sz w:val="14"/>
        </w:rPr>
        <w:tab/>
      </w:r>
      <w:r>
        <w:rPr>
          <w:rFonts w:ascii="Arial"/>
          <w:i/>
          <w:sz w:val="20"/>
        </w:rPr>
        <w:t>(1889) 14 App. Cas. 337, </w:t>
      </w:r>
      <w:r>
        <w:rPr>
          <w:rFonts w:ascii="Arial"/>
          <w:i/>
          <w:spacing w:val="-4"/>
          <w:sz w:val="20"/>
        </w:rPr>
        <w:t>379</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571" w:id="573"/>
      <w:bookmarkEnd w:id="573"/>
      <w:r>
        <w:rPr/>
      </w:r>
      <w:hyperlink w:history="true" w:anchor="_bookmark478">
        <w:r>
          <w:rPr>
            <w:color w:val="005DA1"/>
            <w:spacing w:val="-4"/>
            <w:position w:val="5"/>
            <w:sz w:val="14"/>
            <w:u w:val="single" w:color="005DA1"/>
          </w:rPr>
          <w:t>261</w:t>
        </w:r>
      </w:hyperlink>
      <w:r>
        <w:rPr>
          <w:spacing w:val="-4"/>
          <w:position w:val="5"/>
          <w:sz w:val="14"/>
        </w:rPr>
        <w:t>.</w:t>
      </w:r>
      <w:r>
        <w:rPr>
          <w:position w:val="5"/>
          <w:sz w:val="14"/>
        </w:rPr>
        <w:tab/>
      </w:r>
      <w:r>
        <w:rPr>
          <w:rFonts w:ascii="Arial"/>
          <w:i/>
          <w:sz w:val="20"/>
        </w:rPr>
        <w:t>Reese</w:t>
      </w:r>
      <w:r>
        <w:rPr>
          <w:rFonts w:ascii="Arial"/>
          <w:i/>
          <w:spacing w:val="30"/>
          <w:sz w:val="20"/>
        </w:rPr>
        <w:t> </w:t>
      </w:r>
      <w:r>
        <w:rPr>
          <w:rFonts w:ascii="Arial"/>
          <w:i/>
          <w:sz w:val="20"/>
        </w:rPr>
        <w:t>River</w:t>
      </w:r>
      <w:r>
        <w:rPr>
          <w:rFonts w:ascii="Arial"/>
          <w:i/>
          <w:spacing w:val="30"/>
          <w:sz w:val="20"/>
        </w:rPr>
        <w:t> </w:t>
      </w:r>
      <w:r>
        <w:rPr>
          <w:rFonts w:ascii="Arial"/>
          <w:i/>
          <w:sz w:val="20"/>
        </w:rPr>
        <w:t>Silver</w:t>
      </w:r>
      <w:r>
        <w:rPr>
          <w:rFonts w:ascii="Arial"/>
          <w:i/>
          <w:spacing w:val="30"/>
          <w:sz w:val="20"/>
        </w:rPr>
        <w:t> </w:t>
      </w:r>
      <w:r>
        <w:rPr>
          <w:rFonts w:ascii="Arial"/>
          <w:i/>
          <w:sz w:val="20"/>
        </w:rPr>
        <w:t>Mining</w:t>
      </w:r>
      <w:r>
        <w:rPr>
          <w:rFonts w:ascii="Arial"/>
          <w:i/>
          <w:spacing w:val="30"/>
          <w:sz w:val="20"/>
        </w:rPr>
        <w:t> </w:t>
      </w:r>
      <w:r>
        <w:rPr>
          <w:rFonts w:ascii="Arial"/>
          <w:i/>
          <w:sz w:val="20"/>
        </w:rPr>
        <w:t>Co</w:t>
      </w:r>
      <w:r>
        <w:rPr>
          <w:rFonts w:ascii="Arial"/>
          <w:i/>
          <w:spacing w:val="30"/>
          <w:sz w:val="20"/>
        </w:rPr>
        <w:t> </w:t>
      </w:r>
      <w:r>
        <w:rPr>
          <w:rFonts w:ascii="Arial"/>
          <w:i/>
          <w:sz w:val="20"/>
        </w:rPr>
        <w:t>Ltd</w:t>
      </w:r>
      <w:r>
        <w:rPr>
          <w:rFonts w:ascii="Arial"/>
          <w:i/>
          <w:spacing w:val="30"/>
          <w:sz w:val="20"/>
        </w:rPr>
        <w:t> </w:t>
      </w:r>
      <w:r>
        <w:rPr>
          <w:rFonts w:ascii="Arial"/>
          <w:i/>
          <w:sz w:val="20"/>
        </w:rPr>
        <w:t>v</w:t>
      </w:r>
      <w:r>
        <w:rPr>
          <w:rFonts w:ascii="Arial"/>
          <w:i/>
          <w:spacing w:val="30"/>
          <w:sz w:val="20"/>
        </w:rPr>
        <w:t> </w:t>
      </w:r>
      <w:r>
        <w:rPr>
          <w:rFonts w:ascii="Arial"/>
          <w:i/>
          <w:sz w:val="20"/>
        </w:rPr>
        <w:t>Smith</w:t>
      </w:r>
      <w:r>
        <w:rPr>
          <w:rFonts w:ascii="Arial"/>
          <w:i/>
          <w:spacing w:val="30"/>
          <w:sz w:val="20"/>
        </w:rPr>
        <w:t> </w:t>
      </w:r>
      <w:r>
        <w:rPr>
          <w:rFonts w:ascii="Arial"/>
          <w:i/>
          <w:sz w:val="20"/>
        </w:rPr>
        <w:t>(1869)</w:t>
      </w:r>
      <w:r>
        <w:rPr>
          <w:rFonts w:ascii="Arial"/>
          <w:i/>
          <w:spacing w:val="30"/>
          <w:sz w:val="20"/>
        </w:rPr>
        <w:t> </w:t>
      </w:r>
      <w:r>
        <w:rPr>
          <w:rFonts w:ascii="Arial"/>
          <w:i/>
          <w:sz w:val="20"/>
        </w:rPr>
        <w:t>L.R.</w:t>
      </w:r>
      <w:r>
        <w:rPr>
          <w:rFonts w:ascii="Arial"/>
          <w:i/>
          <w:spacing w:val="30"/>
          <w:sz w:val="20"/>
        </w:rPr>
        <w:t> </w:t>
      </w:r>
      <w:r>
        <w:rPr>
          <w:rFonts w:ascii="Arial"/>
          <w:i/>
          <w:sz w:val="20"/>
        </w:rPr>
        <w:t>4</w:t>
      </w:r>
      <w:r>
        <w:rPr>
          <w:rFonts w:ascii="Arial"/>
          <w:i/>
          <w:spacing w:val="30"/>
          <w:sz w:val="20"/>
        </w:rPr>
        <w:t> </w:t>
      </w:r>
      <w:r>
        <w:rPr>
          <w:rFonts w:ascii="Arial"/>
          <w:i/>
          <w:sz w:val="20"/>
        </w:rPr>
        <w:t>H.L.</w:t>
      </w:r>
      <w:r>
        <w:rPr>
          <w:rFonts w:ascii="Arial"/>
          <w:i/>
          <w:spacing w:val="30"/>
          <w:sz w:val="20"/>
        </w:rPr>
        <w:t> </w:t>
      </w:r>
      <w:r>
        <w:rPr>
          <w:rFonts w:ascii="Arial"/>
          <w:i/>
          <w:sz w:val="20"/>
        </w:rPr>
        <w:t>64</w:t>
      </w:r>
      <w:r>
        <w:rPr>
          <w:sz w:val="20"/>
        </w:rPr>
        <w:t>.</w:t>
      </w:r>
      <w:r>
        <w:rPr>
          <w:spacing w:val="30"/>
          <w:sz w:val="20"/>
        </w:rPr>
        <w:t> </w:t>
      </w:r>
      <w:r>
        <w:rPr>
          <w:sz w:val="20"/>
        </w:rPr>
        <w:t>See</w:t>
      </w:r>
      <w:r>
        <w:rPr>
          <w:spacing w:val="30"/>
          <w:sz w:val="20"/>
        </w:rPr>
        <w:t> </w:t>
      </w:r>
      <w:r>
        <w:rPr>
          <w:sz w:val="20"/>
        </w:rPr>
        <w:t>also</w:t>
      </w:r>
      <w:r>
        <w:rPr>
          <w:spacing w:val="30"/>
          <w:sz w:val="20"/>
        </w:rPr>
        <w:t> </w:t>
      </w:r>
      <w:r>
        <w:rPr>
          <w:rFonts w:ascii="Arial"/>
          <w:i/>
          <w:sz w:val="20"/>
        </w:rPr>
        <w:t>Taylor</w:t>
      </w:r>
      <w:r>
        <w:rPr>
          <w:rFonts w:ascii="Arial"/>
          <w:i/>
          <w:spacing w:val="30"/>
          <w:sz w:val="20"/>
        </w:rPr>
        <w:t> </w:t>
      </w:r>
      <w:r>
        <w:rPr>
          <w:rFonts w:ascii="Arial"/>
          <w:i/>
          <w:sz w:val="20"/>
        </w:rPr>
        <w:t>v</w:t>
      </w:r>
      <w:r>
        <w:rPr>
          <w:rFonts w:ascii="Arial"/>
          <w:i/>
          <w:spacing w:val="30"/>
          <w:sz w:val="20"/>
        </w:rPr>
        <w:t> </w:t>
      </w:r>
      <w:r>
        <w:rPr>
          <w:rFonts w:ascii="Arial"/>
          <w:i/>
          <w:sz w:val="20"/>
        </w:rPr>
        <w:t>Ashton (1843) 11 M. &amp; W. 401, 415</w:t>
      </w:r>
      <w:r>
        <w:rPr>
          <w:sz w:val="20"/>
        </w:rPr>
        <w:t>; </w:t>
      </w:r>
      <w:r>
        <w:rPr>
          <w:rFonts w:ascii="Arial"/>
          <w:i/>
          <w:sz w:val="20"/>
        </w:rPr>
        <w:t>Evans v Edmonds (1853) 13 C.B. 777, 786</w:t>
      </w:r>
      <w:r>
        <w:rPr>
          <w:sz w:val="20"/>
        </w:rPr>
        <w:t>.</w:t>
      </w:r>
    </w:p>
    <w:p>
      <w:pPr>
        <w:pStyle w:val="BodyText"/>
        <w:spacing w:before="5"/>
      </w:pPr>
    </w:p>
    <w:p>
      <w:pPr>
        <w:tabs>
          <w:tab w:pos="705" w:val="left" w:leader="none"/>
        </w:tabs>
        <w:spacing w:before="0"/>
        <w:ind w:left="165" w:right="0" w:firstLine="0"/>
        <w:jc w:val="left"/>
        <w:rPr>
          <w:sz w:val="20"/>
        </w:rPr>
      </w:pPr>
      <w:bookmarkStart w:name="_bookmark572" w:id="574"/>
      <w:bookmarkEnd w:id="574"/>
      <w:r>
        <w:rPr/>
      </w:r>
      <w:hyperlink w:history="true" w:anchor="_bookmark479">
        <w:r>
          <w:rPr>
            <w:color w:val="005DA1"/>
            <w:spacing w:val="-4"/>
            <w:position w:val="5"/>
            <w:sz w:val="14"/>
            <w:u w:val="single" w:color="005DA1"/>
          </w:rPr>
          <w:t>262</w:t>
        </w:r>
      </w:hyperlink>
      <w:r>
        <w:rPr>
          <w:spacing w:val="-4"/>
          <w:position w:val="5"/>
          <w:sz w:val="14"/>
        </w:rPr>
        <w:t>.</w:t>
      </w:r>
      <w:r>
        <w:rPr>
          <w:position w:val="5"/>
          <w:sz w:val="14"/>
        </w:rPr>
        <w:tab/>
      </w:r>
      <w:r>
        <w:rPr>
          <w:rFonts w:ascii="Arial" w:hAnsi="Arial"/>
          <w:i/>
          <w:sz w:val="20"/>
        </w:rPr>
        <w:t>(1869) L.R. 4 H.L. 64, </w:t>
      </w:r>
      <w:r>
        <w:rPr>
          <w:rFonts w:ascii="Arial" w:hAnsi="Arial"/>
          <w:i/>
          <w:spacing w:val="-2"/>
          <w:sz w:val="20"/>
        </w:rPr>
        <w:t>79–80</w:t>
      </w:r>
      <w:r>
        <w:rPr>
          <w:spacing w:val="-2"/>
          <w:sz w:val="20"/>
        </w:rPr>
        <w:t>.</w:t>
      </w:r>
    </w:p>
    <w:p>
      <w:pPr>
        <w:pStyle w:val="BodyText"/>
        <w:spacing w:before="9"/>
      </w:pPr>
    </w:p>
    <w:p>
      <w:pPr>
        <w:spacing w:line="235" w:lineRule="auto" w:before="0"/>
        <w:ind w:left="705" w:right="167" w:hanging="541"/>
        <w:jc w:val="both"/>
        <w:rPr>
          <w:sz w:val="20"/>
        </w:rPr>
      </w:pPr>
      <w:bookmarkStart w:name="_bookmark573" w:id="575"/>
      <w:bookmarkEnd w:id="575"/>
      <w:r>
        <w:rPr/>
      </w:r>
      <w:hyperlink w:history="true" w:anchor="_bookmark480">
        <w:r>
          <w:rPr>
            <w:color w:val="005DA1"/>
            <w:position w:val="5"/>
            <w:sz w:val="14"/>
            <w:u w:val="single" w:color="005DA1"/>
          </w:rPr>
          <w:t>263</w:t>
        </w:r>
      </w:hyperlink>
      <w:r>
        <w:rPr>
          <w:position w:val="5"/>
          <w:sz w:val="14"/>
        </w:rPr>
        <w:t>.</w:t>
      </w:r>
      <w:r>
        <w:rPr>
          <w:spacing w:val="80"/>
          <w:w w:val="150"/>
          <w:position w:val="5"/>
          <w:sz w:val="14"/>
        </w:rPr>
        <w:t> </w:t>
      </w:r>
      <w:r>
        <w:rPr>
          <w:sz w:val="20"/>
        </w:rPr>
        <w:t>See </w:t>
      </w:r>
      <w:r>
        <w:rPr>
          <w:rFonts w:ascii="Arial" w:hAnsi="Arial"/>
          <w:i/>
          <w:sz w:val="20"/>
        </w:rPr>
        <w:t>Polhill v Walter (1832) 3 B. &amp; Ad. 114</w:t>
      </w:r>
      <w:r>
        <w:rPr>
          <w:sz w:val="20"/>
        </w:rPr>
        <w:t>; </w:t>
      </w:r>
      <w:r>
        <w:rPr>
          <w:rFonts w:ascii="Arial" w:hAnsi="Arial"/>
          <w:i/>
          <w:sz w:val="20"/>
        </w:rPr>
        <w:t>Denton v G.N. Ry (1856) 5 E. &amp; B. 860</w:t>
      </w:r>
      <w:r>
        <w:rPr>
          <w:sz w:val="20"/>
        </w:rPr>
        <w:t>; </w:t>
      </w:r>
      <w:r>
        <w:rPr>
          <w:rFonts w:ascii="Arial" w:hAnsi="Arial"/>
          <w:i/>
          <w:sz w:val="20"/>
        </w:rPr>
        <w:t>Brown Jenkinson</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Percy</w:t>
      </w:r>
      <w:r>
        <w:rPr>
          <w:rFonts w:ascii="Arial" w:hAnsi="Arial"/>
          <w:i/>
          <w:spacing w:val="-1"/>
          <w:sz w:val="20"/>
        </w:rPr>
        <w:t> </w:t>
      </w:r>
      <w:r>
        <w:rPr>
          <w:rFonts w:ascii="Arial" w:hAnsi="Arial"/>
          <w:i/>
          <w:sz w:val="20"/>
        </w:rPr>
        <w:t>Dalton</w:t>
      </w:r>
      <w:r>
        <w:rPr>
          <w:rFonts w:ascii="Arial" w:hAnsi="Arial"/>
          <w:i/>
          <w:spacing w:val="-1"/>
          <w:sz w:val="20"/>
        </w:rPr>
        <w:t> </w:t>
      </w:r>
      <w:r>
        <w:rPr>
          <w:rFonts w:ascii="Arial" w:hAnsi="Arial"/>
          <w:i/>
          <w:sz w:val="20"/>
        </w:rPr>
        <w:t>(London)</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[1957]</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Q.B.</w:t>
      </w:r>
      <w:r>
        <w:rPr>
          <w:rFonts w:ascii="Arial" w:hAnsi="Arial"/>
          <w:i/>
          <w:spacing w:val="-1"/>
          <w:sz w:val="20"/>
        </w:rPr>
        <w:t> </w:t>
      </w:r>
      <w:r>
        <w:rPr>
          <w:rFonts w:ascii="Arial" w:hAnsi="Arial"/>
          <w:i/>
          <w:sz w:val="20"/>
        </w:rPr>
        <w:t>621</w:t>
      </w:r>
      <w:r>
        <w:rPr>
          <w:sz w:val="20"/>
        </w:rPr>
        <w:t>;</w:t>
      </w:r>
      <w:r>
        <w:rPr>
          <w:spacing w:val="-1"/>
          <w:sz w:val="20"/>
        </w:rPr>
        <w:t> </w:t>
      </w:r>
      <w:r>
        <w:rPr>
          <w:rFonts w:ascii="Arial" w:hAnsi="Arial"/>
          <w:i/>
          <w:sz w:val="20"/>
        </w:rPr>
        <w:t>Standard</w:t>
      </w:r>
      <w:r>
        <w:rPr>
          <w:rFonts w:ascii="Arial" w:hAnsi="Arial"/>
          <w:i/>
          <w:spacing w:val="-1"/>
          <w:sz w:val="20"/>
        </w:rPr>
        <w:t> </w:t>
      </w:r>
      <w:r>
        <w:rPr>
          <w:rFonts w:ascii="Arial" w:hAnsi="Arial"/>
          <w:i/>
          <w:sz w:val="20"/>
        </w:rPr>
        <w:t>Chartered</w:t>
      </w:r>
      <w:r>
        <w:rPr>
          <w:rFonts w:ascii="Arial" w:hAnsi="Arial"/>
          <w:i/>
          <w:spacing w:val="-1"/>
          <w:sz w:val="20"/>
        </w:rPr>
        <w:t> </w:t>
      </w:r>
      <w:r>
        <w:rPr>
          <w:rFonts w:ascii="Arial" w:hAnsi="Arial"/>
          <w:i/>
          <w:sz w:val="20"/>
        </w:rPr>
        <w:t>Bank</w:t>
      </w:r>
      <w:r>
        <w:rPr>
          <w:rFonts w:ascii="Arial" w:hAnsi="Arial"/>
          <w:i/>
          <w:spacing w:val="-1"/>
          <w:sz w:val="20"/>
        </w:rPr>
        <w:t> </w:t>
      </w:r>
      <w:r>
        <w:rPr>
          <w:rFonts w:ascii="Arial" w:hAnsi="Arial"/>
          <w:i/>
          <w:sz w:val="20"/>
        </w:rPr>
        <w:t>v Pakistan National Shipping Corp [1995] 2 Lloyd’s Rep. 365</w:t>
      </w:r>
      <w:r>
        <w:rPr>
          <w:sz w:val="20"/>
        </w:rPr>
        <w:t>; </w:t>
      </w:r>
      <w:r>
        <w:rPr>
          <w:rFonts w:ascii="Arial" w:hAnsi="Arial"/>
          <w:i/>
          <w:sz w:val="20"/>
        </w:rPr>
        <w:t>Standard Chartered Bank v Pakistan National Shipping Corp (No.2) [2000] 1 Lloyd’s Rep. 218, 224 </w:t>
      </w:r>
      <w:r>
        <w:rPr>
          <w:sz w:val="20"/>
        </w:rPr>
        <w:t>(reversed in part on other grounds, </w:t>
      </w:r>
      <w:r>
        <w:rPr>
          <w:rFonts w:ascii="Arial" w:hAnsi="Arial"/>
          <w:i/>
          <w:sz w:val="20"/>
        </w:rPr>
        <w:t>[2002] UKHL 43, [2003] 1 A.C. 959</w:t>
      </w:r>
      <w:r>
        <w:rPr>
          <w:sz w:val="20"/>
        </w:rPr>
        <w:t>); </w:t>
      </w:r>
      <w:r>
        <w:rPr>
          <w:rFonts w:ascii="Arial" w:hAnsi="Arial"/>
          <w:i/>
          <w:sz w:val="20"/>
        </w:rPr>
        <w:t>Gabriel v Little [2013] EWCA Civ 1513 </w:t>
      </w:r>
      <w:r>
        <w:rPr>
          <w:sz w:val="20"/>
        </w:rPr>
        <w:t>at [32]. See also </w:t>
      </w:r>
      <w:r>
        <w:rPr>
          <w:rFonts w:ascii="Arial" w:hAnsi="Arial"/>
          <w:i/>
          <w:sz w:val="20"/>
        </w:rPr>
        <w:t>Morrell v Stewart [2015] EWHC 962 (Ch) </w:t>
      </w:r>
      <w:r>
        <w:rPr>
          <w:sz w:val="20"/>
        </w:rPr>
        <w:t>(fraud if vendors said no work done on property knowing work had been done but believing it had cured any problem). The definition of criminal fraud under the Fraud Act 2006 is different. Section 2 requires both dishonesty and an intention, by making the representation, either to make a gain for oneself or to cause loss to another or to expose another to the risk of loss.</w:t>
      </w:r>
    </w:p>
    <w:p>
      <w:pPr>
        <w:pStyle w:val="BodyText"/>
        <w:spacing w:before="2"/>
      </w:pPr>
    </w:p>
    <w:p>
      <w:pPr>
        <w:tabs>
          <w:tab w:pos="705" w:val="left" w:leader="none"/>
        </w:tabs>
        <w:spacing w:before="1"/>
        <w:ind w:left="165" w:right="0" w:firstLine="0"/>
        <w:jc w:val="left"/>
        <w:rPr>
          <w:sz w:val="20"/>
        </w:rPr>
      </w:pPr>
      <w:bookmarkStart w:name="_bookmark574" w:id="576"/>
      <w:bookmarkEnd w:id="576"/>
      <w:r>
        <w:rPr/>
      </w:r>
      <w:hyperlink w:history="true" w:anchor="_bookmark481">
        <w:r>
          <w:rPr>
            <w:color w:val="005DA1"/>
            <w:spacing w:val="-4"/>
            <w:position w:val="5"/>
            <w:sz w:val="14"/>
            <w:u w:val="single" w:color="005DA1"/>
          </w:rPr>
          <w:t>264</w:t>
        </w:r>
      </w:hyperlink>
      <w:r>
        <w:rPr>
          <w:spacing w:val="-4"/>
          <w:position w:val="5"/>
          <w:sz w:val="14"/>
        </w:rPr>
        <w:t>.</w:t>
      </w:r>
      <w:r>
        <w:rPr>
          <w:position w:val="5"/>
          <w:sz w:val="14"/>
        </w:rPr>
        <w:tab/>
      </w:r>
      <w:r>
        <w:rPr>
          <w:rFonts w:ascii="Arial"/>
          <w:i/>
          <w:sz w:val="20"/>
        </w:rPr>
        <w:t>Gabriel v Little [2013] EWCA Civ 1513</w:t>
      </w:r>
      <w:r>
        <w:rPr>
          <w:rFonts w:ascii="Arial"/>
          <w:i/>
          <w:spacing w:val="-1"/>
          <w:sz w:val="20"/>
        </w:rPr>
        <w:t> </w:t>
      </w:r>
      <w:r>
        <w:rPr>
          <w:sz w:val="20"/>
        </w:rPr>
        <w:t>at </w:t>
      </w:r>
      <w:r>
        <w:rPr>
          <w:spacing w:val="-2"/>
          <w:sz w:val="20"/>
        </w:rPr>
        <w:t>[33].</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575" w:id="577"/>
      <w:bookmarkEnd w:id="577"/>
      <w:r>
        <w:rPr/>
      </w:r>
      <w:hyperlink w:history="true" w:anchor="_bookmark482">
        <w:r>
          <w:rPr>
            <w:color w:val="005DA1"/>
            <w:spacing w:val="-4"/>
            <w:position w:val="5"/>
            <w:sz w:val="14"/>
            <w:u w:val="single" w:color="005DA1"/>
          </w:rPr>
          <w:t>265</w:t>
        </w:r>
      </w:hyperlink>
      <w:r>
        <w:rPr>
          <w:spacing w:val="-4"/>
          <w:position w:val="5"/>
          <w:sz w:val="14"/>
        </w:rPr>
        <w:t>.</w:t>
      </w:r>
      <w:r>
        <w:rPr>
          <w:position w:val="5"/>
          <w:sz w:val="14"/>
        </w:rPr>
        <w:tab/>
      </w:r>
      <w:r>
        <w:rPr>
          <w:rFonts w:ascii="Arial"/>
          <w:i/>
          <w:sz w:val="20"/>
        </w:rPr>
        <w:t>Smith</w:t>
      </w:r>
      <w:r>
        <w:rPr>
          <w:rFonts w:ascii="Arial"/>
          <w:i/>
          <w:spacing w:val="9"/>
          <w:sz w:val="20"/>
        </w:rPr>
        <w:t> </w:t>
      </w:r>
      <w:r>
        <w:rPr>
          <w:rFonts w:ascii="Arial"/>
          <w:i/>
          <w:sz w:val="20"/>
        </w:rPr>
        <w:t>v</w:t>
      </w:r>
      <w:r>
        <w:rPr>
          <w:rFonts w:ascii="Arial"/>
          <w:i/>
          <w:spacing w:val="10"/>
          <w:sz w:val="20"/>
        </w:rPr>
        <w:t> </w:t>
      </w:r>
      <w:r>
        <w:rPr>
          <w:rFonts w:ascii="Arial"/>
          <w:i/>
          <w:sz w:val="20"/>
        </w:rPr>
        <w:t>Chadwick</w:t>
      </w:r>
      <w:r>
        <w:rPr>
          <w:rFonts w:ascii="Arial"/>
          <w:i/>
          <w:spacing w:val="10"/>
          <w:sz w:val="20"/>
        </w:rPr>
        <w:t> </w:t>
      </w:r>
      <w:r>
        <w:rPr>
          <w:rFonts w:ascii="Arial"/>
          <w:i/>
          <w:sz w:val="20"/>
        </w:rPr>
        <w:t>(1884)</w:t>
      </w:r>
      <w:r>
        <w:rPr>
          <w:rFonts w:ascii="Arial"/>
          <w:i/>
          <w:spacing w:val="10"/>
          <w:sz w:val="20"/>
        </w:rPr>
        <w:t> </w:t>
      </w:r>
      <w:r>
        <w:rPr>
          <w:rFonts w:ascii="Arial"/>
          <w:i/>
          <w:sz w:val="20"/>
        </w:rPr>
        <w:t>9</w:t>
      </w:r>
      <w:r>
        <w:rPr>
          <w:rFonts w:ascii="Arial"/>
          <w:i/>
          <w:spacing w:val="10"/>
          <w:sz w:val="20"/>
        </w:rPr>
        <w:t> </w:t>
      </w:r>
      <w:r>
        <w:rPr>
          <w:rFonts w:ascii="Arial"/>
          <w:i/>
          <w:sz w:val="20"/>
        </w:rPr>
        <w:t>App.</w:t>
      </w:r>
      <w:r>
        <w:rPr>
          <w:rFonts w:ascii="Arial"/>
          <w:i/>
          <w:spacing w:val="10"/>
          <w:sz w:val="20"/>
        </w:rPr>
        <w:t> </w:t>
      </w:r>
      <w:r>
        <w:rPr>
          <w:rFonts w:ascii="Arial"/>
          <w:i/>
          <w:sz w:val="20"/>
        </w:rPr>
        <w:t>Cas.</w:t>
      </w:r>
      <w:r>
        <w:rPr>
          <w:rFonts w:ascii="Arial"/>
          <w:i/>
          <w:spacing w:val="10"/>
          <w:sz w:val="20"/>
        </w:rPr>
        <w:t> </w:t>
      </w:r>
      <w:r>
        <w:rPr>
          <w:rFonts w:ascii="Arial"/>
          <w:i/>
          <w:sz w:val="20"/>
        </w:rPr>
        <w:t>187</w:t>
      </w:r>
      <w:r>
        <w:rPr>
          <w:sz w:val="20"/>
        </w:rPr>
        <w:t>;</w:t>
      </w:r>
      <w:r>
        <w:rPr>
          <w:spacing w:val="10"/>
          <w:sz w:val="20"/>
        </w:rPr>
        <w:t> </w:t>
      </w:r>
      <w:r>
        <w:rPr>
          <w:rFonts w:ascii="Arial"/>
          <w:i/>
          <w:sz w:val="20"/>
        </w:rPr>
        <w:t>Bonham-Carter</w:t>
      </w:r>
      <w:r>
        <w:rPr>
          <w:rFonts w:ascii="Arial"/>
          <w:i/>
          <w:spacing w:val="10"/>
          <w:sz w:val="20"/>
        </w:rPr>
        <w:t> </w:t>
      </w:r>
      <w:r>
        <w:rPr>
          <w:rFonts w:ascii="Arial"/>
          <w:i/>
          <w:sz w:val="20"/>
        </w:rPr>
        <w:t>v</w:t>
      </w:r>
      <w:r>
        <w:rPr>
          <w:rFonts w:ascii="Arial"/>
          <w:i/>
          <w:spacing w:val="10"/>
          <w:sz w:val="20"/>
        </w:rPr>
        <w:t> </w:t>
      </w:r>
      <w:r>
        <w:rPr>
          <w:rFonts w:ascii="Arial"/>
          <w:i/>
          <w:sz w:val="20"/>
        </w:rPr>
        <w:t>SITU</w:t>
      </w:r>
      <w:r>
        <w:rPr>
          <w:rFonts w:ascii="Arial"/>
          <w:i/>
          <w:spacing w:val="10"/>
          <w:sz w:val="20"/>
        </w:rPr>
        <w:t> </w:t>
      </w:r>
      <w:r>
        <w:rPr>
          <w:rFonts w:ascii="Arial"/>
          <w:i/>
          <w:sz w:val="20"/>
        </w:rPr>
        <w:t>Ventures</w:t>
      </w:r>
      <w:r>
        <w:rPr>
          <w:rFonts w:ascii="Arial"/>
          <w:i/>
          <w:spacing w:val="10"/>
          <w:sz w:val="20"/>
        </w:rPr>
        <w:t> </w:t>
      </w:r>
      <w:r>
        <w:rPr>
          <w:rFonts w:ascii="Arial"/>
          <w:i/>
          <w:sz w:val="20"/>
        </w:rPr>
        <w:t>Ltd</w:t>
      </w:r>
      <w:r>
        <w:rPr>
          <w:rFonts w:ascii="Arial"/>
          <w:i/>
          <w:spacing w:val="10"/>
          <w:sz w:val="20"/>
        </w:rPr>
        <w:t> </w:t>
      </w:r>
      <w:r>
        <w:rPr>
          <w:rFonts w:ascii="Arial"/>
          <w:i/>
          <w:sz w:val="20"/>
        </w:rPr>
        <w:t>[2012]</w:t>
      </w:r>
      <w:r>
        <w:rPr>
          <w:rFonts w:ascii="Arial"/>
          <w:i/>
          <w:spacing w:val="10"/>
          <w:sz w:val="20"/>
        </w:rPr>
        <w:t> </w:t>
      </w:r>
      <w:r>
        <w:rPr>
          <w:rFonts w:ascii="Arial"/>
          <w:i/>
          <w:spacing w:val="-4"/>
          <w:sz w:val="20"/>
        </w:rPr>
        <w:t>EWHC</w:t>
      </w:r>
    </w:p>
    <w:p>
      <w:pPr>
        <w:spacing w:line="227" w:lineRule="exact" w:before="0"/>
        <w:ind w:left="705" w:right="0" w:firstLine="0"/>
        <w:jc w:val="left"/>
        <w:rPr>
          <w:sz w:val="20"/>
        </w:rPr>
      </w:pPr>
      <w:r>
        <w:rPr>
          <w:rFonts w:ascii="Arial"/>
          <w:i/>
          <w:sz w:val="20"/>
        </w:rPr>
        <w:t>3589 (Ch)</w:t>
      </w:r>
      <w:r>
        <w:rPr>
          <w:rFonts w:ascii="Arial"/>
          <w:i/>
          <w:spacing w:val="-1"/>
          <w:sz w:val="20"/>
        </w:rPr>
        <w:t> </w:t>
      </w:r>
      <w:r>
        <w:rPr>
          <w:sz w:val="20"/>
        </w:rPr>
        <w:t>at </w:t>
      </w:r>
      <w:r>
        <w:rPr>
          <w:spacing w:val="-2"/>
          <w:sz w:val="20"/>
        </w:rPr>
        <w:t>[119].</w:t>
      </w:r>
    </w:p>
    <w:p>
      <w:pPr>
        <w:pStyle w:val="BodyText"/>
        <w:spacing w:before="8"/>
      </w:pPr>
    </w:p>
    <w:p>
      <w:pPr>
        <w:tabs>
          <w:tab w:pos="705" w:val="left" w:leader="none"/>
        </w:tabs>
        <w:spacing w:line="235" w:lineRule="auto" w:before="0"/>
        <w:ind w:left="705" w:right="168" w:hanging="541"/>
        <w:jc w:val="left"/>
        <w:rPr>
          <w:sz w:val="20"/>
        </w:rPr>
      </w:pPr>
      <w:bookmarkStart w:name="_bookmark576" w:id="578"/>
      <w:bookmarkEnd w:id="578"/>
      <w:r>
        <w:rPr/>
      </w:r>
      <w:hyperlink w:history="true" w:anchor="_bookmark483">
        <w:r>
          <w:rPr>
            <w:color w:val="005DA1"/>
            <w:spacing w:val="-4"/>
            <w:position w:val="5"/>
            <w:sz w:val="14"/>
            <w:u w:val="single" w:color="005DA1"/>
          </w:rPr>
          <w:t>266</w:t>
        </w:r>
      </w:hyperlink>
      <w:r>
        <w:rPr>
          <w:spacing w:val="-4"/>
          <w:position w:val="5"/>
          <w:sz w:val="14"/>
        </w:rPr>
        <w:t>.</w:t>
      </w:r>
      <w:r>
        <w:rPr>
          <w:position w:val="5"/>
          <w:sz w:val="14"/>
        </w:rPr>
        <w:tab/>
      </w:r>
      <w:r>
        <w:rPr>
          <w:rFonts w:ascii="Arial"/>
          <w:i/>
          <w:sz w:val="20"/>
        </w:rPr>
        <w:t>Akerhielm</w:t>
      </w:r>
      <w:r>
        <w:rPr>
          <w:rFonts w:ascii="Arial"/>
          <w:i/>
          <w:spacing w:val="23"/>
          <w:sz w:val="20"/>
        </w:rPr>
        <w:t> </w:t>
      </w:r>
      <w:r>
        <w:rPr>
          <w:rFonts w:ascii="Arial"/>
          <w:i/>
          <w:sz w:val="20"/>
        </w:rPr>
        <w:t>v</w:t>
      </w:r>
      <w:r>
        <w:rPr>
          <w:rFonts w:ascii="Arial"/>
          <w:i/>
          <w:spacing w:val="23"/>
          <w:sz w:val="20"/>
        </w:rPr>
        <w:t> </w:t>
      </w:r>
      <w:r>
        <w:rPr>
          <w:rFonts w:ascii="Arial"/>
          <w:i/>
          <w:sz w:val="20"/>
        </w:rPr>
        <w:t>De</w:t>
      </w:r>
      <w:r>
        <w:rPr>
          <w:rFonts w:ascii="Arial"/>
          <w:i/>
          <w:spacing w:val="23"/>
          <w:sz w:val="20"/>
        </w:rPr>
        <w:t> </w:t>
      </w:r>
      <w:r>
        <w:rPr>
          <w:rFonts w:ascii="Arial"/>
          <w:i/>
          <w:sz w:val="20"/>
        </w:rPr>
        <w:t>Mare</w:t>
      </w:r>
      <w:r>
        <w:rPr>
          <w:rFonts w:ascii="Arial"/>
          <w:i/>
          <w:spacing w:val="23"/>
          <w:sz w:val="20"/>
        </w:rPr>
        <w:t> </w:t>
      </w:r>
      <w:r>
        <w:rPr>
          <w:rFonts w:ascii="Arial"/>
          <w:i/>
          <w:sz w:val="20"/>
        </w:rPr>
        <w:t>[1959]</w:t>
      </w:r>
      <w:r>
        <w:rPr>
          <w:rFonts w:ascii="Arial"/>
          <w:i/>
          <w:spacing w:val="23"/>
          <w:sz w:val="20"/>
        </w:rPr>
        <w:t> </w:t>
      </w:r>
      <w:r>
        <w:rPr>
          <w:rFonts w:ascii="Arial"/>
          <w:i/>
          <w:sz w:val="20"/>
        </w:rPr>
        <w:t>A.C.</w:t>
      </w:r>
      <w:r>
        <w:rPr>
          <w:rFonts w:ascii="Arial"/>
          <w:i/>
          <w:spacing w:val="23"/>
          <w:sz w:val="20"/>
        </w:rPr>
        <w:t> </w:t>
      </w:r>
      <w:r>
        <w:rPr>
          <w:rFonts w:ascii="Arial"/>
          <w:i/>
          <w:sz w:val="20"/>
        </w:rPr>
        <w:t>789</w:t>
      </w:r>
      <w:r>
        <w:rPr>
          <w:sz w:val="20"/>
        </w:rPr>
        <w:t>;</w:t>
      </w:r>
      <w:r>
        <w:rPr>
          <w:spacing w:val="23"/>
          <w:sz w:val="20"/>
        </w:rPr>
        <w:t> </w:t>
      </w:r>
      <w:r>
        <w:rPr>
          <w:rFonts w:ascii="Arial"/>
          <w:i/>
          <w:sz w:val="20"/>
        </w:rPr>
        <w:t>John</w:t>
      </w:r>
      <w:r>
        <w:rPr>
          <w:rFonts w:ascii="Arial"/>
          <w:i/>
          <w:spacing w:val="23"/>
          <w:sz w:val="20"/>
        </w:rPr>
        <w:t> </w:t>
      </w:r>
      <w:r>
        <w:rPr>
          <w:rFonts w:ascii="Arial"/>
          <w:i/>
          <w:sz w:val="20"/>
        </w:rPr>
        <w:t>McGrath</w:t>
      </w:r>
      <w:r>
        <w:rPr>
          <w:rFonts w:ascii="Arial"/>
          <w:i/>
          <w:spacing w:val="23"/>
          <w:sz w:val="20"/>
        </w:rPr>
        <w:t> </w:t>
      </w:r>
      <w:r>
        <w:rPr>
          <w:rFonts w:ascii="Arial"/>
          <w:i/>
          <w:sz w:val="20"/>
        </w:rPr>
        <w:t>Motors</w:t>
      </w:r>
      <w:r>
        <w:rPr>
          <w:rFonts w:ascii="Arial"/>
          <w:i/>
          <w:spacing w:val="23"/>
          <w:sz w:val="20"/>
        </w:rPr>
        <w:t> </w:t>
      </w:r>
      <w:r>
        <w:rPr>
          <w:rFonts w:ascii="Arial"/>
          <w:i/>
          <w:sz w:val="20"/>
        </w:rPr>
        <w:t>(Canberra)</w:t>
      </w:r>
      <w:r>
        <w:rPr>
          <w:rFonts w:ascii="Arial"/>
          <w:i/>
          <w:spacing w:val="23"/>
          <w:sz w:val="20"/>
        </w:rPr>
        <w:t> </w:t>
      </w:r>
      <w:r>
        <w:rPr>
          <w:rFonts w:ascii="Arial"/>
          <w:i/>
          <w:sz w:val="20"/>
        </w:rPr>
        <w:t>Pty</w:t>
      </w:r>
      <w:r>
        <w:rPr>
          <w:rFonts w:ascii="Arial"/>
          <w:i/>
          <w:spacing w:val="23"/>
          <w:sz w:val="20"/>
        </w:rPr>
        <w:t> </w:t>
      </w:r>
      <w:r>
        <w:rPr>
          <w:rFonts w:ascii="Arial"/>
          <w:i/>
          <w:sz w:val="20"/>
        </w:rPr>
        <w:t>Ltd</w:t>
      </w:r>
      <w:r>
        <w:rPr>
          <w:rFonts w:ascii="Arial"/>
          <w:i/>
          <w:spacing w:val="23"/>
          <w:sz w:val="20"/>
        </w:rPr>
        <w:t> </w:t>
      </w:r>
      <w:r>
        <w:rPr>
          <w:rFonts w:ascii="Arial"/>
          <w:i/>
          <w:sz w:val="20"/>
        </w:rPr>
        <w:t>v</w:t>
      </w:r>
      <w:r>
        <w:rPr>
          <w:rFonts w:ascii="Arial"/>
          <w:i/>
          <w:spacing w:val="23"/>
          <w:sz w:val="20"/>
        </w:rPr>
        <w:t> </w:t>
      </w:r>
      <w:r>
        <w:rPr>
          <w:rFonts w:ascii="Arial"/>
          <w:i/>
          <w:sz w:val="20"/>
        </w:rPr>
        <w:t>Applebee (1964) 110 C.L.R. 656</w:t>
      </w:r>
      <w:r>
        <w:rPr>
          <w:sz w:val="20"/>
        </w:rPr>
        <w:t>.</w:t>
      </w:r>
    </w:p>
    <w:p>
      <w:pPr>
        <w:pStyle w:val="BodyText"/>
        <w:spacing w:before="6"/>
      </w:pPr>
    </w:p>
    <w:p>
      <w:pPr>
        <w:tabs>
          <w:tab w:pos="705" w:val="left" w:leader="none"/>
        </w:tabs>
        <w:spacing w:before="0"/>
        <w:ind w:left="165" w:right="0" w:firstLine="0"/>
        <w:jc w:val="left"/>
        <w:rPr>
          <w:sz w:val="20"/>
        </w:rPr>
      </w:pPr>
      <w:bookmarkStart w:name="_bookmark577" w:id="579"/>
      <w:bookmarkEnd w:id="579"/>
      <w:r>
        <w:rPr/>
      </w:r>
      <w:hyperlink w:history="true" w:anchor="_bookmark484">
        <w:r>
          <w:rPr>
            <w:color w:val="005DA1"/>
            <w:spacing w:val="-4"/>
            <w:position w:val="5"/>
            <w:sz w:val="14"/>
            <w:u w:val="single" w:color="005DA1"/>
          </w:rPr>
          <w:t>267</w:t>
        </w:r>
      </w:hyperlink>
      <w:r>
        <w:rPr>
          <w:spacing w:val="-4"/>
          <w:position w:val="5"/>
          <w:sz w:val="14"/>
        </w:rPr>
        <w:t>.</w:t>
      </w:r>
      <w:r>
        <w:rPr>
          <w:position w:val="5"/>
          <w:sz w:val="14"/>
        </w:rPr>
        <w:tab/>
      </w:r>
      <w:r>
        <w:rPr>
          <w:rFonts w:ascii="Arial"/>
          <w:i/>
          <w:sz w:val="20"/>
        </w:rPr>
        <w:t>Akerhielm v De Mare [1959] A.C. </w:t>
      </w:r>
      <w:r>
        <w:rPr>
          <w:rFonts w:ascii="Arial"/>
          <w:i/>
          <w:spacing w:val="-4"/>
          <w:sz w:val="20"/>
        </w:rPr>
        <w:t>789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78" w:id="580"/>
      <w:bookmarkEnd w:id="580"/>
      <w:r>
        <w:rPr/>
      </w:r>
      <w:hyperlink w:history="true" w:anchor="_bookmark485">
        <w:r>
          <w:rPr>
            <w:color w:val="005DA1"/>
            <w:spacing w:val="-4"/>
            <w:position w:val="5"/>
            <w:sz w:val="14"/>
            <w:u w:val="single" w:color="005DA1"/>
          </w:rPr>
          <w:t>268</w:t>
        </w:r>
      </w:hyperlink>
      <w:r>
        <w:rPr>
          <w:spacing w:val="-4"/>
          <w:position w:val="5"/>
          <w:sz w:val="14"/>
        </w:rPr>
        <w:t>.</w:t>
      </w:r>
      <w:r>
        <w:rPr>
          <w:position w:val="5"/>
          <w:sz w:val="14"/>
        </w:rPr>
        <w:tab/>
      </w:r>
      <w:r>
        <w:rPr>
          <w:rFonts w:ascii="Arial"/>
          <w:i/>
          <w:sz w:val="20"/>
        </w:rPr>
        <w:t>Gross v Lewis Hillman Ltd [1970] Ch. </w:t>
      </w:r>
      <w:r>
        <w:rPr>
          <w:rFonts w:ascii="Arial"/>
          <w:i/>
          <w:spacing w:val="-4"/>
          <w:sz w:val="20"/>
        </w:rPr>
        <w:t>445</w:t>
      </w:r>
      <w:r>
        <w:rPr>
          <w:spacing w:val="-4"/>
          <w:sz w:val="20"/>
        </w:rPr>
        <w:t>.</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9360">
            <wp:simplePos x="0" y="0"/>
            <wp:positionH relativeFrom="page">
              <wp:posOffset>1257846</wp:posOffset>
            </wp:positionH>
            <wp:positionV relativeFrom="paragraph">
              <wp:posOffset>160163</wp:posOffset>
            </wp:positionV>
            <wp:extent cx="107988" cy="107988"/>
            <wp:effectExtent l="0" t="0" r="0" b="0"/>
            <wp:wrapNone/>
            <wp:docPr id="126" name="Image 126"/>
            <wp:cNvGraphicFramePr>
              <a:graphicFrameLocks/>
            </wp:cNvGraphicFramePr>
            <a:graphic>
              <a:graphicData uri="http://schemas.openxmlformats.org/drawingml/2006/picture">
                <pic:pic>
                  <pic:nvPicPr>
                    <pic:cNvPr id="126" name="Image 12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579" w:id="581"/>
      <w:bookmarkEnd w:id="581"/>
      <w:r>
        <w:rPr/>
      </w:r>
      <w:hyperlink w:history="true" w:anchor="_bookmark486">
        <w:r>
          <w:rPr>
            <w:color w:val="005DA1"/>
            <w:spacing w:val="-4"/>
            <w:sz w:val="14"/>
            <w:u w:val="single" w:color="005DA1"/>
          </w:rPr>
          <w:t>269</w:t>
        </w:r>
      </w:hyperlink>
      <w:r>
        <w:rPr>
          <w:spacing w:val="-4"/>
          <w:sz w:val="14"/>
        </w:rPr>
        <w:t>.</w:t>
      </w:r>
    </w:p>
    <w:p>
      <w:pPr>
        <w:spacing w:line="235" w:lineRule="auto" w:before="212"/>
        <w:ind w:left="165" w:right="168" w:firstLine="170"/>
        <w:jc w:val="both"/>
        <w:rPr>
          <w:sz w:val="20"/>
        </w:rPr>
      </w:pPr>
      <w:r>
        <w:rPr/>
        <w:br w:type="column"/>
      </w:r>
      <w:r>
        <w:rPr>
          <w:rFonts w:ascii="Arial"/>
          <w:i/>
          <w:sz w:val="20"/>
        </w:rPr>
        <w:t>Cornfoot v Fowke (1840) 6 M. &amp; W. 358</w:t>
      </w:r>
      <w:r>
        <w:rPr>
          <w:sz w:val="20"/>
        </w:rPr>
        <w:t>; </w:t>
      </w:r>
      <w:r>
        <w:rPr>
          <w:rFonts w:ascii="Arial"/>
          <w:i/>
          <w:sz w:val="20"/>
        </w:rPr>
        <w:t>Armstrong v Strain [1952] 1 K.B. 232</w:t>
      </w:r>
      <w:r>
        <w:rPr>
          <w:sz w:val="20"/>
        </w:rPr>
        <w:t>. This </w:t>
      </w:r>
      <w:r>
        <w:rPr>
          <w:sz w:val="20"/>
        </w:rPr>
        <w:t>sentence was quoted with approval in </w:t>
      </w:r>
      <w:r>
        <w:rPr>
          <w:rFonts w:ascii="Arial"/>
          <w:i/>
          <w:sz w:val="20"/>
        </w:rPr>
        <w:t>Greenridge Luton One Ltd v Kempton Investments Ltd [2016] EWHC 91 (Ch) </w:t>
      </w:r>
      <w:r>
        <w:rPr>
          <w:sz w:val="20"/>
        </w:rPr>
        <w:t>at [77].</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8"/>
      </w:pPr>
    </w:p>
    <w:p>
      <w:pPr>
        <w:spacing w:line="235" w:lineRule="auto" w:before="1"/>
        <w:ind w:left="705" w:right="167" w:hanging="541"/>
        <w:jc w:val="both"/>
        <w:rPr>
          <w:sz w:val="20"/>
        </w:rPr>
      </w:pPr>
      <w:bookmarkStart w:name="_bookmark580" w:id="582"/>
      <w:bookmarkEnd w:id="582"/>
      <w:r>
        <w:rPr/>
      </w:r>
      <w:hyperlink w:history="true" w:anchor="_bookmark487">
        <w:r>
          <w:rPr>
            <w:color w:val="005DA1"/>
            <w:position w:val="5"/>
            <w:sz w:val="14"/>
            <w:u w:val="single" w:color="005DA1"/>
          </w:rPr>
          <w:t>270</w:t>
        </w:r>
      </w:hyperlink>
      <w:r>
        <w:rPr>
          <w:position w:val="5"/>
          <w:sz w:val="14"/>
        </w:rPr>
        <w:t>.</w:t>
      </w:r>
      <w:r>
        <w:rPr>
          <w:spacing w:val="80"/>
          <w:position w:val="5"/>
          <w:sz w:val="14"/>
        </w:rPr>
        <w:t>  </w:t>
      </w:r>
      <w:r>
        <w:rPr>
          <w:rFonts w:ascii="Arial" w:hAnsi="Arial"/>
          <w:i/>
          <w:sz w:val="20"/>
        </w:rPr>
        <w:t>Lloyd v Grace, Smith &amp; Co [1912] A.C. 716</w:t>
      </w:r>
      <w:r>
        <w:rPr>
          <w:sz w:val="20"/>
        </w:rPr>
        <w:t>; </w:t>
      </w:r>
      <w:r>
        <w:rPr>
          <w:rFonts w:ascii="Arial" w:hAnsi="Arial"/>
          <w:i/>
          <w:sz w:val="20"/>
        </w:rPr>
        <w:t>Briess v Woolley [1954] A.C. 333</w:t>
      </w:r>
      <w:r>
        <w:rPr>
          <w:sz w:val="20"/>
        </w:rPr>
        <w:t>. The position of a junior employee, for instance one who passes on information given to him by a more senior officer and, though he has doubts about its accuracy, puts his name to it because he does </w:t>
      </w:r>
      <w:r>
        <w:rPr>
          <w:sz w:val="20"/>
        </w:rPr>
        <w:t>not like to question it, is discussed by Tugendhat J. in </w:t>
      </w:r>
      <w:r>
        <w:rPr>
          <w:rFonts w:ascii="Arial" w:hAnsi="Arial"/>
          <w:i/>
          <w:sz w:val="20"/>
        </w:rPr>
        <w:t>GE Commercial Finance Ltd v Gee [2006] 1 Lloyd’s Rep. 337 </w:t>
      </w:r>
      <w:r>
        <w:rPr>
          <w:sz w:val="20"/>
        </w:rPr>
        <w:t>at [96]–[112].</w:t>
      </w:r>
    </w:p>
    <w:p>
      <w:pPr>
        <w:pStyle w:val="BodyText"/>
        <w:spacing w:before="7"/>
      </w:pPr>
    </w:p>
    <w:p>
      <w:pPr>
        <w:tabs>
          <w:tab w:pos="705" w:val="left" w:leader="none"/>
        </w:tabs>
        <w:spacing w:line="235" w:lineRule="auto" w:before="1"/>
        <w:ind w:left="705" w:right="168" w:hanging="541"/>
        <w:jc w:val="left"/>
        <w:rPr>
          <w:sz w:val="20"/>
        </w:rPr>
      </w:pPr>
      <w:bookmarkStart w:name="_bookmark581" w:id="583"/>
      <w:bookmarkEnd w:id="583"/>
      <w:r>
        <w:rPr/>
      </w:r>
      <w:hyperlink w:history="true" w:anchor="_bookmark488">
        <w:r>
          <w:rPr>
            <w:color w:val="005DA1"/>
            <w:spacing w:val="-4"/>
            <w:position w:val="5"/>
            <w:sz w:val="14"/>
            <w:u w:val="single" w:color="005DA1"/>
          </w:rPr>
          <w:t>271</w:t>
        </w:r>
      </w:hyperlink>
      <w:r>
        <w:rPr>
          <w:spacing w:val="-4"/>
          <w:position w:val="5"/>
          <w:sz w:val="14"/>
        </w:rPr>
        <w:t>.</w:t>
      </w:r>
      <w:r>
        <w:rPr>
          <w:position w:val="5"/>
          <w:sz w:val="14"/>
        </w:rPr>
        <w:tab/>
      </w:r>
      <w:r>
        <w:rPr>
          <w:rFonts w:ascii="Arial"/>
          <w:i/>
          <w:sz w:val="20"/>
        </w:rPr>
        <w:t>London County Freehold &amp; Leasehold Properties Ltd v Berkeley Property &amp; Investment Co </w:t>
      </w:r>
      <w:r>
        <w:rPr>
          <w:rFonts w:ascii="Arial"/>
          <w:i/>
          <w:sz w:val="20"/>
        </w:rPr>
        <w:t>Ltd [1936] 2 All E.R. 1039</w:t>
      </w:r>
      <w:r>
        <w:rPr>
          <w:sz w:val="20"/>
        </w:rPr>
        <w:t>, as explained in </w:t>
      </w:r>
      <w:r>
        <w:rPr>
          <w:rFonts w:ascii="Arial"/>
          <w:i/>
          <w:sz w:val="20"/>
        </w:rPr>
        <w:t>Armstrong v Strain [1952] 1 K.B. 232</w:t>
      </w:r>
      <w:r>
        <w:rPr>
          <w:sz w:val="20"/>
        </w:rPr>
        <w:t>.</w:t>
      </w:r>
    </w:p>
    <w:p>
      <w:pPr>
        <w:pStyle w:val="BodyText"/>
        <w:spacing w:before="9"/>
      </w:pPr>
    </w:p>
    <w:p>
      <w:pPr>
        <w:spacing w:line="235" w:lineRule="auto" w:before="0"/>
        <w:ind w:left="705" w:right="168" w:hanging="541"/>
        <w:jc w:val="both"/>
        <w:rPr>
          <w:sz w:val="20"/>
        </w:rPr>
      </w:pPr>
      <w:bookmarkStart w:name="_bookmark582" w:id="584"/>
      <w:bookmarkEnd w:id="584"/>
      <w:r>
        <w:rPr/>
      </w:r>
      <w:hyperlink w:history="true" w:anchor="_bookmark489">
        <w:r>
          <w:rPr>
            <w:color w:val="005DA1"/>
            <w:position w:val="5"/>
            <w:sz w:val="14"/>
            <w:u w:val="single" w:color="005DA1"/>
          </w:rPr>
          <w:t>272</w:t>
        </w:r>
      </w:hyperlink>
      <w:r>
        <w:rPr>
          <w:position w:val="5"/>
          <w:sz w:val="14"/>
        </w:rPr>
        <w:t>.</w:t>
      </w:r>
      <w:r>
        <w:rPr>
          <w:spacing w:val="40"/>
          <w:position w:val="5"/>
          <w:sz w:val="14"/>
        </w:rPr>
        <w:t>  </w:t>
      </w:r>
      <w:r>
        <w:rPr>
          <w:rFonts w:ascii="Arial" w:hAnsi="Arial"/>
          <w:i/>
          <w:sz w:val="20"/>
        </w:rPr>
        <w:t>Ludgater v Love (1881) 44 L.T. 694</w:t>
      </w:r>
      <w:r>
        <w:rPr>
          <w:sz w:val="20"/>
        </w:rPr>
        <w:t>; </w:t>
      </w:r>
      <w:r>
        <w:rPr>
          <w:rFonts w:ascii="Arial" w:hAnsi="Arial"/>
          <w:i/>
          <w:sz w:val="20"/>
        </w:rPr>
        <w:t>Occidental Worldwide Investment Corp v Skibs A/S Avanti [1976] 1 Lloyd’s Rep. 293, 320–321 </w:t>
      </w:r>
      <w:r>
        <w:rPr>
          <w:sz w:val="20"/>
        </w:rPr>
        <w:t>(where this sentence in the text was cited with approval). See also </w:t>
      </w:r>
      <w:r>
        <w:rPr>
          <w:rFonts w:ascii="Arial" w:hAnsi="Arial"/>
          <w:i/>
          <w:sz w:val="20"/>
        </w:rPr>
        <w:t>GG 132 Ltd v Hampson Industries Plc [2011] EWHC 1137 (Comm) </w:t>
      </w:r>
      <w:r>
        <w:rPr>
          <w:sz w:val="20"/>
        </w:rPr>
        <w:t>at [42].</w:t>
      </w:r>
    </w:p>
    <w:p>
      <w:pPr>
        <w:pStyle w:val="BodyText"/>
        <w:spacing w:before="5"/>
      </w:pPr>
    </w:p>
    <w:p>
      <w:pPr>
        <w:tabs>
          <w:tab w:pos="705" w:val="left" w:leader="none"/>
        </w:tabs>
        <w:spacing w:before="0"/>
        <w:ind w:left="165" w:right="0" w:firstLine="0"/>
        <w:jc w:val="left"/>
        <w:rPr>
          <w:sz w:val="20"/>
        </w:rPr>
      </w:pPr>
      <w:bookmarkStart w:name="_bookmark583" w:id="585"/>
      <w:bookmarkEnd w:id="585"/>
      <w:r>
        <w:rPr/>
      </w:r>
      <w:hyperlink w:history="true" w:anchor="_bookmark490">
        <w:r>
          <w:rPr>
            <w:color w:val="005DA1"/>
            <w:spacing w:val="-4"/>
            <w:position w:val="5"/>
            <w:sz w:val="14"/>
            <w:u w:val="single" w:color="005DA1"/>
          </w:rPr>
          <w:t>273</w:t>
        </w:r>
      </w:hyperlink>
      <w:r>
        <w:rPr>
          <w:spacing w:val="-4"/>
          <w:position w:val="5"/>
          <w:sz w:val="14"/>
        </w:rPr>
        <w:t>.</w:t>
      </w:r>
      <w:r>
        <w:rPr>
          <w:position w:val="5"/>
          <w:sz w:val="14"/>
        </w:rPr>
        <w:tab/>
      </w:r>
      <w:r>
        <w:rPr>
          <w:sz w:val="20"/>
        </w:rPr>
        <w:t>Above, para.7-</w:t>
      </w:r>
      <w:r>
        <w:rPr>
          <w:spacing w:val="-4"/>
          <w:sz w:val="20"/>
        </w:rPr>
        <w:t>038.</w:t>
      </w:r>
    </w:p>
    <w:p>
      <w:pPr>
        <w:pStyle w:val="BodyText"/>
        <w:spacing w:before="9"/>
      </w:pPr>
    </w:p>
    <w:p>
      <w:pPr>
        <w:spacing w:line="235" w:lineRule="auto" w:before="0"/>
        <w:ind w:left="705" w:right="167" w:hanging="541"/>
        <w:jc w:val="both"/>
        <w:rPr>
          <w:sz w:val="20"/>
        </w:rPr>
      </w:pPr>
      <w:bookmarkStart w:name="_bookmark584" w:id="586"/>
      <w:bookmarkEnd w:id="586"/>
      <w:r>
        <w:rPr/>
      </w:r>
      <w:hyperlink w:history="true" w:anchor="_bookmark491">
        <w:r>
          <w:rPr>
            <w:color w:val="005DA1"/>
            <w:position w:val="5"/>
            <w:sz w:val="14"/>
            <w:u w:val="single" w:color="005DA1"/>
          </w:rPr>
          <w:t>274</w:t>
        </w:r>
      </w:hyperlink>
      <w:r>
        <w:rPr>
          <w:position w:val="5"/>
          <w:sz w:val="14"/>
        </w:rPr>
        <w:t>.</w:t>
      </w:r>
      <w:r>
        <w:rPr>
          <w:spacing w:val="40"/>
          <w:position w:val="5"/>
          <w:sz w:val="14"/>
        </w:rPr>
        <w:t>  </w:t>
      </w:r>
      <w:r>
        <w:rPr>
          <w:sz w:val="20"/>
        </w:rPr>
        <w:t>See</w:t>
      </w:r>
      <w:r>
        <w:rPr>
          <w:spacing w:val="40"/>
          <w:sz w:val="20"/>
        </w:rPr>
        <w:t> </w:t>
      </w:r>
      <w:r>
        <w:rPr>
          <w:sz w:val="20"/>
        </w:rPr>
        <w:t>above,</w:t>
      </w:r>
      <w:r>
        <w:rPr>
          <w:spacing w:val="40"/>
          <w:sz w:val="20"/>
        </w:rPr>
        <w:t> </w:t>
      </w:r>
      <w:r>
        <w:rPr>
          <w:sz w:val="20"/>
        </w:rPr>
        <w:t>para.7-038;</w:t>
      </w:r>
      <w:r>
        <w:rPr>
          <w:spacing w:val="40"/>
          <w:sz w:val="20"/>
        </w:rPr>
        <w:t> </w:t>
      </w:r>
      <w:r>
        <w:rPr>
          <w:sz w:val="20"/>
        </w:rPr>
        <w:t>see</w:t>
      </w:r>
      <w:r>
        <w:rPr>
          <w:spacing w:val="40"/>
          <w:sz w:val="20"/>
        </w:rPr>
        <w:t> </w:t>
      </w:r>
      <w:r>
        <w:rPr>
          <w:rFonts w:ascii="Arial"/>
          <w:i/>
          <w:sz w:val="20"/>
        </w:rPr>
        <w:t>Templeton</w:t>
      </w:r>
      <w:r>
        <w:rPr>
          <w:rFonts w:ascii="Arial"/>
          <w:i/>
          <w:spacing w:val="40"/>
          <w:sz w:val="20"/>
        </w:rPr>
        <w:t> </w:t>
      </w:r>
      <w:r>
        <w:rPr>
          <w:rFonts w:ascii="Arial"/>
          <w:i/>
          <w:sz w:val="20"/>
        </w:rPr>
        <w:t>Insurance</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Motorcare</w:t>
      </w:r>
      <w:r>
        <w:rPr>
          <w:rFonts w:ascii="Arial"/>
          <w:i/>
          <w:spacing w:val="40"/>
          <w:sz w:val="20"/>
        </w:rPr>
        <w:t> </w:t>
      </w:r>
      <w:r>
        <w:rPr>
          <w:rFonts w:ascii="Arial"/>
          <w:i/>
          <w:sz w:val="20"/>
        </w:rPr>
        <w:t>Warranties</w:t>
      </w:r>
      <w:r>
        <w:rPr>
          <w:rFonts w:ascii="Arial"/>
          <w:i/>
          <w:spacing w:val="40"/>
          <w:sz w:val="20"/>
        </w:rPr>
        <w:t> </w:t>
      </w:r>
      <w:r>
        <w:rPr>
          <w:rFonts w:ascii="Arial"/>
          <w:i/>
          <w:sz w:val="20"/>
        </w:rPr>
        <w:t>Ltd</w:t>
      </w:r>
      <w:r>
        <w:rPr>
          <w:rFonts w:ascii="Arial"/>
          <w:i/>
          <w:spacing w:val="40"/>
          <w:sz w:val="20"/>
        </w:rPr>
        <w:t> </w:t>
      </w:r>
      <w:r>
        <w:rPr>
          <w:rFonts w:ascii="Arial"/>
          <w:i/>
          <w:sz w:val="20"/>
        </w:rPr>
        <w:t>[2010] EWHC 3113 (Comm) </w:t>
      </w:r>
      <w:r>
        <w:rPr>
          <w:sz w:val="20"/>
        </w:rPr>
        <w:t>at [168] (need not be sole cause; sufficient that substantially contributed</w:t>
      </w:r>
      <w:r>
        <w:rPr>
          <w:spacing w:val="40"/>
          <w:sz w:val="20"/>
        </w:rPr>
        <w:t> </w:t>
      </w:r>
      <w:r>
        <w:rPr>
          <w:sz w:val="20"/>
        </w:rPr>
        <w:t>to deceiving the claimant). Though the defendant will not normally be permitted to argue that</w:t>
      </w:r>
      <w:r>
        <w:rPr>
          <w:spacing w:val="40"/>
          <w:sz w:val="20"/>
        </w:rPr>
        <w:t> </w:t>
      </w:r>
      <w:r>
        <w:rPr>
          <w:sz w:val="20"/>
        </w:rPr>
        <w:t>the claimant might have done the same thing had he known the truth.</w:t>
      </w:r>
    </w:p>
    <w:p>
      <w:pPr>
        <w:pStyle w:val="BodyText"/>
        <w:spacing w:before="8"/>
      </w:pPr>
    </w:p>
    <w:p>
      <w:pPr>
        <w:spacing w:line="235" w:lineRule="auto" w:before="0"/>
        <w:ind w:left="705" w:right="167" w:hanging="541"/>
        <w:jc w:val="both"/>
        <w:rPr>
          <w:rFonts w:ascii="Arial"/>
          <w:i/>
          <w:sz w:val="20"/>
        </w:rPr>
      </w:pPr>
      <w:bookmarkStart w:name="_bookmark585" w:id="587"/>
      <w:bookmarkEnd w:id="587"/>
      <w:r>
        <w:rPr/>
      </w:r>
      <w:hyperlink w:history="true" w:anchor="_bookmark492">
        <w:r>
          <w:rPr>
            <w:color w:val="005DA1"/>
            <w:position w:val="5"/>
            <w:sz w:val="14"/>
            <w:u w:val="single" w:color="005DA1"/>
          </w:rPr>
          <w:t>275</w:t>
        </w:r>
      </w:hyperlink>
      <w:r>
        <w:rPr>
          <w:position w:val="5"/>
          <w:sz w:val="14"/>
        </w:rPr>
        <w:t>.</w:t>
      </w:r>
      <w:r>
        <w:rPr>
          <w:spacing w:val="80"/>
          <w:position w:val="5"/>
          <w:sz w:val="14"/>
        </w:rPr>
        <w:t> </w:t>
      </w:r>
      <w:r>
        <w:rPr>
          <w:rFonts w:ascii="Arial"/>
          <w:i/>
          <w:sz w:val="20"/>
        </w:rPr>
        <w:t>Downs v Chappell [1997] 1 W.L.R. 426 </w:t>
      </w:r>
      <w:r>
        <w:rPr>
          <w:sz w:val="20"/>
        </w:rPr>
        <w:t>at 433; see also </w:t>
      </w:r>
      <w:r>
        <w:rPr>
          <w:rFonts w:ascii="Arial"/>
          <w:i/>
          <w:sz w:val="20"/>
        </w:rPr>
        <w:t>Smith New Court Securities Ltd </w:t>
      </w:r>
      <w:r>
        <w:rPr>
          <w:rFonts w:ascii="Arial"/>
          <w:i/>
          <w:sz w:val="20"/>
        </w:rPr>
        <w:t>v Scrimgeour Vickers (Asset Management) Ltd [1997] A.C. 254, 283</w:t>
      </w:r>
      <w:r>
        <w:rPr>
          <w:sz w:val="20"/>
        </w:rPr>
        <w:t>. This principle cannot prevent the claimant from giving evidence that it would not have acted as it did if it had known the</w:t>
      </w:r>
      <w:r>
        <w:rPr>
          <w:spacing w:val="21"/>
          <w:sz w:val="20"/>
        </w:rPr>
        <w:t> </w:t>
      </w:r>
      <w:r>
        <w:rPr>
          <w:sz w:val="20"/>
        </w:rPr>
        <w:t>true</w:t>
      </w:r>
      <w:r>
        <w:rPr>
          <w:spacing w:val="21"/>
          <w:sz w:val="20"/>
        </w:rPr>
        <w:t> </w:t>
      </w:r>
      <w:r>
        <w:rPr>
          <w:sz w:val="20"/>
        </w:rPr>
        <w:t>position,</w:t>
      </w:r>
      <w:r>
        <w:rPr>
          <w:spacing w:val="21"/>
          <w:sz w:val="20"/>
        </w:rPr>
        <w:t> </w:t>
      </w:r>
      <w:r>
        <w:rPr>
          <w:sz w:val="20"/>
        </w:rPr>
        <w:t>as</w:t>
      </w:r>
      <w:r>
        <w:rPr>
          <w:spacing w:val="21"/>
          <w:sz w:val="20"/>
        </w:rPr>
        <w:t> </w:t>
      </w:r>
      <w:r>
        <w:rPr>
          <w:sz w:val="20"/>
        </w:rPr>
        <w:t>demonstrating</w:t>
      </w:r>
      <w:r>
        <w:rPr>
          <w:spacing w:val="21"/>
          <w:sz w:val="20"/>
        </w:rPr>
        <w:t> </w:t>
      </w:r>
      <w:r>
        <w:rPr>
          <w:sz w:val="20"/>
        </w:rPr>
        <w:t>inducement</w:t>
      </w:r>
      <w:r>
        <w:rPr>
          <w:spacing w:val="21"/>
          <w:sz w:val="20"/>
        </w:rPr>
        <w:t> </w:t>
      </w:r>
      <w:r>
        <w:rPr>
          <w:sz w:val="20"/>
        </w:rPr>
        <w:t>by</w:t>
      </w:r>
      <w:r>
        <w:rPr>
          <w:spacing w:val="21"/>
          <w:sz w:val="20"/>
        </w:rPr>
        <w:t> </w:t>
      </w:r>
      <w:r>
        <w:rPr>
          <w:sz w:val="20"/>
        </w:rPr>
        <w:t>the</w:t>
      </w:r>
      <w:r>
        <w:rPr>
          <w:spacing w:val="21"/>
          <w:sz w:val="20"/>
        </w:rPr>
        <w:t> </w:t>
      </w:r>
      <w:r>
        <w:rPr>
          <w:sz w:val="20"/>
        </w:rPr>
        <w:t>fraudulent</w:t>
      </w:r>
      <w:r>
        <w:rPr>
          <w:spacing w:val="21"/>
          <w:sz w:val="20"/>
        </w:rPr>
        <w:t> </w:t>
      </w:r>
      <w:r>
        <w:rPr>
          <w:sz w:val="20"/>
        </w:rPr>
        <w:t>misrepresentation:</w:t>
      </w:r>
      <w:r>
        <w:rPr>
          <w:spacing w:val="20"/>
          <w:sz w:val="20"/>
        </w:rPr>
        <w:t> </w:t>
      </w:r>
      <w:r>
        <w:rPr>
          <w:rFonts w:ascii="Arial"/>
          <w:i/>
          <w:spacing w:val="-2"/>
          <w:sz w:val="20"/>
        </w:rPr>
        <w:t>Parabola</w:t>
      </w:r>
    </w:p>
    <w:p>
      <w:pPr>
        <w:spacing w:after="0" w:line="235" w:lineRule="auto"/>
        <w:jc w:val="both"/>
        <w:rPr>
          <w:rFonts w:ascii="Arial"/>
          <w:i/>
          <w:sz w:val="20"/>
        </w:rPr>
        <w:sectPr>
          <w:type w:val="continuous"/>
          <w:pgSz w:w="11900" w:h="16840"/>
          <w:pgMar w:header="971" w:footer="0" w:top="1160" w:bottom="280" w:left="1275" w:right="1275"/>
        </w:sectPr>
      </w:pPr>
    </w:p>
    <w:p>
      <w:pPr>
        <w:pStyle w:val="BodyText"/>
        <w:spacing w:before="24"/>
        <w:rPr>
          <w:rFonts w:ascii="Arial"/>
          <w:i/>
        </w:rPr>
      </w:pPr>
    </w:p>
    <w:p>
      <w:pPr>
        <w:spacing w:line="235" w:lineRule="auto" w:before="1"/>
        <w:ind w:left="705" w:right="167" w:firstLine="0"/>
        <w:jc w:val="both"/>
        <w:rPr>
          <w:sz w:val="20"/>
        </w:rPr>
      </w:pPr>
      <w:r>
        <w:rPr>
          <w:rFonts w:ascii="Arial"/>
          <w:i/>
          <w:sz w:val="20"/>
        </w:rPr>
        <w:t>Investments Ltd v Browallia Cal Ltd [2009] EWHC 901 (Comm), [2009] 2 All E.R. (Comm) </w:t>
      </w:r>
      <w:r>
        <w:rPr>
          <w:rFonts w:ascii="Arial"/>
          <w:i/>
          <w:sz w:val="20"/>
        </w:rPr>
        <w:t>589</w:t>
      </w:r>
      <w:r>
        <w:rPr>
          <w:rFonts w:ascii="Arial"/>
          <w:i/>
          <w:spacing w:val="40"/>
          <w:sz w:val="20"/>
        </w:rPr>
        <w:t> </w:t>
      </w:r>
      <w:r>
        <w:rPr>
          <w:sz w:val="20"/>
        </w:rPr>
        <w:t>at [105], per Flaux J. (affirmed without reference to this point, </w:t>
      </w:r>
      <w:r>
        <w:rPr>
          <w:rFonts w:ascii="Arial"/>
          <w:i/>
          <w:sz w:val="20"/>
        </w:rPr>
        <w:t>[2010] EWCA Civ 486, [2011]</w:t>
      </w:r>
      <w:r>
        <w:rPr>
          <w:rFonts w:ascii="Arial"/>
          <w:i/>
          <w:spacing w:val="40"/>
          <w:sz w:val="20"/>
        </w:rPr>
        <w:t> </w:t>
      </w:r>
      <w:r>
        <w:rPr>
          <w:rFonts w:ascii="Arial"/>
          <w:i/>
          <w:sz w:val="20"/>
        </w:rPr>
        <w:t>Q.B. 477</w:t>
      </w:r>
      <w:r>
        <w:rPr>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586" w:id="588"/>
      <w:bookmarkEnd w:id="588"/>
      <w:r>
        <w:rPr/>
      </w:r>
      <w:hyperlink w:history="true" w:anchor="_bookmark493">
        <w:r>
          <w:rPr>
            <w:color w:val="005DA1"/>
            <w:spacing w:val="-4"/>
            <w:position w:val="5"/>
            <w:sz w:val="14"/>
            <w:u w:val="single" w:color="005DA1"/>
          </w:rPr>
          <w:t>276</w:t>
        </w:r>
      </w:hyperlink>
      <w:r>
        <w:rPr>
          <w:spacing w:val="-4"/>
          <w:position w:val="5"/>
          <w:sz w:val="14"/>
        </w:rPr>
        <w:t>.</w:t>
      </w:r>
      <w:r>
        <w:rPr>
          <w:position w:val="5"/>
          <w:sz w:val="14"/>
        </w:rPr>
        <w:tab/>
      </w:r>
      <w:r>
        <w:rPr>
          <w:rFonts w:ascii="Arial" w:hAnsi="Arial"/>
          <w:i/>
          <w:sz w:val="20"/>
        </w:rPr>
        <w:t>Dadourian</w:t>
      </w:r>
      <w:r>
        <w:rPr>
          <w:rFonts w:ascii="Arial" w:hAnsi="Arial"/>
          <w:i/>
          <w:spacing w:val="2"/>
          <w:sz w:val="20"/>
        </w:rPr>
        <w:t> </w:t>
      </w:r>
      <w:r>
        <w:rPr>
          <w:rFonts w:ascii="Arial" w:hAnsi="Arial"/>
          <w:i/>
          <w:sz w:val="20"/>
        </w:rPr>
        <w:t>Group</w:t>
      </w:r>
      <w:r>
        <w:rPr>
          <w:rFonts w:ascii="Arial" w:hAnsi="Arial"/>
          <w:i/>
          <w:spacing w:val="2"/>
          <w:sz w:val="20"/>
        </w:rPr>
        <w:t> </w:t>
      </w:r>
      <w:r>
        <w:rPr>
          <w:rFonts w:ascii="Arial" w:hAnsi="Arial"/>
          <w:i/>
          <w:sz w:val="20"/>
        </w:rPr>
        <w:t>International</w:t>
      </w:r>
      <w:r>
        <w:rPr>
          <w:rFonts w:ascii="Arial" w:hAnsi="Arial"/>
          <w:i/>
          <w:spacing w:val="2"/>
          <w:sz w:val="20"/>
        </w:rPr>
        <w:t> </w:t>
      </w:r>
      <w:r>
        <w:rPr>
          <w:rFonts w:ascii="Arial" w:hAnsi="Arial"/>
          <w:i/>
          <w:sz w:val="20"/>
        </w:rPr>
        <w:t>Inc</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Simms</w:t>
      </w:r>
      <w:r>
        <w:rPr>
          <w:rFonts w:ascii="Arial" w:hAnsi="Arial"/>
          <w:i/>
          <w:spacing w:val="2"/>
          <w:sz w:val="20"/>
        </w:rPr>
        <w:t> </w:t>
      </w:r>
      <w:r>
        <w:rPr>
          <w:rFonts w:ascii="Arial" w:hAnsi="Arial"/>
          <w:i/>
          <w:sz w:val="20"/>
        </w:rPr>
        <w:t>[2009]</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169,</w:t>
      </w:r>
      <w:r>
        <w:rPr>
          <w:rFonts w:ascii="Arial" w:hAnsi="Arial"/>
          <w:i/>
          <w:spacing w:val="2"/>
          <w:sz w:val="20"/>
        </w:rPr>
        <w:t> </w:t>
      </w:r>
      <w:r>
        <w:rPr>
          <w:rFonts w:ascii="Arial" w:hAnsi="Arial"/>
          <w:i/>
          <w:sz w:val="20"/>
        </w:rPr>
        <w:t>[2009]</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601</w:t>
      </w:r>
      <w:r>
        <w:rPr>
          <w:rFonts w:ascii="Arial" w:hAnsi="Arial"/>
          <w:i/>
          <w:spacing w:val="1"/>
          <w:sz w:val="20"/>
        </w:rPr>
        <w:t> </w:t>
      </w:r>
      <w:r>
        <w:rPr>
          <w:spacing w:val="-5"/>
          <w:sz w:val="20"/>
        </w:rPr>
        <w:t>at</w:t>
      </w:r>
    </w:p>
    <w:p>
      <w:pPr>
        <w:pStyle w:val="BodyText"/>
        <w:spacing w:line="235" w:lineRule="auto" w:before="1"/>
        <w:ind w:left="705" w:right="167"/>
        <w:jc w:val="both"/>
      </w:pPr>
      <w:r>
        <w:rPr/>
        <w:t>[107]. This dictum is criticised by Handley (2015) 131 L.Q.R. 275, 283. However, it is </w:t>
      </w:r>
      <w:r>
        <w:rPr/>
        <w:t>consistent with what appears to be the case if it can be shown that, if the misrepresentation had not occurred and the misrepresentee would not have entered the contract, nonetheless he would have entered another losing contract. See below, para.7-066.</w:t>
      </w:r>
    </w:p>
    <w:p>
      <w:pPr>
        <w:pStyle w:val="BodyText"/>
        <w:spacing w:before="8"/>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9872">
            <wp:simplePos x="0" y="0"/>
            <wp:positionH relativeFrom="page">
              <wp:posOffset>1257846</wp:posOffset>
            </wp:positionH>
            <wp:positionV relativeFrom="paragraph">
              <wp:posOffset>160723</wp:posOffset>
            </wp:positionV>
            <wp:extent cx="107988" cy="107988"/>
            <wp:effectExtent l="0" t="0" r="0" b="0"/>
            <wp:wrapNone/>
            <wp:docPr id="127" name="Image 127"/>
            <wp:cNvGraphicFramePr>
              <a:graphicFrameLocks/>
            </wp:cNvGraphicFramePr>
            <a:graphic>
              <a:graphicData uri="http://schemas.openxmlformats.org/drawingml/2006/picture">
                <pic:pic>
                  <pic:nvPicPr>
                    <pic:cNvPr id="127" name="Image 12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587" w:id="589"/>
      <w:bookmarkEnd w:id="589"/>
      <w:r>
        <w:rPr/>
      </w:r>
      <w:hyperlink w:history="true" w:anchor="_bookmark494">
        <w:r>
          <w:rPr>
            <w:color w:val="005DA1"/>
            <w:spacing w:val="-4"/>
            <w:sz w:val="14"/>
            <w:u w:val="single" w:color="005DA1"/>
          </w:rPr>
          <w:t>277</w:t>
        </w:r>
      </w:hyperlink>
      <w:r>
        <w:rPr>
          <w:spacing w:val="-4"/>
          <w:sz w:val="14"/>
        </w:rPr>
        <w:t>.</w:t>
      </w:r>
    </w:p>
    <w:p>
      <w:pPr>
        <w:spacing w:line="235" w:lineRule="auto" w:before="213"/>
        <w:ind w:left="165" w:right="168" w:firstLine="170"/>
        <w:jc w:val="both"/>
        <w:rPr>
          <w:sz w:val="20"/>
        </w:rPr>
      </w:pPr>
      <w:r>
        <w:rPr/>
        <w:br w:type="column"/>
      </w:r>
      <w:r>
        <w:rPr>
          <w:rFonts w:ascii="Arial"/>
          <w:i/>
          <w:sz w:val="20"/>
        </w:rPr>
        <w:t>[1969] 2 Q.B. 158, noted (1969) in 32 M.L.R. 556</w:t>
      </w:r>
      <w:r>
        <w:rPr>
          <w:sz w:val="20"/>
        </w:rPr>
        <w:t>; see also </w:t>
      </w:r>
      <w:r>
        <w:rPr>
          <w:rFonts w:ascii="Arial"/>
          <w:i/>
          <w:sz w:val="20"/>
        </w:rPr>
        <w:t>New Zealand Refrigerating Co </w:t>
      </w:r>
      <w:r>
        <w:rPr>
          <w:rFonts w:ascii="Arial"/>
          <w:i/>
          <w:sz w:val="20"/>
        </w:rPr>
        <w:t>v Scott [1969] N.Z.L.R. 30</w:t>
      </w:r>
      <w:r>
        <w:rPr>
          <w:sz w:val="20"/>
        </w:rPr>
        <w:t>; </w:t>
      </w:r>
      <w:r>
        <w:rPr>
          <w:rFonts w:ascii="Arial"/>
          <w:i/>
          <w:sz w:val="20"/>
        </w:rPr>
        <w:t>Parma v G. &amp; S. Properties (1969) 5 D.L.R. (3d) 315 Doyle v Olby </w:t>
      </w:r>
      <w:r>
        <w:rPr>
          <w:sz w:val="20"/>
        </w:rPr>
        <w:t>is</w:t>
      </w:r>
      <w:r>
        <w:rPr>
          <w:spacing w:val="40"/>
          <w:sz w:val="20"/>
        </w:rPr>
        <w:t> </w:t>
      </w:r>
      <w:r>
        <w:rPr>
          <w:sz w:val="20"/>
        </w:rPr>
        <w:t>of general application, so it applies whether the claimant is the buyer or the seller: </w:t>
      </w:r>
      <w:r>
        <w:rPr>
          <w:rFonts w:ascii="Arial"/>
          <w:i/>
          <w:sz w:val="20"/>
        </w:rPr>
        <w:t>Inter Export LLC v Townley [2017] EWHC 530 (Ch) </w:t>
      </w:r>
      <w:r>
        <w:rPr>
          <w:sz w:val="20"/>
        </w:rPr>
        <w:t>at [8]..</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bookmarkStart w:name="_bookmark588" w:id="590"/>
      <w:bookmarkEnd w:id="590"/>
      <w:r>
        <w:rPr/>
      </w:r>
      <w:hyperlink w:history="true" w:anchor="_bookmark495">
        <w:r>
          <w:rPr>
            <w:color w:val="005DA1"/>
            <w:spacing w:val="-4"/>
            <w:sz w:val="14"/>
            <w:u w:val="single" w:color="005DA1"/>
          </w:rPr>
          <w:t>278</w:t>
        </w:r>
      </w:hyperlink>
      <w:r>
        <w:rPr>
          <w:spacing w:val="-4"/>
          <w:sz w:val="14"/>
        </w:rPr>
        <w:t>.</w:t>
      </w:r>
    </w:p>
    <w:p>
      <w:pPr>
        <w:spacing w:line="227" w:lineRule="exact" w:before="208"/>
        <w:ind w:left="335" w:right="0" w:firstLine="0"/>
        <w:jc w:val="left"/>
        <w:rPr>
          <w:rFonts w:ascii="Arial"/>
          <w:i/>
          <w:sz w:val="20"/>
        </w:rPr>
      </w:pPr>
      <w:r>
        <w:rPr/>
        <w:br w:type="column"/>
      </w:r>
      <w:r>
        <w:rPr>
          <w:sz w:val="20"/>
        </w:rPr>
        <w:t>See</w:t>
      </w:r>
      <w:r>
        <w:rPr>
          <w:spacing w:val="15"/>
          <w:sz w:val="20"/>
        </w:rPr>
        <w:t> </w:t>
      </w:r>
      <w:r>
        <w:rPr>
          <w:rFonts w:ascii="Arial"/>
          <w:i/>
          <w:sz w:val="20"/>
        </w:rPr>
        <w:t>Esso</w:t>
      </w:r>
      <w:r>
        <w:rPr>
          <w:rFonts w:ascii="Arial"/>
          <w:i/>
          <w:spacing w:val="16"/>
          <w:sz w:val="20"/>
        </w:rPr>
        <w:t> </w:t>
      </w:r>
      <w:r>
        <w:rPr>
          <w:rFonts w:ascii="Arial"/>
          <w:i/>
          <w:sz w:val="20"/>
        </w:rPr>
        <w:t>Petroleum</w:t>
      </w:r>
      <w:r>
        <w:rPr>
          <w:rFonts w:ascii="Arial"/>
          <w:i/>
          <w:spacing w:val="16"/>
          <w:sz w:val="20"/>
        </w:rPr>
        <w:t> </w:t>
      </w:r>
      <w:r>
        <w:rPr>
          <w:rFonts w:ascii="Arial"/>
          <w:i/>
          <w:sz w:val="20"/>
        </w:rPr>
        <w:t>Ltd</w:t>
      </w:r>
      <w:r>
        <w:rPr>
          <w:rFonts w:ascii="Arial"/>
          <w:i/>
          <w:spacing w:val="16"/>
          <w:sz w:val="20"/>
        </w:rPr>
        <w:t> </w:t>
      </w:r>
      <w:r>
        <w:rPr>
          <w:rFonts w:ascii="Arial"/>
          <w:i/>
          <w:sz w:val="20"/>
        </w:rPr>
        <w:t>v</w:t>
      </w:r>
      <w:r>
        <w:rPr>
          <w:rFonts w:ascii="Arial"/>
          <w:i/>
          <w:spacing w:val="16"/>
          <w:sz w:val="20"/>
        </w:rPr>
        <w:t> </w:t>
      </w:r>
      <w:r>
        <w:rPr>
          <w:rFonts w:ascii="Arial"/>
          <w:i/>
          <w:sz w:val="20"/>
        </w:rPr>
        <w:t>Mardon</w:t>
      </w:r>
      <w:r>
        <w:rPr>
          <w:rFonts w:ascii="Arial"/>
          <w:i/>
          <w:spacing w:val="16"/>
          <w:sz w:val="20"/>
        </w:rPr>
        <w:t> </w:t>
      </w:r>
      <w:r>
        <w:rPr>
          <w:rFonts w:ascii="Arial"/>
          <w:i/>
          <w:sz w:val="20"/>
        </w:rPr>
        <w:t>[1976]</w:t>
      </w:r>
      <w:r>
        <w:rPr>
          <w:rFonts w:ascii="Arial"/>
          <w:i/>
          <w:spacing w:val="16"/>
          <w:sz w:val="20"/>
        </w:rPr>
        <w:t> </w:t>
      </w:r>
      <w:r>
        <w:rPr>
          <w:rFonts w:ascii="Arial"/>
          <w:i/>
          <w:sz w:val="20"/>
        </w:rPr>
        <w:t>Q.B.</w:t>
      </w:r>
      <w:r>
        <w:rPr>
          <w:rFonts w:ascii="Arial"/>
          <w:i/>
          <w:spacing w:val="16"/>
          <w:sz w:val="20"/>
        </w:rPr>
        <w:t> </w:t>
      </w:r>
      <w:r>
        <w:rPr>
          <w:rFonts w:ascii="Arial"/>
          <w:i/>
          <w:sz w:val="20"/>
        </w:rPr>
        <w:t>801,</w:t>
      </w:r>
      <w:r>
        <w:rPr>
          <w:rFonts w:ascii="Arial"/>
          <w:i/>
          <w:spacing w:val="16"/>
          <w:sz w:val="20"/>
        </w:rPr>
        <w:t> </w:t>
      </w:r>
      <w:r>
        <w:rPr>
          <w:rFonts w:ascii="Arial"/>
          <w:i/>
          <w:sz w:val="20"/>
        </w:rPr>
        <w:t>820,</w:t>
      </w:r>
      <w:r>
        <w:rPr>
          <w:rFonts w:ascii="Arial"/>
          <w:i/>
          <w:spacing w:val="16"/>
          <w:sz w:val="20"/>
        </w:rPr>
        <w:t> </w:t>
      </w:r>
      <w:r>
        <w:rPr>
          <w:rFonts w:ascii="Arial"/>
          <w:i/>
          <w:sz w:val="20"/>
        </w:rPr>
        <w:t>828,</w:t>
      </w:r>
      <w:r>
        <w:rPr>
          <w:rFonts w:ascii="Arial"/>
          <w:i/>
          <w:spacing w:val="16"/>
          <w:sz w:val="20"/>
        </w:rPr>
        <w:t> </w:t>
      </w:r>
      <w:r>
        <w:rPr>
          <w:rFonts w:ascii="Arial"/>
          <w:i/>
          <w:sz w:val="20"/>
        </w:rPr>
        <w:t>833</w:t>
      </w:r>
      <w:r>
        <w:rPr>
          <w:sz w:val="20"/>
        </w:rPr>
        <w:t>.</w:t>
      </w:r>
      <w:r>
        <w:rPr>
          <w:spacing w:val="16"/>
          <w:sz w:val="20"/>
        </w:rPr>
        <w:t> </w:t>
      </w:r>
      <w:r>
        <w:rPr>
          <w:rFonts w:ascii="Arial"/>
          <w:i/>
          <w:sz w:val="20"/>
        </w:rPr>
        <w:t>Wemyss</w:t>
      </w:r>
      <w:r>
        <w:rPr>
          <w:rFonts w:ascii="Arial"/>
          <w:i/>
          <w:spacing w:val="16"/>
          <w:sz w:val="20"/>
        </w:rPr>
        <w:t> </w:t>
      </w:r>
      <w:r>
        <w:rPr>
          <w:rFonts w:ascii="Arial"/>
          <w:i/>
          <w:sz w:val="20"/>
        </w:rPr>
        <w:t>v</w:t>
      </w:r>
      <w:r>
        <w:rPr>
          <w:rFonts w:ascii="Arial"/>
          <w:i/>
          <w:spacing w:val="16"/>
          <w:sz w:val="20"/>
        </w:rPr>
        <w:t> </w:t>
      </w:r>
      <w:r>
        <w:rPr>
          <w:rFonts w:ascii="Arial"/>
          <w:i/>
          <w:sz w:val="20"/>
        </w:rPr>
        <w:t>Karim</w:t>
      </w:r>
      <w:r>
        <w:rPr>
          <w:rFonts w:ascii="Arial"/>
          <w:i/>
          <w:spacing w:val="16"/>
          <w:sz w:val="20"/>
        </w:rPr>
        <w:t> </w:t>
      </w:r>
      <w:r>
        <w:rPr>
          <w:rFonts w:ascii="Arial"/>
          <w:i/>
          <w:spacing w:val="-2"/>
          <w:sz w:val="20"/>
        </w:rPr>
        <w:t>[2016]</w:t>
      </w:r>
    </w:p>
    <w:p>
      <w:pPr>
        <w:spacing w:line="227" w:lineRule="exact" w:before="0"/>
        <w:ind w:left="165" w:right="0" w:firstLine="0"/>
        <w:jc w:val="left"/>
        <w:rPr>
          <w:sz w:val="20"/>
        </w:rPr>
      </w:pPr>
      <w:r>
        <w:rPr>
          <w:sz w:val="20"/>
        </w:rPr>
        <w:drawing>
          <wp:anchor distT="0" distB="0" distL="0" distR="0" allowOverlap="1" layoutInCell="1" locked="0" behindDoc="0" simplePos="0" relativeHeight="15760384">
            <wp:simplePos x="0" y="0"/>
            <wp:positionH relativeFrom="page">
              <wp:posOffset>1257846</wp:posOffset>
            </wp:positionH>
            <wp:positionV relativeFrom="paragraph">
              <wp:posOffset>-116137</wp:posOffset>
            </wp:positionV>
            <wp:extent cx="107988" cy="107988"/>
            <wp:effectExtent l="0" t="0" r="0" b="0"/>
            <wp:wrapNone/>
            <wp:docPr id="128" name="Image 128"/>
            <wp:cNvGraphicFramePr>
              <a:graphicFrameLocks/>
            </wp:cNvGraphicFramePr>
            <a:graphic>
              <a:graphicData uri="http://schemas.openxmlformats.org/drawingml/2006/picture">
                <pic:pic>
                  <pic:nvPicPr>
                    <pic:cNvPr id="128" name="Image 128"/>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EWCA Civ 27</w:t>
      </w:r>
      <w:r>
        <w:rPr>
          <w:rFonts w:ascii="Arial"/>
          <w:i/>
          <w:spacing w:val="-1"/>
          <w:sz w:val="20"/>
        </w:rPr>
        <w:t> </w:t>
      </w:r>
      <w:r>
        <w:rPr>
          <w:sz w:val="20"/>
        </w:rPr>
        <w:t>at </w:t>
      </w:r>
      <w:r>
        <w:rPr>
          <w:spacing w:val="-2"/>
          <w:sz w:val="20"/>
        </w:rPr>
        <w:t>[23].</w:t>
      </w:r>
    </w:p>
    <w:p>
      <w:pPr>
        <w:spacing w:after="0" w:line="227" w:lineRule="exact"/>
        <w:jc w:val="left"/>
        <w:rPr>
          <w:sz w:val="20"/>
        </w:rPr>
        <w:sectPr>
          <w:type w:val="continuous"/>
          <w:pgSz w:w="11900" w:h="16840"/>
          <w:pgMar w:header="971" w:footer="0" w:top="1160" w:bottom="280" w:left="1275" w:right="1275"/>
          <w:cols w:num="2" w:equalWidth="0">
            <w:col w:w="478" w:space="63"/>
            <w:col w:w="8809"/>
          </w:cols>
        </w:sectPr>
      </w:pPr>
    </w:p>
    <w:p>
      <w:pPr>
        <w:pStyle w:val="BodyText"/>
        <w:spacing w:before="9"/>
      </w:pPr>
    </w:p>
    <w:p>
      <w:pPr>
        <w:tabs>
          <w:tab w:pos="705" w:val="left" w:leader="none"/>
        </w:tabs>
        <w:spacing w:line="235" w:lineRule="auto" w:before="0"/>
        <w:ind w:left="705" w:right="168" w:hanging="541"/>
        <w:jc w:val="left"/>
        <w:rPr>
          <w:sz w:val="20"/>
        </w:rPr>
      </w:pPr>
      <w:bookmarkStart w:name="_bookmark589" w:id="591"/>
      <w:bookmarkEnd w:id="591"/>
      <w:r>
        <w:rPr/>
      </w:r>
      <w:hyperlink w:history="true" w:anchor="_bookmark496">
        <w:r>
          <w:rPr>
            <w:color w:val="005DA1"/>
            <w:spacing w:val="-4"/>
            <w:position w:val="5"/>
            <w:sz w:val="14"/>
            <w:u w:val="single" w:color="005DA1"/>
          </w:rPr>
          <w:t>279</w:t>
        </w:r>
      </w:hyperlink>
      <w:r>
        <w:rPr>
          <w:spacing w:val="-4"/>
          <w:position w:val="5"/>
          <w:sz w:val="14"/>
        </w:rPr>
        <w:t>.</w:t>
      </w:r>
      <w:r>
        <w:rPr>
          <w:position w:val="5"/>
          <w:sz w:val="14"/>
        </w:rPr>
        <w:tab/>
      </w:r>
      <w:r>
        <w:rPr>
          <w:rFonts w:ascii="Arial"/>
          <w:i/>
          <w:sz w:val="20"/>
        </w:rPr>
        <w:t>Newark</w:t>
      </w:r>
      <w:r>
        <w:rPr>
          <w:rFonts w:ascii="Arial"/>
          <w:i/>
          <w:spacing w:val="-1"/>
          <w:sz w:val="20"/>
        </w:rPr>
        <w:t> </w:t>
      </w:r>
      <w:r>
        <w:rPr>
          <w:rFonts w:ascii="Arial"/>
          <w:i/>
          <w:sz w:val="20"/>
        </w:rPr>
        <w:t>Engineering</w:t>
      </w:r>
      <w:r>
        <w:rPr>
          <w:rFonts w:ascii="Arial"/>
          <w:i/>
          <w:spacing w:val="-1"/>
          <w:sz w:val="20"/>
        </w:rPr>
        <w:t> </w:t>
      </w:r>
      <w:r>
        <w:rPr>
          <w:rFonts w:ascii="Arial"/>
          <w:i/>
          <w:sz w:val="20"/>
        </w:rPr>
        <w:t>(N.Z.)</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Jenkin</w:t>
      </w:r>
      <w:r>
        <w:rPr>
          <w:rFonts w:ascii="Arial"/>
          <w:i/>
          <w:spacing w:val="-1"/>
          <w:sz w:val="20"/>
        </w:rPr>
        <w:t> </w:t>
      </w:r>
      <w:r>
        <w:rPr>
          <w:rFonts w:ascii="Arial"/>
          <w:i/>
          <w:sz w:val="20"/>
        </w:rPr>
        <w:t>[1980]</w:t>
      </w:r>
      <w:r>
        <w:rPr>
          <w:rFonts w:ascii="Arial"/>
          <w:i/>
          <w:spacing w:val="-1"/>
          <w:sz w:val="20"/>
        </w:rPr>
        <w:t> </w:t>
      </w:r>
      <w:r>
        <w:rPr>
          <w:rFonts w:ascii="Arial"/>
          <w:i/>
          <w:sz w:val="20"/>
        </w:rPr>
        <w:t>N.Z.L.R.</w:t>
      </w:r>
      <w:r>
        <w:rPr>
          <w:rFonts w:ascii="Arial"/>
          <w:i/>
          <w:spacing w:val="-1"/>
          <w:sz w:val="20"/>
        </w:rPr>
        <w:t> </w:t>
      </w:r>
      <w:r>
        <w:rPr>
          <w:rFonts w:ascii="Arial"/>
          <w:i/>
          <w:sz w:val="20"/>
        </w:rPr>
        <w:t>504</w:t>
      </w:r>
      <w:r>
        <w:rPr>
          <w:sz w:val="20"/>
        </w:rPr>
        <w:t>;</w:t>
      </w:r>
      <w:r>
        <w:rPr>
          <w:spacing w:val="-1"/>
          <w:sz w:val="20"/>
        </w:rPr>
        <w:t> </w:t>
      </w:r>
      <w:r>
        <w:rPr>
          <w:rFonts w:ascii="Arial"/>
          <w:i/>
          <w:sz w:val="20"/>
        </w:rPr>
        <w:t>Smith</w:t>
      </w:r>
      <w:r>
        <w:rPr>
          <w:rFonts w:ascii="Arial"/>
          <w:i/>
          <w:spacing w:val="-1"/>
          <w:sz w:val="20"/>
        </w:rPr>
        <w:t> </w:t>
      </w:r>
      <w:r>
        <w:rPr>
          <w:rFonts w:ascii="Arial"/>
          <w:i/>
          <w:sz w:val="20"/>
        </w:rPr>
        <w:t>Kline</w:t>
      </w:r>
      <w:r>
        <w:rPr>
          <w:rFonts w:ascii="Arial"/>
          <w:i/>
          <w:spacing w:val="-1"/>
          <w:sz w:val="20"/>
        </w:rPr>
        <w:t> </w:t>
      </w:r>
      <w:r>
        <w:rPr>
          <w:rFonts w:ascii="Arial"/>
          <w:i/>
          <w:sz w:val="20"/>
        </w:rPr>
        <w:t>&amp;</w:t>
      </w:r>
      <w:r>
        <w:rPr>
          <w:rFonts w:ascii="Arial"/>
          <w:i/>
          <w:spacing w:val="-1"/>
          <w:sz w:val="20"/>
        </w:rPr>
        <w:t> </w:t>
      </w:r>
      <w:r>
        <w:rPr>
          <w:rFonts w:ascii="Arial"/>
          <w:i/>
          <w:sz w:val="20"/>
        </w:rPr>
        <w:t>French</w:t>
      </w:r>
      <w:r>
        <w:rPr>
          <w:rFonts w:ascii="Arial"/>
          <w:i/>
          <w:spacing w:val="-1"/>
          <w:sz w:val="20"/>
        </w:rPr>
        <w:t> </w:t>
      </w:r>
      <w:r>
        <w:rPr>
          <w:rFonts w:ascii="Arial"/>
          <w:i/>
          <w:sz w:val="20"/>
        </w:rPr>
        <w:t>Laboratories Ltd v Long [1989] 1 W.L.R. 1</w:t>
      </w:r>
      <w:r>
        <w:rPr>
          <w:sz w:val="20"/>
        </w:rPr>
        <w:t>.</w:t>
      </w:r>
    </w:p>
    <w:p>
      <w:pPr>
        <w:pStyle w:val="BodyText"/>
        <w:spacing w:before="9"/>
      </w:pPr>
    </w:p>
    <w:p>
      <w:pPr>
        <w:spacing w:line="235" w:lineRule="auto" w:before="0"/>
        <w:ind w:left="705" w:right="167" w:hanging="541"/>
        <w:jc w:val="both"/>
        <w:rPr>
          <w:sz w:val="20"/>
        </w:rPr>
      </w:pPr>
      <w:bookmarkStart w:name="_bookmark590" w:id="592"/>
      <w:bookmarkEnd w:id="592"/>
      <w:r>
        <w:rPr/>
      </w:r>
      <w:hyperlink w:history="true" w:anchor="_bookmark497">
        <w:r>
          <w:rPr>
            <w:color w:val="005DA1"/>
            <w:position w:val="5"/>
            <w:sz w:val="14"/>
            <w:u w:val="single" w:color="005DA1"/>
          </w:rPr>
          <w:t>280</w:t>
        </w:r>
      </w:hyperlink>
      <w:r>
        <w:rPr>
          <w:position w:val="5"/>
          <w:sz w:val="14"/>
        </w:rPr>
        <w:t>.</w:t>
      </w:r>
      <w:r>
        <w:rPr>
          <w:spacing w:val="80"/>
          <w:position w:val="5"/>
          <w:sz w:val="14"/>
        </w:rPr>
        <w:t>  </w:t>
      </w:r>
      <w:r>
        <w:rPr>
          <w:sz w:val="20"/>
        </w:rPr>
        <w:t>When there is no evidence as to values, the cost of making good the representation may </w:t>
      </w:r>
      <w:r>
        <w:rPr>
          <w:sz w:val="20"/>
        </w:rPr>
        <w:t>be taken to represent the difference in value: </w:t>
      </w:r>
      <w:r>
        <w:rPr>
          <w:rFonts w:ascii="Arial"/>
          <w:i/>
          <w:sz w:val="20"/>
        </w:rPr>
        <w:t>Jacovides v Constantinou, The Times, October 27, </w:t>
      </w:r>
      <w:r>
        <w:rPr>
          <w:rFonts w:ascii="Arial"/>
          <w:i/>
          <w:spacing w:val="-2"/>
          <w:sz w:val="20"/>
        </w:rPr>
        <w:t>1986</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591" w:id="593"/>
      <w:bookmarkEnd w:id="593"/>
      <w:r>
        <w:rPr/>
      </w:r>
      <w:hyperlink w:history="true" w:anchor="_bookmark498">
        <w:r>
          <w:rPr>
            <w:color w:val="005DA1"/>
            <w:spacing w:val="-4"/>
            <w:position w:val="5"/>
            <w:sz w:val="14"/>
            <w:u w:val="single" w:color="005DA1"/>
          </w:rPr>
          <w:t>281</w:t>
        </w:r>
      </w:hyperlink>
      <w:r>
        <w:rPr>
          <w:spacing w:val="-4"/>
          <w:position w:val="5"/>
          <w:sz w:val="14"/>
        </w:rPr>
        <w:t>.</w:t>
      </w:r>
      <w:r>
        <w:rPr>
          <w:position w:val="5"/>
          <w:sz w:val="14"/>
        </w:rPr>
        <w:tab/>
      </w:r>
      <w:r>
        <w:rPr>
          <w:rFonts w:ascii="Arial"/>
          <w:i/>
          <w:sz w:val="20"/>
        </w:rPr>
        <w:t>[1997]</w:t>
      </w:r>
      <w:r>
        <w:rPr>
          <w:rFonts w:ascii="Arial"/>
          <w:i/>
          <w:spacing w:val="-2"/>
          <w:sz w:val="20"/>
        </w:rPr>
        <w:t> </w:t>
      </w:r>
      <w:r>
        <w:rPr>
          <w:rFonts w:ascii="Arial"/>
          <w:i/>
          <w:sz w:val="20"/>
        </w:rPr>
        <w:t>A.C. 254, </w:t>
      </w:r>
      <w:r>
        <w:rPr>
          <w:rFonts w:ascii="Arial"/>
          <w:i/>
          <w:spacing w:val="-4"/>
          <w:sz w:val="20"/>
        </w:rPr>
        <w:t>263</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592" w:id="594"/>
      <w:bookmarkEnd w:id="594"/>
      <w:r>
        <w:rPr/>
      </w:r>
      <w:hyperlink w:history="true" w:anchor="_bookmark499">
        <w:r>
          <w:rPr>
            <w:color w:val="005DA1"/>
            <w:spacing w:val="-4"/>
            <w:position w:val="5"/>
            <w:sz w:val="14"/>
            <w:u w:val="single" w:color="005DA1"/>
          </w:rPr>
          <w:t>282</w:t>
        </w:r>
      </w:hyperlink>
      <w:r>
        <w:rPr>
          <w:spacing w:val="-4"/>
          <w:position w:val="5"/>
          <w:sz w:val="14"/>
        </w:rPr>
        <w:t>.</w:t>
      </w:r>
      <w:r>
        <w:rPr>
          <w:position w:val="5"/>
          <w:sz w:val="14"/>
        </w:rPr>
        <w:tab/>
      </w:r>
      <w:r>
        <w:rPr>
          <w:sz w:val="20"/>
        </w:rPr>
        <w:t>In </w:t>
      </w:r>
      <w:r>
        <w:rPr>
          <w:rFonts w:ascii="Arial" w:hAnsi="Arial"/>
          <w:i/>
          <w:sz w:val="20"/>
        </w:rPr>
        <w:t>Parabola Investments Ltd v Browallia Cal Ltd [2010] EWCA Civ 486</w:t>
      </w:r>
      <w:r>
        <w:rPr>
          <w:sz w:val="20"/>
        </w:rPr>
        <w:t>, Toulson L.J. said </w:t>
      </w:r>
      <w:r>
        <w:rPr>
          <w:sz w:val="20"/>
        </w:rPr>
        <w:t>that</w:t>
      </w:r>
      <w:r>
        <w:rPr>
          <w:spacing w:val="40"/>
          <w:sz w:val="20"/>
        </w:rPr>
        <w:t> </w:t>
      </w:r>
      <w:r>
        <w:rPr>
          <w:sz w:val="20"/>
        </w:rPr>
        <w:t>he took these instances “to be illustrative rather than exclusive” (at [34]).</w:t>
      </w:r>
    </w:p>
    <w:p>
      <w:pPr>
        <w:pStyle w:val="BodyText"/>
        <w:spacing w:before="9"/>
      </w:pPr>
    </w:p>
    <w:p>
      <w:pPr>
        <w:spacing w:line="235" w:lineRule="auto" w:before="1"/>
        <w:ind w:left="705" w:right="167" w:hanging="541"/>
        <w:jc w:val="both"/>
        <w:rPr>
          <w:rFonts w:ascii="Arial" w:hAnsi="Arial"/>
          <w:i/>
          <w:sz w:val="20"/>
        </w:rPr>
      </w:pPr>
      <w:bookmarkStart w:name="_bookmark593" w:id="595"/>
      <w:bookmarkEnd w:id="595"/>
      <w:r>
        <w:rPr/>
      </w:r>
      <w:hyperlink w:history="true" w:anchor="_bookmark500">
        <w:r>
          <w:rPr>
            <w:color w:val="005DA1"/>
            <w:position w:val="5"/>
            <w:sz w:val="14"/>
            <w:u w:val="single" w:color="005DA1"/>
          </w:rPr>
          <w:t>283</w:t>
        </w:r>
      </w:hyperlink>
      <w:r>
        <w:rPr>
          <w:position w:val="5"/>
          <w:sz w:val="14"/>
        </w:rPr>
        <w:t>.</w:t>
      </w:r>
      <w:r>
        <w:rPr>
          <w:spacing w:val="80"/>
          <w:position w:val="5"/>
          <w:sz w:val="14"/>
        </w:rPr>
        <w:t> </w:t>
      </w:r>
      <w:r>
        <w:rPr>
          <w:rFonts w:ascii="Arial" w:hAnsi="Arial"/>
          <w:i/>
          <w:sz w:val="20"/>
        </w:rPr>
        <w:t>[1997] A.C. 254, 267</w:t>
      </w:r>
      <w:r>
        <w:rPr>
          <w:sz w:val="20"/>
        </w:rPr>
        <w:t>. Lord Mustill said that the judgment of Lord Denning in </w:t>
      </w:r>
      <w:r>
        <w:rPr>
          <w:rFonts w:ascii="Arial" w:hAnsi="Arial"/>
          <w:i/>
          <w:sz w:val="20"/>
        </w:rPr>
        <w:t>Doyle v </w:t>
      </w:r>
      <w:r>
        <w:rPr>
          <w:rFonts w:ascii="Arial" w:hAnsi="Arial"/>
          <w:i/>
          <w:sz w:val="20"/>
        </w:rPr>
        <w:t>Olby (Ironmongers) Ltd [1969] 2 Q.B. 158 </w:t>
      </w:r>
      <w:r>
        <w:rPr>
          <w:sz w:val="20"/>
        </w:rPr>
        <w:t>was in some respects too broad-brush; the case had not been fully argued (apparently a reference to the fact mentioned by Lord Browne-Wilkinson that certain nineteenth-century cases on the date of valuation had not been cited). He considered that, in future, courts would do well to be guided by Lord Browne-Wilkinson’s seven propositions: 269. On the duty to mitigate, see </w:t>
      </w:r>
      <w:r>
        <w:rPr>
          <w:rFonts w:ascii="Arial" w:hAnsi="Arial"/>
          <w:i/>
          <w:sz w:val="20"/>
        </w:rPr>
        <w:t>Standard Chartered Bank v Pakistan National Shipping</w:t>
      </w:r>
      <w:r>
        <w:rPr>
          <w:rFonts w:ascii="Arial" w:hAnsi="Arial"/>
          <w:i/>
          <w:spacing w:val="16"/>
          <w:sz w:val="20"/>
        </w:rPr>
        <w:t> </w:t>
      </w:r>
      <w:r>
        <w:rPr>
          <w:rFonts w:ascii="Arial" w:hAnsi="Arial"/>
          <w:i/>
          <w:sz w:val="20"/>
        </w:rPr>
        <w:t>Corp</w:t>
      </w:r>
      <w:r>
        <w:rPr>
          <w:rFonts w:ascii="Arial" w:hAnsi="Arial"/>
          <w:i/>
          <w:spacing w:val="16"/>
          <w:sz w:val="20"/>
        </w:rPr>
        <w:t> </w:t>
      </w:r>
      <w:r>
        <w:rPr>
          <w:rFonts w:ascii="Arial" w:hAnsi="Arial"/>
          <w:i/>
          <w:sz w:val="20"/>
        </w:rPr>
        <w:t>[1999]</w:t>
      </w:r>
      <w:r>
        <w:rPr>
          <w:rFonts w:ascii="Arial" w:hAnsi="Arial"/>
          <w:i/>
          <w:spacing w:val="16"/>
          <w:sz w:val="20"/>
        </w:rPr>
        <w:t> </w:t>
      </w:r>
      <w:r>
        <w:rPr>
          <w:rFonts w:ascii="Arial" w:hAnsi="Arial"/>
          <w:i/>
          <w:sz w:val="20"/>
        </w:rPr>
        <w:t>1</w:t>
      </w:r>
      <w:r>
        <w:rPr>
          <w:rFonts w:ascii="Arial" w:hAnsi="Arial"/>
          <w:i/>
          <w:spacing w:val="16"/>
          <w:sz w:val="20"/>
        </w:rPr>
        <w:t> </w:t>
      </w:r>
      <w:r>
        <w:rPr>
          <w:rFonts w:ascii="Arial" w:hAnsi="Arial"/>
          <w:i/>
          <w:sz w:val="20"/>
        </w:rPr>
        <w:t>All</w:t>
      </w:r>
      <w:r>
        <w:rPr>
          <w:rFonts w:ascii="Arial" w:hAnsi="Arial"/>
          <w:i/>
          <w:spacing w:val="16"/>
          <w:sz w:val="20"/>
        </w:rPr>
        <w:t> </w:t>
      </w:r>
      <w:r>
        <w:rPr>
          <w:rFonts w:ascii="Arial" w:hAnsi="Arial"/>
          <w:i/>
          <w:sz w:val="20"/>
        </w:rPr>
        <w:t>E.R.</w:t>
      </w:r>
      <w:r>
        <w:rPr>
          <w:rFonts w:ascii="Arial" w:hAnsi="Arial"/>
          <w:i/>
          <w:spacing w:val="16"/>
          <w:sz w:val="20"/>
        </w:rPr>
        <w:t> </w:t>
      </w:r>
      <w:r>
        <w:rPr>
          <w:rFonts w:ascii="Arial" w:hAnsi="Arial"/>
          <w:i/>
          <w:sz w:val="20"/>
        </w:rPr>
        <w:t>(Comm)</w:t>
      </w:r>
      <w:r>
        <w:rPr>
          <w:rFonts w:ascii="Arial" w:hAnsi="Arial"/>
          <w:i/>
          <w:spacing w:val="16"/>
          <w:sz w:val="20"/>
        </w:rPr>
        <w:t> </w:t>
      </w:r>
      <w:r>
        <w:rPr>
          <w:rFonts w:ascii="Arial" w:hAnsi="Arial"/>
          <w:i/>
          <w:sz w:val="20"/>
        </w:rPr>
        <w:t>417,</w:t>
      </w:r>
      <w:r>
        <w:rPr>
          <w:rFonts w:ascii="Arial" w:hAnsi="Arial"/>
          <w:i/>
          <w:spacing w:val="16"/>
          <w:sz w:val="20"/>
        </w:rPr>
        <w:t> </w:t>
      </w:r>
      <w:r>
        <w:rPr>
          <w:rFonts w:ascii="Arial" w:hAnsi="Arial"/>
          <w:i/>
          <w:sz w:val="20"/>
        </w:rPr>
        <w:t>affirmed</w:t>
      </w:r>
      <w:r>
        <w:rPr>
          <w:rFonts w:ascii="Arial" w:hAnsi="Arial"/>
          <w:i/>
          <w:spacing w:val="16"/>
          <w:sz w:val="20"/>
        </w:rPr>
        <w:t> </w:t>
      </w:r>
      <w:r>
        <w:rPr>
          <w:rFonts w:ascii="Arial" w:hAnsi="Arial"/>
          <w:i/>
          <w:sz w:val="20"/>
        </w:rPr>
        <w:t>[2001]</w:t>
      </w:r>
      <w:r>
        <w:rPr>
          <w:rFonts w:ascii="Arial" w:hAnsi="Arial"/>
          <w:i/>
          <w:spacing w:val="16"/>
          <w:sz w:val="20"/>
        </w:rPr>
        <w:t> </w:t>
      </w:r>
      <w:r>
        <w:rPr>
          <w:rFonts w:ascii="Arial" w:hAnsi="Arial"/>
          <w:i/>
          <w:sz w:val="20"/>
        </w:rPr>
        <w:t>EWCA</w:t>
      </w:r>
      <w:r>
        <w:rPr>
          <w:rFonts w:ascii="Arial" w:hAnsi="Arial"/>
          <w:i/>
          <w:spacing w:val="16"/>
          <w:sz w:val="20"/>
        </w:rPr>
        <w:t> </w:t>
      </w:r>
      <w:r>
        <w:rPr>
          <w:rFonts w:ascii="Arial" w:hAnsi="Arial"/>
          <w:i/>
          <w:sz w:val="20"/>
        </w:rPr>
        <w:t>Civ</w:t>
      </w:r>
      <w:r>
        <w:rPr>
          <w:rFonts w:ascii="Arial" w:hAnsi="Arial"/>
          <w:i/>
          <w:spacing w:val="16"/>
          <w:sz w:val="20"/>
        </w:rPr>
        <w:t> </w:t>
      </w:r>
      <w:r>
        <w:rPr>
          <w:rFonts w:ascii="Arial" w:hAnsi="Arial"/>
          <w:i/>
          <w:sz w:val="20"/>
        </w:rPr>
        <w:t>55,</w:t>
      </w:r>
      <w:r>
        <w:rPr>
          <w:rFonts w:ascii="Arial" w:hAnsi="Arial"/>
          <w:i/>
          <w:spacing w:val="16"/>
          <w:sz w:val="20"/>
        </w:rPr>
        <w:t> </w:t>
      </w:r>
      <w:r>
        <w:rPr>
          <w:rFonts w:ascii="Arial" w:hAnsi="Arial"/>
          <w:i/>
          <w:sz w:val="20"/>
        </w:rPr>
        <w:t>[2001]</w:t>
      </w:r>
      <w:r>
        <w:rPr>
          <w:rFonts w:ascii="Arial" w:hAnsi="Arial"/>
          <w:i/>
          <w:spacing w:val="16"/>
          <w:sz w:val="20"/>
        </w:rPr>
        <w:t> </w:t>
      </w:r>
      <w:r>
        <w:rPr>
          <w:rFonts w:ascii="Arial" w:hAnsi="Arial"/>
          <w:i/>
          <w:sz w:val="20"/>
        </w:rPr>
        <w:t>1</w:t>
      </w:r>
      <w:r>
        <w:rPr>
          <w:rFonts w:ascii="Arial" w:hAnsi="Arial"/>
          <w:i/>
          <w:spacing w:val="16"/>
          <w:sz w:val="20"/>
        </w:rPr>
        <w:t> </w:t>
      </w:r>
      <w:r>
        <w:rPr>
          <w:rFonts w:ascii="Arial" w:hAnsi="Arial"/>
          <w:i/>
          <w:sz w:val="20"/>
        </w:rPr>
        <w:t>All</w:t>
      </w:r>
      <w:r>
        <w:rPr>
          <w:rFonts w:ascii="Arial" w:hAnsi="Arial"/>
          <w:i/>
          <w:spacing w:val="16"/>
          <w:sz w:val="20"/>
        </w:rPr>
        <w:t> </w:t>
      </w:r>
      <w:r>
        <w:rPr>
          <w:rFonts w:ascii="Arial" w:hAnsi="Arial"/>
          <w:i/>
          <w:spacing w:val="-4"/>
          <w:sz w:val="20"/>
        </w:rPr>
        <w:t>E.R.</w:t>
      </w:r>
    </w:p>
    <w:p>
      <w:pPr>
        <w:spacing w:line="224" w:lineRule="exact" w:before="0"/>
        <w:ind w:left="705" w:right="0" w:firstLine="0"/>
        <w:jc w:val="left"/>
        <w:rPr>
          <w:sz w:val="20"/>
        </w:rPr>
      </w:pPr>
      <w:r>
        <w:rPr>
          <w:rFonts w:ascii="Arial"/>
          <w:i/>
          <w:sz w:val="20"/>
        </w:rPr>
        <w:t>(Comm)</w:t>
      </w:r>
      <w:r>
        <w:rPr>
          <w:rFonts w:ascii="Arial"/>
          <w:i/>
          <w:spacing w:val="-2"/>
          <w:sz w:val="20"/>
        </w:rPr>
        <w:t> </w:t>
      </w:r>
      <w:r>
        <w:rPr>
          <w:rFonts w:ascii="Arial"/>
          <w:i/>
          <w:spacing w:val="-4"/>
          <w:sz w:val="20"/>
        </w:rPr>
        <w:t>822</w:t>
      </w:r>
      <w:r>
        <w:rPr>
          <w:spacing w:val="-4"/>
          <w:sz w:val="20"/>
        </w:rPr>
        <w:t>.</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594" w:id="596"/>
      <w:bookmarkEnd w:id="596"/>
      <w:r>
        <w:rPr/>
      </w:r>
      <w:hyperlink w:history="true" w:anchor="_bookmark501">
        <w:r>
          <w:rPr>
            <w:color w:val="005DA1"/>
            <w:spacing w:val="-4"/>
            <w:position w:val="5"/>
            <w:sz w:val="14"/>
            <w:u w:val="single" w:color="005DA1"/>
          </w:rPr>
          <w:t>284</w:t>
        </w:r>
      </w:hyperlink>
      <w:r>
        <w:rPr>
          <w:spacing w:val="-4"/>
          <w:position w:val="5"/>
          <w:sz w:val="14"/>
        </w:rPr>
        <w:t>.</w:t>
      </w:r>
      <w:r>
        <w:rPr>
          <w:position w:val="5"/>
          <w:sz w:val="14"/>
        </w:rPr>
        <w:tab/>
      </w:r>
      <w:r>
        <w:rPr>
          <w:rFonts w:ascii="Arial"/>
          <w:i/>
          <w:sz w:val="20"/>
        </w:rPr>
        <w:t>[1991]</w:t>
      </w:r>
      <w:r>
        <w:rPr>
          <w:rFonts w:ascii="Arial"/>
          <w:i/>
          <w:spacing w:val="25"/>
          <w:sz w:val="20"/>
        </w:rPr>
        <w:t> </w:t>
      </w:r>
      <w:r>
        <w:rPr>
          <w:rFonts w:ascii="Arial"/>
          <w:i/>
          <w:sz w:val="20"/>
        </w:rPr>
        <w:t>1</w:t>
      </w:r>
      <w:r>
        <w:rPr>
          <w:rFonts w:ascii="Arial"/>
          <w:i/>
          <w:spacing w:val="28"/>
          <w:sz w:val="20"/>
        </w:rPr>
        <w:t> </w:t>
      </w:r>
      <w:r>
        <w:rPr>
          <w:rFonts w:ascii="Arial"/>
          <w:i/>
          <w:sz w:val="20"/>
        </w:rPr>
        <w:t>W.L.R.</w:t>
      </w:r>
      <w:r>
        <w:rPr>
          <w:rFonts w:ascii="Arial"/>
          <w:i/>
          <w:spacing w:val="28"/>
          <w:sz w:val="20"/>
        </w:rPr>
        <w:t> </w:t>
      </w:r>
      <w:r>
        <w:rPr>
          <w:rFonts w:ascii="Arial"/>
          <w:i/>
          <w:sz w:val="20"/>
        </w:rPr>
        <w:t>461</w:t>
      </w:r>
      <w:r>
        <w:rPr>
          <w:sz w:val="20"/>
        </w:rPr>
        <w:t>.</w:t>
      </w:r>
      <w:r>
        <w:rPr>
          <w:spacing w:val="28"/>
          <w:sz w:val="20"/>
        </w:rPr>
        <w:t> </w:t>
      </w:r>
      <w:r>
        <w:rPr>
          <w:sz w:val="20"/>
        </w:rPr>
        <w:t>See</w:t>
      </w:r>
      <w:r>
        <w:rPr>
          <w:spacing w:val="28"/>
          <w:sz w:val="20"/>
        </w:rPr>
        <w:t> </w:t>
      </w:r>
      <w:r>
        <w:rPr>
          <w:sz w:val="20"/>
        </w:rPr>
        <w:t>also</w:t>
      </w:r>
      <w:r>
        <w:rPr>
          <w:spacing w:val="28"/>
          <w:sz w:val="20"/>
        </w:rPr>
        <w:t> </w:t>
      </w:r>
      <w:r>
        <w:rPr>
          <w:rFonts w:ascii="Arial"/>
          <w:i/>
          <w:sz w:val="20"/>
        </w:rPr>
        <w:t>Clef</w:t>
      </w:r>
      <w:r>
        <w:rPr>
          <w:rFonts w:ascii="Arial"/>
          <w:i/>
          <w:spacing w:val="28"/>
          <w:sz w:val="20"/>
        </w:rPr>
        <w:t> </w:t>
      </w:r>
      <w:r>
        <w:rPr>
          <w:rFonts w:ascii="Arial"/>
          <w:i/>
          <w:sz w:val="20"/>
        </w:rPr>
        <w:t>Aquitaine</w:t>
      </w:r>
      <w:r>
        <w:rPr>
          <w:rFonts w:ascii="Arial"/>
          <w:i/>
          <w:spacing w:val="28"/>
          <w:sz w:val="20"/>
        </w:rPr>
        <w:t> </w:t>
      </w:r>
      <w:r>
        <w:rPr>
          <w:rFonts w:ascii="Arial"/>
          <w:i/>
          <w:sz w:val="20"/>
        </w:rPr>
        <w:t>SARL</w:t>
      </w:r>
      <w:r>
        <w:rPr>
          <w:rFonts w:ascii="Arial"/>
          <w:i/>
          <w:spacing w:val="28"/>
          <w:sz w:val="20"/>
        </w:rPr>
        <w:t> </w:t>
      </w:r>
      <w:r>
        <w:rPr>
          <w:rFonts w:ascii="Arial"/>
          <w:i/>
          <w:sz w:val="20"/>
        </w:rPr>
        <w:t>v</w:t>
      </w:r>
      <w:r>
        <w:rPr>
          <w:rFonts w:ascii="Arial"/>
          <w:i/>
          <w:spacing w:val="28"/>
          <w:sz w:val="20"/>
        </w:rPr>
        <w:t> </w:t>
      </w:r>
      <w:r>
        <w:rPr>
          <w:rFonts w:ascii="Arial"/>
          <w:i/>
          <w:sz w:val="20"/>
        </w:rPr>
        <w:t>Laporte</w:t>
      </w:r>
      <w:r>
        <w:rPr>
          <w:rFonts w:ascii="Arial"/>
          <w:i/>
          <w:spacing w:val="28"/>
          <w:sz w:val="20"/>
        </w:rPr>
        <w:t> </w:t>
      </w:r>
      <w:r>
        <w:rPr>
          <w:rFonts w:ascii="Arial"/>
          <w:i/>
          <w:sz w:val="20"/>
        </w:rPr>
        <w:t>Materials</w:t>
      </w:r>
      <w:r>
        <w:rPr>
          <w:rFonts w:ascii="Arial"/>
          <w:i/>
          <w:spacing w:val="28"/>
          <w:sz w:val="20"/>
        </w:rPr>
        <w:t> </w:t>
      </w:r>
      <w:r>
        <w:rPr>
          <w:rFonts w:ascii="Arial"/>
          <w:i/>
          <w:sz w:val="20"/>
        </w:rPr>
        <w:t>(Barrow)</w:t>
      </w:r>
      <w:r>
        <w:rPr>
          <w:rFonts w:ascii="Arial"/>
          <w:i/>
          <w:spacing w:val="28"/>
          <w:sz w:val="20"/>
        </w:rPr>
        <w:t> </w:t>
      </w:r>
      <w:r>
        <w:rPr>
          <w:rFonts w:ascii="Arial"/>
          <w:i/>
          <w:sz w:val="20"/>
        </w:rPr>
        <w:t>Ltd</w:t>
      </w:r>
      <w:r>
        <w:rPr>
          <w:rFonts w:ascii="Arial"/>
          <w:i/>
          <w:spacing w:val="28"/>
          <w:sz w:val="20"/>
        </w:rPr>
        <w:t> </w:t>
      </w:r>
      <w:r>
        <w:rPr>
          <w:rFonts w:ascii="Arial"/>
          <w:i/>
          <w:spacing w:val="-2"/>
          <w:sz w:val="20"/>
        </w:rPr>
        <w:t>[2001]</w:t>
      </w:r>
    </w:p>
    <w:p>
      <w:pPr>
        <w:spacing w:line="235" w:lineRule="auto" w:before="1"/>
        <w:ind w:left="705" w:right="167" w:firstLine="0"/>
        <w:jc w:val="both"/>
        <w:rPr>
          <w:sz w:val="20"/>
        </w:rPr>
      </w:pPr>
      <w:r>
        <w:rPr>
          <w:rFonts w:ascii="Arial" w:hAnsi="Arial"/>
          <w:i/>
          <w:sz w:val="20"/>
        </w:rPr>
        <w:t>Q.B. 488 </w:t>
      </w:r>
      <w:r>
        <w:rPr>
          <w:sz w:val="20"/>
        </w:rPr>
        <w:t>(claimants had agreed to buy goods from defendants at prices which defendants had fraudulently stated to be those charged to the defendants’ UK customers. Although </w:t>
      </w:r>
      <w:r>
        <w:rPr>
          <w:sz w:val="20"/>
        </w:rPr>
        <w:t>claimants had been able to resell the goods profitably, they were still entitled to the difference between</w:t>
      </w:r>
      <w:r>
        <w:rPr>
          <w:spacing w:val="40"/>
          <w:sz w:val="20"/>
        </w:rPr>
        <w:t> </w:t>
      </w:r>
      <w:r>
        <w:rPr>
          <w:sz w:val="20"/>
        </w:rPr>
        <w:t>the prices they had paid and those they would probably have been able to negotiate had the misrepresentation not been made). Similar damages for wasted expenditure and loss of other opportunities were awarded in </w:t>
      </w:r>
      <w:r>
        <w:rPr>
          <w:rFonts w:ascii="Arial" w:hAnsi="Arial"/>
          <w:i/>
          <w:sz w:val="20"/>
        </w:rPr>
        <w:t>Esso Petroleum Ltd v Mardon [1976] Q.B. 801</w:t>
      </w:r>
      <w:r>
        <w:rPr>
          <w:sz w:val="20"/>
        </w:rPr>
        <w:t>. But cf. </w:t>
      </w:r>
      <w:r>
        <w:rPr>
          <w:rFonts w:ascii="Arial" w:hAnsi="Arial"/>
          <w:i/>
          <w:sz w:val="20"/>
        </w:rPr>
        <w:t>Davis </w:t>
      </w:r>
      <w:r>
        <w:rPr>
          <w:rFonts w:ascii="Arial" w:hAnsi="Arial"/>
          <w:i/>
          <w:sz w:val="20"/>
        </w:rPr>
        <w:t>v Churchward Unreported May 6, 1993 noted in (1994) 110 L.Q.R. 35</w:t>
      </w:r>
      <w:r>
        <w:rPr>
          <w:sz w:val="20"/>
        </w:rPr>
        <w:t>. See also </w:t>
      </w:r>
      <w:r>
        <w:rPr>
          <w:rFonts w:ascii="Arial" w:hAnsi="Arial"/>
          <w:i/>
          <w:sz w:val="20"/>
        </w:rPr>
        <w:t>Smith Kline &amp; French Laboratories Ltd v Long [1989] 1 W.L.R. 1</w:t>
      </w:r>
      <w:r>
        <w:rPr>
          <w:sz w:val="20"/>
        </w:rPr>
        <w:t>, in which sellers, who had been tricked </w:t>
      </w:r>
      <w:r>
        <w:rPr>
          <w:sz w:val="20"/>
        </w:rPr>
        <w:t>into supplying</w:t>
      </w:r>
      <w:r>
        <w:rPr>
          <w:spacing w:val="-3"/>
          <w:sz w:val="20"/>
        </w:rPr>
        <w:t> </w:t>
      </w:r>
      <w:r>
        <w:rPr>
          <w:sz w:val="20"/>
        </w:rPr>
        <w:t>goods</w:t>
      </w:r>
      <w:r>
        <w:rPr>
          <w:spacing w:val="-3"/>
          <w:sz w:val="20"/>
        </w:rPr>
        <w:t> </w:t>
      </w:r>
      <w:r>
        <w:rPr>
          <w:sz w:val="20"/>
        </w:rPr>
        <w:t>to</w:t>
      </w:r>
      <w:r>
        <w:rPr>
          <w:spacing w:val="-3"/>
          <w:sz w:val="20"/>
        </w:rPr>
        <w:t> </w:t>
      </w:r>
      <w:r>
        <w:rPr>
          <w:sz w:val="20"/>
        </w:rPr>
        <w:t>a</w:t>
      </w:r>
      <w:r>
        <w:rPr>
          <w:spacing w:val="-3"/>
          <w:sz w:val="20"/>
        </w:rPr>
        <w:t> </w:t>
      </w:r>
      <w:r>
        <w:rPr>
          <w:sz w:val="20"/>
        </w:rPr>
        <w:t>buyer</w:t>
      </w:r>
      <w:r>
        <w:rPr>
          <w:spacing w:val="-3"/>
          <w:sz w:val="20"/>
        </w:rPr>
        <w:t> </w:t>
      </w:r>
      <w:r>
        <w:rPr>
          <w:sz w:val="20"/>
        </w:rPr>
        <w:t>who</w:t>
      </w:r>
      <w:r>
        <w:rPr>
          <w:spacing w:val="-3"/>
          <w:sz w:val="20"/>
        </w:rPr>
        <w:t> </w:t>
      </w:r>
      <w:r>
        <w:rPr>
          <w:sz w:val="20"/>
        </w:rPr>
        <w:t>was</w:t>
      </w:r>
      <w:r>
        <w:rPr>
          <w:spacing w:val="-3"/>
          <w:sz w:val="20"/>
        </w:rPr>
        <w:t> </w:t>
      </w:r>
      <w:r>
        <w:rPr>
          <w:sz w:val="20"/>
        </w:rPr>
        <w:t>unable</w:t>
      </w:r>
      <w:r>
        <w:rPr>
          <w:spacing w:val="-3"/>
          <w:sz w:val="20"/>
        </w:rPr>
        <w:t> </w:t>
      </w:r>
      <w:r>
        <w:rPr>
          <w:sz w:val="20"/>
        </w:rPr>
        <w:t>to</w:t>
      </w:r>
      <w:r>
        <w:rPr>
          <w:spacing w:val="-3"/>
          <w:sz w:val="20"/>
        </w:rPr>
        <w:t> </w:t>
      </w:r>
      <w:r>
        <w:rPr>
          <w:sz w:val="20"/>
        </w:rPr>
        <w:t>pay,</w:t>
      </w:r>
      <w:r>
        <w:rPr>
          <w:spacing w:val="-3"/>
          <w:sz w:val="20"/>
        </w:rPr>
        <w:t> </w:t>
      </w:r>
      <w:r>
        <w:rPr>
          <w:sz w:val="20"/>
        </w:rPr>
        <w:t>recovered</w:t>
      </w:r>
      <w:r>
        <w:rPr>
          <w:spacing w:val="-3"/>
          <w:sz w:val="20"/>
        </w:rPr>
        <w:t> </w:t>
      </w:r>
      <w:r>
        <w:rPr>
          <w:sz w:val="20"/>
        </w:rPr>
        <w:t>the</w:t>
      </w:r>
      <w:r>
        <w:rPr>
          <w:spacing w:val="-3"/>
          <w:sz w:val="20"/>
        </w:rPr>
        <w:t> </w:t>
      </w:r>
      <w:r>
        <w:rPr>
          <w:sz w:val="20"/>
        </w:rPr>
        <w:t>normal</w:t>
      </w:r>
      <w:r>
        <w:rPr>
          <w:spacing w:val="-3"/>
          <w:sz w:val="20"/>
        </w:rPr>
        <w:t> </w:t>
      </w:r>
      <w:r>
        <w:rPr>
          <w:sz w:val="20"/>
        </w:rPr>
        <w:t>wholesale</w:t>
      </w:r>
      <w:r>
        <w:rPr>
          <w:spacing w:val="-3"/>
          <w:sz w:val="20"/>
        </w:rPr>
        <w:t> </w:t>
      </w:r>
      <w:r>
        <w:rPr>
          <w:sz w:val="20"/>
        </w:rPr>
        <w:t>price</w:t>
      </w:r>
      <w:r>
        <w:rPr>
          <w:spacing w:val="-3"/>
          <w:sz w:val="20"/>
        </w:rPr>
        <w:t> </w:t>
      </w:r>
      <w:r>
        <w:rPr>
          <w:sz w:val="20"/>
        </w:rPr>
        <w:t>of</w:t>
      </w:r>
      <w:r>
        <w:rPr>
          <w:spacing w:val="-3"/>
          <w:sz w:val="20"/>
        </w:rPr>
        <w:t> </w:t>
      </w:r>
      <w:r>
        <w:rPr>
          <w:sz w:val="20"/>
        </w:rPr>
        <w:t>the goods, not just the cost of producing them.</w:t>
      </w:r>
    </w:p>
    <w:p>
      <w:pPr>
        <w:pStyle w:val="BodyText"/>
        <w:spacing w:before="6"/>
      </w:pPr>
    </w:p>
    <w:p>
      <w:pPr>
        <w:spacing w:line="235" w:lineRule="auto" w:before="0"/>
        <w:ind w:left="705" w:right="167" w:hanging="541"/>
        <w:jc w:val="both"/>
        <w:rPr>
          <w:sz w:val="20"/>
        </w:rPr>
      </w:pPr>
      <w:bookmarkStart w:name="_bookmark595" w:id="597"/>
      <w:bookmarkEnd w:id="597"/>
      <w:r>
        <w:rPr/>
      </w:r>
      <w:hyperlink w:history="true" w:anchor="_bookmark502">
        <w:r>
          <w:rPr>
            <w:color w:val="005DA1"/>
            <w:position w:val="5"/>
            <w:sz w:val="14"/>
            <w:u w:val="single" w:color="005DA1"/>
          </w:rPr>
          <w:t>285</w:t>
        </w:r>
      </w:hyperlink>
      <w:r>
        <w:rPr>
          <w:position w:val="5"/>
          <w:sz w:val="14"/>
        </w:rPr>
        <w:t>.</w:t>
      </w:r>
      <w:r>
        <w:rPr>
          <w:spacing w:val="40"/>
          <w:position w:val="5"/>
          <w:sz w:val="14"/>
        </w:rPr>
        <w:t>  </w:t>
      </w:r>
      <w:r>
        <w:rPr>
          <w:sz w:val="20"/>
        </w:rPr>
        <w:t>The award in </w:t>
      </w:r>
      <w:r>
        <w:rPr>
          <w:rFonts w:ascii="Arial" w:hAnsi="Arial"/>
          <w:i/>
          <w:sz w:val="20"/>
        </w:rPr>
        <w:t>East v Maurer [1991] 1 W.L.R. 461 </w:t>
      </w:r>
      <w:r>
        <w:rPr>
          <w:sz w:val="20"/>
        </w:rPr>
        <w:t>based on a hypothetical profitable business </w:t>
      </w:r>
      <w:r>
        <w:rPr>
          <w:sz w:val="20"/>
        </w:rPr>
        <w:t>in which the plaintiff would have engaged but for the deceit has been described by Lord Steyn as “classic consequential loss”: </w:t>
      </w:r>
      <w:r>
        <w:rPr>
          <w:rFonts w:ascii="Arial" w:hAnsi="Arial"/>
          <w:i/>
          <w:sz w:val="20"/>
        </w:rPr>
        <w:t>Smith New Court Securities Ltd v Scrimgeour Vickers (Asset Management) Ltd [1997] A.C. 254, 282</w:t>
      </w:r>
      <w:r>
        <w:rPr>
          <w:sz w:val="20"/>
        </w:rPr>
        <w:t>.</w:t>
      </w:r>
    </w:p>
    <w:p>
      <w:pPr>
        <w:pStyle w:val="BodyText"/>
        <w:spacing w:before="8"/>
      </w:pPr>
    </w:p>
    <w:p>
      <w:pPr>
        <w:pStyle w:val="BodyText"/>
        <w:spacing w:line="235" w:lineRule="auto" w:before="1"/>
        <w:ind w:left="705" w:right="167" w:hanging="541"/>
        <w:jc w:val="both"/>
      </w:pPr>
      <w:bookmarkStart w:name="_bookmark596" w:id="598"/>
      <w:bookmarkEnd w:id="598"/>
      <w:r>
        <w:rPr/>
      </w:r>
      <w:hyperlink w:history="true" w:anchor="_bookmark503">
        <w:r>
          <w:rPr>
            <w:color w:val="005DA1"/>
            <w:position w:val="5"/>
            <w:sz w:val="14"/>
            <w:u w:val="single" w:color="005DA1"/>
          </w:rPr>
          <w:t>286</w:t>
        </w:r>
      </w:hyperlink>
      <w:r>
        <w:rPr>
          <w:position w:val="5"/>
          <w:sz w:val="14"/>
        </w:rPr>
        <w:t>.</w:t>
      </w:r>
      <w:r>
        <w:rPr>
          <w:spacing w:val="80"/>
          <w:position w:val="5"/>
          <w:sz w:val="14"/>
        </w:rPr>
        <w:t>  </w:t>
      </w:r>
      <w:r>
        <w:rPr/>
        <w:t>Even if the claimant would have paid the market price for the alternative business, he may </w:t>
      </w:r>
      <w:r>
        <w:rPr/>
        <w:t>have lost the opportunity to make profits, both by way of income and capital appreciation, and this loss is compensable: </w:t>
      </w:r>
      <w:r>
        <w:rPr>
          <w:rFonts w:ascii="Arial"/>
          <w:i/>
        </w:rPr>
        <w:t>[2008] EWHC 915 (Ch) </w:t>
      </w:r>
      <w:r>
        <w:rPr/>
        <w:t>at [51]. (On the last point, see further below, </w:t>
      </w:r>
      <w:r>
        <w:rPr>
          <w:spacing w:val="-2"/>
        </w:rPr>
        <w:t>para.26-029.)</w:t>
      </w:r>
    </w:p>
    <w:p>
      <w:pPr>
        <w:pStyle w:val="BodyText"/>
        <w:spacing w:after="0" w:line="235" w:lineRule="auto"/>
        <w:jc w:val="both"/>
        <w:sectPr>
          <w:type w:val="continuous"/>
          <w:pgSz w:w="11900" w:h="16840"/>
          <w:pgMar w:header="971" w:footer="0" w:top="1160" w:bottom="280" w:left="1275" w:right="1275"/>
        </w:sectPr>
      </w:pPr>
    </w:p>
    <w:p>
      <w:pPr>
        <w:pStyle w:val="BodyText"/>
        <w:spacing w:before="81"/>
      </w:pPr>
    </w:p>
    <w:p>
      <w:pPr>
        <w:tabs>
          <w:tab w:pos="705" w:val="left" w:leader="none"/>
        </w:tabs>
        <w:spacing w:before="0"/>
        <w:ind w:left="165" w:right="0" w:firstLine="0"/>
        <w:jc w:val="left"/>
        <w:rPr>
          <w:sz w:val="20"/>
        </w:rPr>
      </w:pPr>
      <w:hyperlink w:history="true" w:anchor="_bookmark504">
        <w:r>
          <w:rPr>
            <w:color w:val="005DA1"/>
            <w:spacing w:val="-4"/>
            <w:position w:val="5"/>
            <w:sz w:val="14"/>
            <w:u w:val="single" w:color="005DA1"/>
          </w:rPr>
          <w:t>287</w:t>
        </w:r>
      </w:hyperlink>
      <w:r>
        <w:rPr>
          <w:spacing w:val="-4"/>
          <w:position w:val="5"/>
          <w:sz w:val="14"/>
        </w:rPr>
        <w:t>.</w:t>
      </w:r>
      <w:r>
        <w:rPr>
          <w:position w:val="5"/>
          <w:sz w:val="14"/>
        </w:rPr>
        <w:tab/>
      </w:r>
      <w:r>
        <w:rPr>
          <w:rFonts w:ascii="Arial"/>
          <w:i/>
          <w:sz w:val="20"/>
        </w:rPr>
        <w:t>4 Eng Ltd v Harper [2008] EWHC 915 (Ch), [2009] Ch. </w:t>
      </w:r>
      <w:r>
        <w:rPr>
          <w:rFonts w:ascii="Arial"/>
          <w:i/>
          <w:spacing w:val="-5"/>
          <w:sz w:val="20"/>
        </w:rPr>
        <w:t>91</w:t>
      </w:r>
      <w:r>
        <w:rPr>
          <w:spacing w:val="-5"/>
          <w:sz w:val="20"/>
        </w:rPr>
        <w:t>.</w:t>
      </w:r>
    </w:p>
    <w:p>
      <w:pPr>
        <w:pStyle w:val="BodyText"/>
        <w:spacing w:before="9"/>
      </w:pPr>
    </w:p>
    <w:p>
      <w:pPr>
        <w:spacing w:line="235" w:lineRule="auto" w:before="0"/>
        <w:ind w:left="705" w:right="168" w:hanging="541"/>
        <w:jc w:val="both"/>
        <w:rPr>
          <w:sz w:val="20"/>
        </w:rPr>
      </w:pPr>
      <w:bookmarkStart w:name="_bookmark597" w:id="599"/>
      <w:bookmarkEnd w:id="599"/>
      <w:r>
        <w:rPr/>
      </w:r>
      <w:hyperlink w:history="true" w:anchor="_bookmark505">
        <w:r>
          <w:rPr>
            <w:color w:val="005DA1"/>
            <w:position w:val="5"/>
            <w:sz w:val="14"/>
            <w:u w:val="single" w:color="005DA1"/>
          </w:rPr>
          <w:t>288</w:t>
        </w:r>
      </w:hyperlink>
      <w:r>
        <w:rPr>
          <w:position w:val="5"/>
          <w:sz w:val="14"/>
        </w:rPr>
        <w:t>.</w:t>
      </w:r>
      <w:r>
        <w:rPr>
          <w:spacing w:val="40"/>
          <w:position w:val="5"/>
          <w:sz w:val="14"/>
        </w:rPr>
        <w:t>  </w:t>
      </w:r>
      <w:r>
        <w:rPr>
          <w:rFonts w:ascii="Arial"/>
          <w:i/>
          <w:sz w:val="20"/>
        </w:rPr>
        <w:t>Parabola Investments Ltd v Browallia Cal Ltd [2009] EWHC 901 (Comm)</w:t>
      </w:r>
      <w:r>
        <w:rPr>
          <w:rFonts w:ascii="Arial"/>
          <w:i/>
          <w:spacing w:val="-1"/>
          <w:sz w:val="20"/>
        </w:rPr>
        <w:t> </w:t>
      </w:r>
      <w:r>
        <w:rPr>
          <w:sz w:val="20"/>
        </w:rPr>
        <w:t>at [147]. (The Court of Appeal held that the issue of loss of chance did not arise on the facts: </w:t>
      </w:r>
      <w:r>
        <w:rPr>
          <w:rFonts w:ascii="Arial"/>
          <w:i/>
          <w:sz w:val="20"/>
        </w:rPr>
        <w:t>[2010] EWCA Civ 486, [2011] Q.B. 477 </w:t>
      </w:r>
      <w:r>
        <w:rPr>
          <w:sz w:val="20"/>
        </w:rPr>
        <w:t>at [23].) See also </w:t>
      </w:r>
      <w:r>
        <w:rPr>
          <w:rFonts w:ascii="Arial"/>
          <w:i/>
          <w:sz w:val="20"/>
        </w:rPr>
        <w:t>Welven Ltd v Soar Group Ltd [2011] EWHC 3240 </w:t>
      </w:r>
      <w:r>
        <w:rPr>
          <w:rFonts w:ascii="Arial"/>
          <w:i/>
          <w:sz w:val="20"/>
        </w:rPr>
        <w:t>(Comm)</w:t>
      </w:r>
      <w:r>
        <w:rPr>
          <w:sz w:val="20"/>
        </w:rPr>
        <w:t>; </w:t>
      </w:r>
      <w:r>
        <w:rPr>
          <w:rFonts w:ascii="Arial"/>
          <w:i/>
          <w:sz w:val="20"/>
        </w:rPr>
        <w:t>County Leasing Asset Management Ltd v Michael Green Plant Ltd [2012] EWCA Civ 53</w:t>
      </w:r>
      <w:r>
        <w:rPr>
          <w:sz w:val="20"/>
        </w:rPr>
        <w:t>. On damages for loss of chance see further below, para.26-016.</w:t>
      </w:r>
    </w:p>
    <w:p>
      <w:pPr>
        <w:pStyle w:val="BodyText"/>
        <w:spacing w:before="8"/>
      </w:pPr>
    </w:p>
    <w:p>
      <w:pPr>
        <w:spacing w:line="235" w:lineRule="auto" w:before="0"/>
        <w:ind w:left="705" w:right="167" w:hanging="541"/>
        <w:jc w:val="both"/>
        <w:rPr>
          <w:sz w:val="20"/>
        </w:rPr>
      </w:pPr>
      <w:bookmarkStart w:name="_bookmark598" w:id="600"/>
      <w:bookmarkEnd w:id="600"/>
      <w:r>
        <w:rPr/>
      </w:r>
      <w:hyperlink w:history="true" w:anchor="_bookmark506">
        <w:r>
          <w:rPr>
            <w:color w:val="005DA1"/>
            <w:position w:val="5"/>
            <w:sz w:val="14"/>
            <w:u w:val="single" w:color="005DA1"/>
          </w:rPr>
          <w:t>289</w:t>
        </w:r>
      </w:hyperlink>
      <w:r>
        <w:rPr>
          <w:position w:val="5"/>
          <w:sz w:val="14"/>
        </w:rPr>
        <w:t>.</w:t>
      </w:r>
      <w:r>
        <w:rPr>
          <w:spacing w:val="80"/>
          <w:position w:val="5"/>
          <w:sz w:val="14"/>
        </w:rPr>
        <w:t>  </w:t>
      </w:r>
      <w:r>
        <w:rPr>
          <w:sz w:val="20"/>
        </w:rPr>
        <w:t>In the United States, some jurisdictions allow recovery of damages for loss of bargain in actions for fraud, e.g. </w:t>
      </w:r>
      <w:r>
        <w:rPr>
          <w:rFonts w:ascii="Arial" w:hAnsi="Arial"/>
          <w:i/>
          <w:sz w:val="20"/>
        </w:rPr>
        <w:t>Beardmore v T.D. Burgess Co (1967) 226 A. 2d 329</w:t>
      </w:r>
      <w:r>
        <w:rPr>
          <w:sz w:val="20"/>
        </w:rPr>
        <w:t>; cf. </w:t>
      </w:r>
      <w:r>
        <w:rPr>
          <w:rFonts w:ascii="Arial" w:hAnsi="Arial"/>
          <w:i/>
          <w:sz w:val="20"/>
        </w:rPr>
        <w:t>Uncle Ben’s Tartan Holdings Ltd v North West Sport Enterprises Ltd (1974) 46 D.L.R. (3d) 280</w:t>
      </w:r>
      <w:r>
        <w:rPr>
          <w:sz w:val="20"/>
        </w:rPr>
        <w:t>. Loss of bargain damages did appear to be recoverable in English law where there had been fraud by a vendor of land who knew that he had no good title and would be unable to make one, with the </w:t>
      </w:r>
      <w:r>
        <w:rPr>
          <w:sz w:val="20"/>
        </w:rPr>
        <w:t>result that the rule in </w:t>
      </w:r>
      <w:r>
        <w:rPr>
          <w:rFonts w:ascii="Arial" w:hAnsi="Arial"/>
          <w:i/>
          <w:sz w:val="20"/>
        </w:rPr>
        <w:t>Bain v Fothergill (1874) L.R. 7 H.L. 158</w:t>
      </w:r>
      <w:r>
        <w:rPr>
          <w:sz w:val="20"/>
        </w:rPr>
        <w:t>, below, para.26-003, did not apply; but this was not a true exception: the fraud simply lifted a restriction on recovery of damages for breach of contract that would otherwise apply. Mere negligence was not enough: see the disapproval of </w:t>
      </w:r>
      <w:r>
        <w:rPr>
          <w:rFonts w:ascii="Arial" w:hAnsi="Arial"/>
          <w:i/>
          <w:sz w:val="20"/>
        </w:rPr>
        <w:t>Watts v Spence [1976] Ch. 165 </w:t>
      </w:r>
      <w:r>
        <w:rPr>
          <w:sz w:val="20"/>
        </w:rPr>
        <w:t>in </w:t>
      </w:r>
      <w:r>
        <w:rPr>
          <w:rFonts w:ascii="Arial" w:hAnsi="Arial"/>
          <w:i/>
          <w:sz w:val="20"/>
        </w:rPr>
        <w:t>Sharneyford Supplies Ltd v Edge </w:t>
      </w:r>
      <w:r>
        <w:rPr>
          <w:sz w:val="20"/>
        </w:rPr>
        <w:t>at first instance </w:t>
      </w:r>
      <w:r>
        <w:rPr>
          <w:rFonts w:ascii="Arial" w:hAnsi="Arial"/>
          <w:i/>
          <w:sz w:val="20"/>
        </w:rPr>
        <w:t>[1986] Ch. 128, 149 </w:t>
      </w:r>
      <w:r>
        <w:rPr>
          <w:sz w:val="20"/>
        </w:rPr>
        <w:t>and by Balcombe L.J. in the Court of Appeal </w:t>
      </w:r>
      <w:r>
        <w:rPr>
          <w:rFonts w:ascii="Arial" w:hAnsi="Arial"/>
          <w:i/>
          <w:sz w:val="20"/>
        </w:rPr>
        <w:t>[1987] Ch. 305, 323</w:t>
      </w:r>
      <w:r>
        <w:rPr>
          <w:sz w:val="20"/>
        </w:rPr>
        <w:t>. In any event the rule has been abolished as regards all contracts made after September 27, 1989: Law of Property (Miscellaneous Provisions) Act 1989 s.3.</w:t>
      </w:r>
    </w:p>
    <w:p>
      <w:pPr>
        <w:pStyle w:val="BodyText"/>
        <w:spacing w:before="5"/>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0896">
            <wp:simplePos x="0" y="0"/>
            <wp:positionH relativeFrom="page">
              <wp:posOffset>1257846</wp:posOffset>
            </wp:positionH>
            <wp:positionV relativeFrom="paragraph">
              <wp:posOffset>160546</wp:posOffset>
            </wp:positionV>
            <wp:extent cx="107988" cy="107988"/>
            <wp:effectExtent l="0" t="0" r="0" b="0"/>
            <wp:wrapNone/>
            <wp:docPr id="129" name="Image 129"/>
            <wp:cNvGraphicFramePr>
              <a:graphicFrameLocks/>
            </wp:cNvGraphicFramePr>
            <a:graphic>
              <a:graphicData uri="http://schemas.openxmlformats.org/drawingml/2006/picture">
                <pic:pic>
                  <pic:nvPicPr>
                    <pic:cNvPr id="129" name="Image 12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599" w:id="601"/>
      <w:bookmarkEnd w:id="601"/>
      <w:r>
        <w:rPr/>
      </w:r>
      <w:hyperlink w:history="true" w:anchor="_bookmark507">
        <w:r>
          <w:rPr>
            <w:color w:val="005DA1"/>
            <w:spacing w:val="-4"/>
            <w:sz w:val="14"/>
            <w:u w:val="single" w:color="005DA1"/>
          </w:rPr>
          <w:t>290</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Smith New Court Securities Ltd v Scrimgeour Vickers (Asset Management) Ltd [1997] </w:t>
      </w:r>
      <w:r>
        <w:rPr>
          <w:rFonts w:ascii="Arial" w:hAnsi="Arial"/>
          <w:i/>
          <w:sz w:val="20"/>
        </w:rPr>
        <w:t>A.C. 254, 281–282</w:t>
      </w:r>
      <w:r>
        <w:rPr>
          <w:sz w:val="20"/>
        </w:rPr>
        <w:t>, per Lord Steyn, approving the statement by Treitel (1969) 32 M.L.R. 558–559. See also </w:t>
      </w:r>
      <w:r>
        <w:rPr>
          <w:rFonts w:ascii="Arial" w:hAnsi="Arial"/>
          <w:i/>
          <w:sz w:val="20"/>
        </w:rPr>
        <w:t>Sycamore Bidco Ltd v Breslin [2012] EWHC 3443 (Ch) </w:t>
      </w:r>
      <w:r>
        <w:rPr>
          <w:sz w:val="20"/>
        </w:rPr>
        <w:t>at [201]. </w:t>
      </w:r>
      <w:r>
        <w:rPr>
          <w:rFonts w:ascii="Arial" w:hAnsi="Arial"/>
          <w:i/>
          <w:sz w:val="20"/>
        </w:rPr>
        <w:t>Wemyss v Karim [2016] EWCA Civ 27 </w:t>
      </w:r>
      <w:r>
        <w:rPr>
          <w:sz w:val="20"/>
        </w:rPr>
        <w:t>at [24]–[25].</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bookmarkStart w:name="_bookmark600" w:id="602"/>
      <w:bookmarkEnd w:id="602"/>
      <w:r>
        <w:rPr/>
      </w:r>
      <w:hyperlink w:history="true" w:anchor="_bookmark508">
        <w:r>
          <w:rPr>
            <w:color w:val="005DA1"/>
            <w:spacing w:val="-4"/>
            <w:sz w:val="14"/>
            <w:u w:val="single" w:color="005DA1"/>
          </w:rPr>
          <w:t>291</w:t>
        </w:r>
      </w:hyperlink>
      <w:r>
        <w:rPr>
          <w:spacing w:val="-4"/>
          <w:sz w:val="14"/>
        </w:rPr>
        <w:t>.</w:t>
      </w:r>
    </w:p>
    <w:p>
      <w:pPr>
        <w:pStyle w:val="BodyText"/>
        <w:spacing w:before="208"/>
        <w:ind w:left="335"/>
      </w:pPr>
      <w:r>
        <w:rPr/>
        <w:br w:type="column"/>
      </w:r>
      <w:r>
        <w:rPr/>
        <w:t>See Vol.I, para.7-</w:t>
      </w:r>
      <w:r>
        <w:rPr>
          <w:spacing w:val="-4"/>
        </w:rPr>
        <w:t>057.</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1408">
            <wp:simplePos x="0" y="0"/>
            <wp:positionH relativeFrom="page">
              <wp:posOffset>1257846</wp:posOffset>
            </wp:positionH>
            <wp:positionV relativeFrom="paragraph">
              <wp:posOffset>-211233</wp:posOffset>
            </wp:positionV>
            <wp:extent cx="107988" cy="107988"/>
            <wp:effectExtent l="0" t="0" r="0" b="0"/>
            <wp:wrapNone/>
            <wp:docPr id="130" name="Image 130"/>
            <wp:cNvGraphicFramePr>
              <a:graphicFrameLocks/>
            </wp:cNvGraphicFramePr>
            <a:graphic>
              <a:graphicData uri="http://schemas.openxmlformats.org/drawingml/2006/picture">
                <pic:pic>
                  <pic:nvPicPr>
                    <pic:cNvPr id="130" name="Image 130"/>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61920">
            <wp:simplePos x="0" y="0"/>
            <wp:positionH relativeFrom="page">
              <wp:posOffset>1257846</wp:posOffset>
            </wp:positionH>
            <wp:positionV relativeFrom="paragraph">
              <wp:posOffset>160241</wp:posOffset>
            </wp:positionV>
            <wp:extent cx="107988" cy="107988"/>
            <wp:effectExtent l="0" t="0" r="0" b="0"/>
            <wp:wrapNone/>
            <wp:docPr id="131" name="Image 131"/>
            <wp:cNvGraphicFramePr>
              <a:graphicFrameLocks/>
            </wp:cNvGraphicFramePr>
            <a:graphic>
              <a:graphicData uri="http://schemas.openxmlformats.org/drawingml/2006/picture">
                <pic:pic>
                  <pic:nvPicPr>
                    <pic:cNvPr id="131" name="Image 13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601" w:id="603"/>
      <w:bookmarkEnd w:id="603"/>
      <w:r>
        <w:rPr/>
      </w:r>
      <w:hyperlink w:history="true" w:anchor="_bookmark509">
        <w:r>
          <w:rPr>
            <w:color w:val="005DA1"/>
            <w:spacing w:val="-4"/>
            <w:sz w:val="14"/>
            <w:u w:val="single" w:color="005DA1"/>
          </w:rPr>
          <w:t>292</w:t>
        </w:r>
      </w:hyperlink>
      <w:r>
        <w:rPr>
          <w:spacing w:val="-4"/>
          <w:sz w:val="14"/>
        </w:rPr>
        <w:t>.</w:t>
      </w:r>
    </w:p>
    <w:p>
      <w:pPr>
        <w:pStyle w:val="BodyText"/>
        <w:spacing w:line="235" w:lineRule="auto" w:before="212"/>
        <w:ind w:left="165" w:right="167" w:firstLine="170"/>
        <w:jc w:val="both"/>
      </w:pPr>
      <w:r>
        <w:rPr/>
        <w:br w:type="column"/>
      </w:r>
      <w:r>
        <w:rPr>
          <w:rFonts w:ascii="Arial" w:hAnsi="Arial"/>
          <w:i/>
        </w:rPr>
        <w:t>OMV Petrom SA v Glencore International AG [2016] EWCA Civ 778 </w:t>
      </w:r>
      <w:r>
        <w:rPr/>
        <w:t>(“The purpose of </w:t>
      </w:r>
      <w:r>
        <w:rPr/>
        <w:t>the flexibility of approach about the valuation date to which Lord Browne-Wilkinson referred was to ensure that the person duped should not suffer an injustice by failing to recover full compensation</w:t>
      </w:r>
      <w:r>
        <w:rPr>
          <w:spacing w:val="-3"/>
        </w:rPr>
        <w:t> </w:t>
      </w:r>
      <w:r>
        <w:rPr/>
        <w:t>in</w:t>
      </w:r>
      <w:r>
        <w:rPr>
          <w:spacing w:val="-3"/>
        </w:rPr>
        <w:t> </w:t>
      </w:r>
      <w:r>
        <w:rPr/>
        <w:t>the</w:t>
      </w:r>
      <w:r>
        <w:rPr>
          <w:spacing w:val="-3"/>
        </w:rPr>
        <w:t> </w:t>
      </w:r>
      <w:r>
        <w:rPr/>
        <w:t>type</w:t>
      </w:r>
      <w:r>
        <w:rPr>
          <w:spacing w:val="-3"/>
        </w:rPr>
        <w:t> </w:t>
      </w:r>
      <w:r>
        <w:rPr/>
        <w:t>of</w:t>
      </w:r>
      <w:r>
        <w:rPr>
          <w:spacing w:val="-3"/>
        </w:rPr>
        <w:t> </w:t>
      </w:r>
      <w:r>
        <w:rPr/>
        <w:t>circumstances</w:t>
      </w:r>
      <w:r>
        <w:rPr>
          <w:spacing w:val="-3"/>
        </w:rPr>
        <w:t> </w:t>
      </w:r>
      <w:r>
        <w:rPr/>
        <w:t>to</w:t>
      </w:r>
      <w:r>
        <w:rPr>
          <w:spacing w:val="-3"/>
        </w:rPr>
        <w:t> </w:t>
      </w:r>
      <w:r>
        <w:rPr/>
        <w:t>which</w:t>
      </w:r>
      <w:r>
        <w:rPr>
          <w:spacing w:val="-3"/>
        </w:rPr>
        <w:t> </w:t>
      </w:r>
      <w:r>
        <w:rPr/>
        <w:t>he</w:t>
      </w:r>
      <w:r>
        <w:rPr>
          <w:spacing w:val="-3"/>
        </w:rPr>
        <w:t> </w:t>
      </w:r>
      <w:r>
        <w:rPr/>
        <w:t>referred.</w:t>
      </w:r>
      <w:r>
        <w:rPr>
          <w:spacing w:val="-3"/>
        </w:rPr>
        <w:t> </w:t>
      </w:r>
      <w:r>
        <w:rPr/>
        <w:t>There</w:t>
      </w:r>
      <w:r>
        <w:rPr>
          <w:spacing w:val="-3"/>
        </w:rPr>
        <w:t> </w:t>
      </w:r>
      <w:r>
        <w:rPr/>
        <w:t>is</w:t>
      </w:r>
      <w:r>
        <w:rPr>
          <w:spacing w:val="-3"/>
        </w:rPr>
        <w:t> </w:t>
      </w:r>
      <w:r>
        <w:rPr/>
        <w:t>no</w:t>
      </w:r>
      <w:r>
        <w:rPr>
          <w:spacing w:val="-3"/>
        </w:rPr>
        <w:t> </w:t>
      </w:r>
      <w:r>
        <w:rPr/>
        <w:t>need</w:t>
      </w:r>
      <w:r>
        <w:rPr>
          <w:spacing w:val="-3"/>
        </w:rPr>
        <w:t> </w:t>
      </w:r>
      <w:r>
        <w:rPr/>
        <w:t>to</w:t>
      </w:r>
      <w:r>
        <w:rPr>
          <w:spacing w:val="-3"/>
        </w:rPr>
        <w:t> </w:t>
      </w:r>
      <w:r>
        <w:rPr/>
        <w:t>adopt</w:t>
      </w:r>
      <w:r>
        <w:rPr>
          <w:spacing w:val="-3"/>
        </w:rPr>
        <w:t> </w:t>
      </w:r>
      <w:r>
        <w:rPr/>
        <w:t>such an approach in order to relieve the fraudster from the general rule as to damages, especially if to do so means that the person defrauded ends up paying more than the cargo was worth at</w:t>
      </w:r>
      <w:r>
        <w:rPr>
          <w:spacing w:val="40"/>
        </w:rPr>
        <w:t> </w:t>
      </w:r>
      <w:r>
        <w:rPr/>
        <w:t>the time that he bought it.” (at [39]).</w:t>
      </w:r>
    </w:p>
    <w:p>
      <w:pPr>
        <w:pStyle w:val="BodyText"/>
        <w:spacing w:after="0" w:line="235" w:lineRule="auto"/>
        <w:jc w:val="both"/>
        <w:sectPr>
          <w:type w:val="continuous"/>
          <w:pgSz w:w="11900" w:h="16840"/>
          <w:pgMar w:header="971" w:footer="0" w:top="1160" w:bottom="280" w:left="1275" w:right="1275"/>
          <w:cols w:num="2" w:equalWidth="0">
            <w:col w:w="478" w:space="63"/>
            <w:col w:w="8809"/>
          </w:cols>
        </w:sectPr>
      </w:pPr>
    </w:p>
    <w:p>
      <w:pPr>
        <w:pStyle w:val="BodyText"/>
        <w:spacing w:before="7"/>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bookmarkStart w:name="_bookmark602" w:id="604"/>
      <w:bookmarkEnd w:id="604"/>
      <w:r>
        <w:rPr/>
      </w:r>
      <w:hyperlink w:history="true" w:anchor="_bookmark510">
        <w:r>
          <w:rPr>
            <w:color w:val="005DA1"/>
            <w:spacing w:val="-4"/>
            <w:sz w:val="14"/>
            <w:u w:val="single" w:color="005DA1"/>
          </w:rPr>
          <w:t>293</w:t>
        </w:r>
      </w:hyperlink>
      <w:r>
        <w:rPr>
          <w:spacing w:val="-4"/>
          <w:sz w:val="14"/>
        </w:rPr>
        <w:t>.</w:t>
      </w:r>
    </w:p>
    <w:p>
      <w:pPr>
        <w:spacing w:before="208"/>
        <w:ind w:left="335" w:right="0" w:firstLine="0"/>
        <w:jc w:val="left"/>
        <w:rPr>
          <w:sz w:val="20"/>
        </w:rPr>
      </w:pPr>
      <w:r>
        <w:rPr/>
        <w:br w:type="column"/>
      </w:r>
      <w:r>
        <w:rPr>
          <w:rFonts w:ascii="Arial"/>
          <w:i/>
          <w:sz w:val="20"/>
        </w:rPr>
        <w:t>[2016] EWCA Civ 778</w:t>
      </w:r>
      <w:r>
        <w:rPr>
          <w:rFonts w:ascii="Arial"/>
          <w:i/>
          <w:spacing w:val="-1"/>
          <w:sz w:val="20"/>
        </w:rPr>
        <w:t> </w:t>
      </w:r>
      <w:r>
        <w:rPr>
          <w:sz w:val="20"/>
        </w:rPr>
        <w:t>at </w:t>
      </w:r>
      <w:r>
        <w:rPr>
          <w:spacing w:val="-2"/>
          <w:sz w:val="20"/>
        </w:rPr>
        <w:t>[66].</w:t>
      </w:r>
    </w:p>
    <w:p>
      <w:pPr>
        <w:spacing w:after="0"/>
        <w:jc w:val="left"/>
        <w:rPr>
          <w:sz w:val="20"/>
        </w:rPr>
        <w:sectPr>
          <w:type w:val="continuous"/>
          <w:pgSz w:w="11900" w:h="16840"/>
          <w:pgMar w:header="971" w:footer="0" w:top="1160" w:bottom="280" w:left="1275" w:right="1275"/>
          <w:cols w:num="2" w:equalWidth="0">
            <w:col w:w="478" w:space="63"/>
            <w:col w:w="8809"/>
          </w:cols>
        </w:sectPr>
      </w:pPr>
    </w:p>
    <w:p>
      <w:pPr>
        <w:pStyle w:val="BodyText"/>
        <w:spacing w:before="9"/>
      </w:pPr>
    </w:p>
    <w:p>
      <w:pPr>
        <w:spacing w:line="235" w:lineRule="auto" w:before="0"/>
        <w:ind w:left="705" w:right="168" w:hanging="541"/>
        <w:jc w:val="both"/>
        <w:rPr>
          <w:sz w:val="20"/>
        </w:rPr>
      </w:pPr>
      <w:r>
        <w:rPr>
          <w:sz w:val="20"/>
        </w:rPr>
        <w:drawing>
          <wp:anchor distT="0" distB="0" distL="0" distR="0" allowOverlap="1" layoutInCell="1" locked="0" behindDoc="0" simplePos="0" relativeHeight="15762432">
            <wp:simplePos x="0" y="0"/>
            <wp:positionH relativeFrom="page">
              <wp:posOffset>1257846</wp:posOffset>
            </wp:positionH>
            <wp:positionV relativeFrom="paragraph">
              <wp:posOffset>-269409</wp:posOffset>
            </wp:positionV>
            <wp:extent cx="107988" cy="107988"/>
            <wp:effectExtent l="0" t="0" r="0" b="0"/>
            <wp:wrapNone/>
            <wp:docPr id="132" name="Image 132"/>
            <wp:cNvGraphicFramePr>
              <a:graphicFrameLocks/>
            </wp:cNvGraphicFramePr>
            <a:graphic>
              <a:graphicData uri="http://schemas.openxmlformats.org/drawingml/2006/picture">
                <pic:pic>
                  <pic:nvPicPr>
                    <pic:cNvPr id="132" name="Image 13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603" w:id="605"/>
      <w:bookmarkEnd w:id="605"/>
      <w:r>
        <w:rPr/>
      </w:r>
      <w:hyperlink w:history="true" w:anchor="_bookmark511">
        <w:r>
          <w:rPr>
            <w:color w:val="005DA1"/>
            <w:position w:val="5"/>
            <w:sz w:val="14"/>
            <w:u w:val="single" w:color="005DA1"/>
          </w:rPr>
          <w:t>294</w:t>
        </w:r>
      </w:hyperlink>
      <w:r>
        <w:rPr>
          <w:position w:val="5"/>
          <w:sz w:val="14"/>
        </w:rPr>
        <w:t>.</w:t>
      </w:r>
      <w:r>
        <w:rPr>
          <w:spacing w:val="80"/>
          <w:w w:val="150"/>
          <w:position w:val="5"/>
          <w:sz w:val="14"/>
        </w:rPr>
        <w:t> </w:t>
      </w:r>
      <w:r>
        <w:rPr>
          <w:sz w:val="20"/>
        </w:rPr>
        <w:t>See the speech of Lord Steyn in </w:t>
      </w:r>
      <w:r>
        <w:rPr>
          <w:rFonts w:ascii="Arial" w:hAnsi="Arial"/>
          <w:i/>
          <w:sz w:val="20"/>
        </w:rPr>
        <w:t>Smith New Court Securities Ltd v Scrimgeour Vickers </w:t>
      </w:r>
      <w:r>
        <w:rPr>
          <w:rFonts w:ascii="Arial" w:hAnsi="Arial"/>
          <w:i/>
          <w:sz w:val="20"/>
        </w:rPr>
        <w:t>(Asset Management) Ltd [1997] A.C. 254, 284</w:t>
      </w:r>
      <w:r>
        <w:rPr>
          <w:sz w:val="20"/>
        </w:rPr>
        <w:t>; </w:t>
      </w:r>
      <w:r>
        <w:rPr>
          <w:rFonts w:ascii="Arial" w:hAnsi="Arial"/>
          <w:i/>
          <w:sz w:val="20"/>
        </w:rPr>
        <w:t>Great Future International Ltd v Sealand Housing Corp [2002] All E.R. (D) 28</w:t>
      </w:r>
      <w:r>
        <w:rPr>
          <w:sz w:val="20"/>
        </w:rPr>
        <w:t>; McGregor on Damages, 19th edn (2014), para.47–011.</w:t>
      </w:r>
    </w:p>
    <w:p>
      <w:pPr>
        <w:pStyle w:val="BodyText"/>
        <w:spacing w:before="5"/>
      </w:pPr>
    </w:p>
    <w:p>
      <w:pPr>
        <w:pStyle w:val="BodyText"/>
        <w:tabs>
          <w:tab w:pos="705" w:val="left" w:leader="none"/>
        </w:tabs>
        <w:ind w:left="165"/>
      </w:pPr>
      <w:bookmarkStart w:name="_bookmark604" w:id="606"/>
      <w:bookmarkEnd w:id="606"/>
      <w:r>
        <w:rPr/>
      </w:r>
      <w:hyperlink w:history="true" w:anchor="_bookmark511">
        <w:r>
          <w:rPr>
            <w:color w:val="005DA1"/>
            <w:spacing w:val="-4"/>
            <w:position w:val="5"/>
            <w:sz w:val="14"/>
            <w:u w:val="single" w:color="005DA1"/>
          </w:rPr>
          <w:t>295</w:t>
        </w:r>
      </w:hyperlink>
      <w:r>
        <w:rPr>
          <w:spacing w:val="-4"/>
          <w:position w:val="5"/>
          <w:sz w:val="14"/>
        </w:rPr>
        <w:t>.</w:t>
      </w:r>
      <w:r>
        <w:rPr>
          <w:position w:val="5"/>
          <w:sz w:val="14"/>
        </w:rPr>
        <w:tab/>
      </w:r>
      <w:r>
        <w:rPr/>
        <w:t>See the speech of Lord Steyn at </w:t>
      </w:r>
      <w:r>
        <w:rPr>
          <w:spacing w:val="-2"/>
        </w:rPr>
        <w:t>281–284.</w:t>
      </w:r>
    </w:p>
    <w:p>
      <w:pPr>
        <w:pStyle w:val="BodyText"/>
        <w:spacing w:before="5"/>
      </w:pPr>
    </w:p>
    <w:p>
      <w:pPr>
        <w:tabs>
          <w:tab w:pos="705" w:val="left" w:leader="none"/>
        </w:tabs>
        <w:spacing w:before="0"/>
        <w:ind w:left="165" w:right="0" w:firstLine="0"/>
        <w:jc w:val="left"/>
        <w:rPr>
          <w:sz w:val="20"/>
        </w:rPr>
      </w:pPr>
      <w:bookmarkStart w:name="_bookmark605" w:id="607"/>
      <w:bookmarkEnd w:id="607"/>
      <w:r>
        <w:rPr/>
      </w:r>
      <w:hyperlink w:history="true" w:anchor="_bookmark512">
        <w:r>
          <w:rPr>
            <w:color w:val="005DA1"/>
            <w:spacing w:val="-4"/>
            <w:position w:val="5"/>
            <w:sz w:val="14"/>
            <w:u w:val="single" w:color="005DA1"/>
          </w:rPr>
          <w:t>296</w:t>
        </w:r>
      </w:hyperlink>
      <w:r>
        <w:rPr>
          <w:spacing w:val="-4"/>
          <w:position w:val="5"/>
          <w:sz w:val="14"/>
        </w:rPr>
        <w:t>.</w:t>
      </w:r>
      <w:r>
        <w:rPr>
          <w:position w:val="5"/>
          <w:sz w:val="14"/>
        </w:rPr>
        <w:tab/>
      </w:r>
      <w:r>
        <w:rPr>
          <w:rFonts w:ascii="Arial"/>
          <w:i/>
          <w:sz w:val="20"/>
        </w:rPr>
        <w:t>[1997]</w:t>
      </w:r>
      <w:r>
        <w:rPr>
          <w:rFonts w:ascii="Arial"/>
          <w:i/>
          <w:spacing w:val="-2"/>
          <w:sz w:val="20"/>
        </w:rPr>
        <w:t> </w:t>
      </w:r>
      <w:r>
        <w:rPr>
          <w:rFonts w:ascii="Arial"/>
          <w:i/>
          <w:sz w:val="20"/>
        </w:rPr>
        <w:t>A.C. 254, </w:t>
      </w:r>
      <w:r>
        <w:rPr>
          <w:rFonts w:ascii="Arial"/>
          <w:i/>
          <w:spacing w:val="-4"/>
          <w:sz w:val="20"/>
        </w:rPr>
        <w:t>284</w:t>
      </w:r>
      <w:r>
        <w:rPr>
          <w:spacing w:val="-4"/>
          <w:sz w:val="20"/>
        </w:rPr>
        <w:t>.</w:t>
      </w:r>
    </w:p>
    <w:p>
      <w:pPr>
        <w:pStyle w:val="BodyText"/>
        <w:spacing w:before="9"/>
      </w:pPr>
    </w:p>
    <w:p>
      <w:pPr>
        <w:pStyle w:val="BodyText"/>
        <w:spacing w:line="235" w:lineRule="auto"/>
        <w:ind w:left="705" w:right="167" w:hanging="541"/>
        <w:jc w:val="both"/>
      </w:pPr>
      <w:bookmarkStart w:name="_bookmark606" w:id="608"/>
      <w:bookmarkEnd w:id="608"/>
      <w:r>
        <w:rPr/>
      </w:r>
      <w:hyperlink w:history="true" w:anchor="_bookmark513">
        <w:r>
          <w:rPr>
            <w:color w:val="005DA1"/>
            <w:position w:val="5"/>
            <w:sz w:val="14"/>
            <w:u w:val="single" w:color="005DA1"/>
          </w:rPr>
          <w:t>297</w:t>
        </w:r>
      </w:hyperlink>
      <w:r>
        <w:rPr>
          <w:position w:val="5"/>
          <w:sz w:val="14"/>
        </w:rPr>
        <w:t>.</w:t>
      </w:r>
      <w:r>
        <w:rPr>
          <w:spacing w:val="40"/>
          <w:position w:val="5"/>
          <w:sz w:val="14"/>
        </w:rPr>
        <w:t>  </w:t>
      </w:r>
      <w:r>
        <w:rPr>
          <w:rFonts w:ascii="Arial" w:hAnsi="Arial"/>
          <w:i/>
        </w:rPr>
        <w:t>[1997] A.C. 254, 262 and 265</w:t>
      </w:r>
      <w:r>
        <w:rPr/>
        <w:t>; McGregor on Damages, 19th edn (2014), para.47-013. A rather similar explanation may underlie </w:t>
      </w:r>
      <w:r>
        <w:rPr>
          <w:rFonts w:ascii="Arial" w:hAnsi="Arial"/>
          <w:i/>
        </w:rPr>
        <w:t>Naughton v O’Callaghan [1990] 3 All E.R. 191</w:t>
      </w:r>
      <w:r>
        <w:rPr/>
        <w:t>, a case </w:t>
      </w:r>
      <w:r>
        <w:rPr/>
        <w:t>under Misrepresentation Act s.2(1), in which the purchaser did not realise that the pedigree of the horse</w:t>
      </w:r>
      <w:r>
        <w:rPr>
          <w:spacing w:val="-1"/>
        </w:rPr>
        <w:t> </w:t>
      </w:r>
      <w:r>
        <w:rPr/>
        <w:t>had</w:t>
      </w:r>
      <w:r>
        <w:rPr>
          <w:spacing w:val="-1"/>
        </w:rPr>
        <w:t> </w:t>
      </w:r>
      <w:r>
        <w:rPr/>
        <w:t>been</w:t>
      </w:r>
      <w:r>
        <w:rPr>
          <w:spacing w:val="-1"/>
        </w:rPr>
        <w:t> </w:t>
      </w:r>
      <w:r>
        <w:rPr/>
        <w:t>misrepresented</w:t>
      </w:r>
      <w:r>
        <w:rPr>
          <w:spacing w:val="-1"/>
        </w:rPr>
        <w:t> </w:t>
      </w:r>
      <w:r>
        <w:rPr/>
        <w:t>until</w:t>
      </w:r>
      <w:r>
        <w:rPr>
          <w:spacing w:val="-1"/>
        </w:rPr>
        <w:t> </w:t>
      </w:r>
      <w:r>
        <w:rPr/>
        <w:t>it</w:t>
      </w:r>
      <w:r>
        <w:rPr>
          <w:spacing w:val="-1"/>
        </w:rPr>
        <w:t> </w:t>
      </w:r>
      <w:r>
        <w:rPr/>
        <w:t>had</w:t>
      </w:r>
      <w:r>
        <w:rPr>
          <w:spacing w:val="-1"/>
        </w:rPr>
        <w:t> </w:t>
      </w:r>
      <w:r>
        <w:rPr/>
        <w:t>been</w:t>
      </w:r>
      <w:r>
        <w:rPr>
          <w:spacing w:val="-1"/>
        </w:rPr>
        <w:t> </w:t>
      </w:r>
      <w:r>
        <w:rPr/>
        <w:t>very</w:t>
      </w:r>
      <w:r>
        <w:rPr>
          <w:spacing w:val="-1"/>
        </w:rPr>
        <w:t> </w:t>
      </w:r>
      <w:r>
        <w:rPr/>
        <w:t>unsuccessful,</w:t>
      </w:r>
      <w:r>
        <w:rPr>
          <w:spacing w:val="-1"/>
        </w:rPr>
        <w:t> </w:t>
      </w:r>
      <w:r>
        <w:rPr/>
        <w:t>by</w:t>
      </w:r>
      <w:r>
        <w:rPr>
          <w:spacing w:val="-1"/>
        </w:rPr>
        <w:t> </w:t>
      </w:r>
      <w:r>
        <w:rPr/>
        <w:t>which</w:t>
      </w:r>
      <w:r>
        <w:rPr>
          <w:spacing w:val="-1"/>
        </w:rPr>
        <w:t> </w:t>
      </w:r>
      <w:r>
        <w:rPr/>
        <w:t>time</w:t>
      </w:r>
      <w:r>
        <w:rPr>
          <w:spacing w:val="-1"/>
        </w:rPr>
        <w:t> </w:t>
      </w:r>
      <w:r>
        <w:rPr/>
        <w:t>its</w:t>
      </w:r>
      <w:r>
        <w:rPr>
          <w:spacing w:val="-1"/>
        </w:rPr>
        <w:t> </w:t>
      </w:r>
      <w:r>
        <w:rPr/>
        <w:t>value</w:t>
      </w:r>
      <w:r>
        <w:rPr>
          <w:spacing w:val="-1"/>
        </w:rPr>
        <w:t> </w:t>
      </w:r>
      <w:r>
        <w:rPr/>
        <w:t>had fallen. Alternatively, the case may be one of a “flawed asset”: see para.7-062 and McGregor, 19th edn (2014), para.47-056.</w:t>
      </w:r>
    </w:p>
    <w:p>
      <w:pPr>
        <w:pStyle w:val="BodyText"/>
        <w:spacing w:before="4"/>
      </w:pPr>
    </w:p>
    <w:p>
      <w:pPr>
        <w:tabs>
          <w:tab w:pos="705" w:val="left" w:leader="none"/>
        </w:tabs>
        <w:spacing w:before="0"/>
        <w:ind w:left="165" w:right="0" w:firstLine="0"/>
        <w:jc w:val="left"/>
        <w:rPr>
          <w:sz w:val="20"/>
        </w:rPr>
      </w:pPr>
      <w:bookmarkStart w:name="_bookmark607" w:id="609"/>
      <w:bookmarkEnd w:id="609"/>
      <w:r>
        <w:rPr/>
      </w:r>
      <w:hyperlink w:history="true" w:anchor="_bookmark514">
        <w:r>
          <w:rPr>
            <w:color w:val="005DA1"/>
            <w:spacing w:val="-4"/>
            <w:position w:val="5"/>
            <w:sz w:val="14"/>
            <w:u w:val="single" w:color="005DA1"/>
          </w:rPr>
          <w:t>298</w:t>
        </w:r>
      </w:hyperlink>
      <w:r>
        <w:rPr>
          <w:spacing w:val="-4"/>
          <w:position w:val="5"/>
          <w:sz w:val="14"/>
        </w:rPr>
        <w:t>.</w:t>
      </w:r>
      <w:r>
        <w:rPr>
          <w:position w:val="5"/>
          <w:sz w:val="14"/>
        </w:rPr>
        <w:tab/>
      </w:r>
      <w:r>
        <w:rPr>
          <w:rFonts w:ascii="Arial"/>
          <w:i/>
          <w:sz w:val="20"/>
        </w:rPr>
        <w:t>[1997]</w:t>
      </w:r>
      <w:r>
        <w:rPr>
          <w:rFonts w:ascii="Arial"/>
          <w:i/>
          <w:spacing w:val="-2"/>
          <w:sz w:val="20"/>
        </w:rPr>
        <w:t> </w:t>
      </w:r>
      <w:r>
        <w:rPr>
          <w:rFonts w:ascii="Arial"/>
          <w:i/>
          <w:sz w:val="20"/>
        </w:rPr>
        <w:t>A.C. </w:t>
      </w:r>
      <w:r>
        <w:rPr>
          <w:rFonts w:ascii="Arial"/>
          <w:i/>
          <w:spacing w:val="-4"/>
          <w:sz w:val="20"/>
        </w:rPr>
        <w:t>254</w:t>
      </w:r>
      <w:r>
        <w:rPr>
          <w:spacing w:val="-4"/>
          <w:sz w:val="20"/>
        </w:rPr>
        <w:t>.</w:t>
      </w:r>
    </w:p>
    <w:p>
      <w:pPr>
        <w:pStyle w:val="BodyText"/>
        <w:spacing w:before="5"/>
      </w:pPr>
    </w:p>
    <w:p>
      <w:pPr>
        <w:pStyle w:val="BodyText"/>
        <w:tabs>
          <w:tab w:pos="705" w:val="left" w:leader="none"/>
        </w:tabs>
        <w:ind w:left="165"/>
      </w:pPr>
      <w:bookmarkStart w:name="_bookmark608" w:id="610"/>
      <w:bookmarkEnd w:id="610"/>
      <w:r>
        <w:rPr/>
      </w:r>
      <w:hyperlink w:history="true" w:anchor="_bookmark515">
        <w:r>
          <w:rPr>
            <w:color w:val="005DA1"/>
            <w:spacing w:val="-4"/>
            <w:position w:val="5"/>
            <w:sz w:val="14"/>
            <w:u w:val="single" w:color="005DA1"/>
          </w:rPr>
          <w:t>299</w:t>
        </w:r>
      </w:hyperlink>
      <w:r>
        <w:rPr>
          <w:spacing w:val="-4"/>
          <w:position w:val="5"/>
          <w:sz w:val="14"/>
        </w:rPr>
        <w:t>.</w:t>
      </w:r>
      <w:r>
        <w:rPr>
          <w:position w:val="5"/>
          <w:sz w:val="14"/>
        </w:rPr>
        <w:tab/>
      </w:r>
      <w:r>
        <w:rPr/>
        <w:t>[1994] 1 W.L.R. </w:t>
      </w:r>
      <w:r>
        <w:rPr>
          <w:spacing w:val="-2"/>
        </w:rPr>
        <w:t>1271.</w:t>
      </w:r>
    </w:p>
    <w:p>
      <w:pPr>
        <w:pStyle w:val="BodyText"/>
        <w:spacing w:before="5"/>
      </w:pPr>
    </w:p>
    <w:p>
      <w:pPr>
        <w:tabs>
          <w:tab w:pos="705" w:val="left" w:leader="none"/>
        </w:tabs>
        <w:spacing w:before="0"/>
        <w:ind w:left="165" w:right="0" w:firstLine="0"/>
        <w:jc w:val="left"/>
        <w:rPr>
          <w:sz w:val="20"/>
        </w:rPr>
      </w:pPr>
      <w:bookmarkStart w:name="_bookmark609" w:id="611"/>
      <w:bookmarkEnd w:id="611"/>
      <w:r>
        <w:rPr/>
      </w:r>
      <w:hyperlink w:history="true" w:anchor="_bookmark516">
        <w:r>
          <w:rPr>
            <w:color w:val="005DA1"/>
            <w:spacing w:val="-4"/>
            <w:position w:val="5"/>
            <w:sz w:val="14"/>
            <w:u w:val="single" w:color="005DA1"/>
          </w:rPr>
          <w:t>300</w:t>
        </w:r>
      </w:hyperlink>
      <w:r>
        <w:rPr>
          <w:spacing w:val="-4"/>
          <w:position w:val="5"/>
          <w:sz w:val="14"/>
        </w:rPr>
        <w:t>.</w:t>
      </w:r>
      <w:r>
        <w:rPr>
          <w:position w:val="5"/>
          <w:sz w:val="14"/>
        </w:rPr>
        <w:tab/>
      </w:r>
      <w:r>
        <w:rPr>
          <w:rFonts w:ascii="Arial" w:hAnsi="Arial"/>
          <w:i/>
          <w:sz w:val="20"/>
        </w:rPr>
        <w:t>(1877) 2 C.P.D. 469, </w:t>
      </w:r>
      <w:r>
        <w:rPr>
          <w:rFonts w:ascii="Arial" w:hAnsi="Arial"/>
          <w:i/>
          <w:spacing w:val="-2"/>
          <w:sz w:val="20"/>
        </w:rPr>
        <w:t>544–545</w:t>
      </w:r>
      <w:r>
        <w:rPr>
          <w:spacing w:val="-2"/>
          <w:sz w:val="20"/>
        </w:rPr>
        <w:t>.</w:t>
      </w:r>
    </w:p>
    <w:p>
      <w:pPr>
        <w:spacing w:after="0"/>
        <w:jc w:val="left"/>
        <w:rPr>
          <w:sz w:val="20"/>
        </w:rPr>
        <w:sectPr>
          <w:type w:val="continuous"/>
          <w:pgSz w:w="11900" w:h="16840"/>
          <w:pgMar w:header="971" w:footer="0" w:top="1160" w:bottom="280" w:left="1275" w:right="1275"/>
        </w:sectPr>
      </w:pPr>
    </w:p>
    <w:p>
      <w:pPr>
        <w:pStyle w:val="BodyText"/>
        <w:spacing w:before="81"/>
      </w:pPr>
    </w:p>
    <w:p>
      <w:pPr>
        <w:tabs>
          <w:tab w:pos="705" w:val="left" w:leader="none"/>
        </w:tabs>
        <w:spacing w:before="0"/>
        <w:ind w:left="165" w:right="0" w:firstLine="0"/>
        <w:jc w:val="left"/>
        <w:rPr>
          <w:rFonts w:ascii="Arial"/>
          <w:i/>
          <w:sz w:val="20"/>
        </w:rPr>
      </w:pPr>
      <w:hyperlink w:history="true" w:anchor="_bookmark517">
        <w:r>
          <w:rPr>
            <w:color w:val="005DA1"/>
            <w:spacing w:val="-4"/>
            <w:position w:val="5"/>
            <w:sz w:val="14"/>
            <w:u w:val="single" w:color="005DA1"/>
          </w:rPr>
          <w:t>301</w:t>
        </w:r>
      </w:hyperlink>
      <w:r>
        <w:rPr>
          <w:spacing w:val="-4"/>
          <w:position w:val="5"/>
          <w:sz w:val="14"/>
        </w:rPr>
        <w:t>.</w:t>
      </w:r>
      <w:r>
        <w:rPr>
          <w:position w:val="5"/>
          <w:sz w:val="14"/>
        </w:rPr>
        <w:tab/>
      </w:r>
      <w:r>
        <w:rPr>
          <w:rFonts w:ascii="Arial"/>
          <w:i/>
          <w:sz w:val="20"/>
        </w:rPr>
        <w:t>[1997] A.C. 254, </w:t>
      </w:r>
      <w:r>
        <w:rPr>
          <w:rFonts w:ascii="Arial"/>
          <w:i/>
          <w:spacing w:val="-4"/>
          <w:sz w:val="20"/>
        </w:rPr>
        <w:t>279.</w:t>
      </w:r>
    </w:p>
    <w:p>
      <w:pPr>
        <w:pStyle w:val="BodyText"/>
        <w:spacing w:before="5"/>
        <w:rPr>
          <w:rFonts w:ascii="Arial"/>
          <w:i/>
        </w:rPr>
      </w:pPr>
    </w:p>
    <w:p>
      <w:pPr>
        <w:tabs>
          <w:tab w:pos="705" w:val="left" w:leader="none"/>
        </w:tabs>
        <w:spacing w:before="0"/>
        <w:ind w:left="165" w:right="0" w:firstLine="0"/>
        <w:jc w:val="left"/>
        <w:rPr>
          <w:sz w:val="20"/>
        </w:rPr>
      </w:pPr>
      <w:bookmarkStart w:name="_bookmark610" w:id="612"/>
      <w:bookmarkEnd w:id="612"/>
      <w:r>
        <w:rPr/>
      </w:r>
      <w:hyperlink w:history="true" w:anchor="_bookmark518">
        <w:r>
          <w:rPr>
            <w:color w:val="005DA1"/>
            <w:spacing w:val="-4"/>
            <w:position w:val="5"/>
            <w:sz w:val="14"/>
            <w:u w:val="single" w:color="005DA1"/>
          </w:rPr>
          <w:t>302</w:t>
        </w:r>
      </w:hyperlink>
      <w:r>
        <w:rPr>
          <w:spacing w:val="-4"/>
          <w:position w:val="5"/>
          <w:sz w:val="14"/>
        </w:rPr>
        <w:t>.</w:t>
      </w:r>
      <w:r>
        <w:rPr>
          <w:position w:val="5"/>
          <w:sz w:val="14"/>
        </w:rPr>
        <w:tab/>
      </w:r>
      <w:r>
        <w:rPr>
          <w:rFonts w:ascii="Arial"/>
          <w:i/>
          <w:sz w:val="20"/>
        </w:rPr>
        <w:t>[1997]</w:t>
      </w:r>
      <w:r>
        <w:rPr>
          <w:rFonts w:ascii="Arial"/>
          <w:i/>
          <w:spacing w:val="-1"/>
          <w:sz w:val="20"/>
        </w:rPr>
        <w:t> </w:t>
      </w:r>
      <w:r>
        <w:rPr>
          <w:rFonts w:ascii="Arial"/>
          <w:i/>
          <w:sz w:val="20"/>
        </w:rPr>
        <w:t>A.C. 191, [1997] A.C. 191</w:t>
      </w:r>
      <w:r>
        <w:rPr>
          <w:sz w:val="20"/>
        </w:rPr>
        <w:t>. See below, para.26-</w:t>
      </w:r>
      <w:r>
        <w:rPr>
          <w:spacing w:val="-4"/>
          <w:sz w:val="20"/>
        </w:rPr>
        <w:t>168.</w:t>
      </w:r>
    </w:p>
    <w:p>
      <w:pPr>
        <w:pStyle w:val="BodyText"/>
        <w:spacing w:before="5"/>
      </w:pPr>
    </w:p>
    <w:p>
      <w:pPr>
        <w:tabs>
          <w:tab w:pos="705" w:val="left" w:leader="none"/>
        </w:tabs>
        <w:spacing w:before="0"/>
        <w:ind w:left="165" w:right="0" w:firstLine="0"/>
        <w:jc w:val="left"/>
        <w:rPr>
          <w:sz w:val="20"/>
        </w:rPr>
      </w:pPr>
      <w:bookmarkStart w:name="_bookmark611" w:id="613"/>
      <w:bookmarkEnd w:id="613"/>
      <w:r>
        <w:rPr/>
      </w:r>
      <w:hyperlink w:history="true" w:anchor="_bookmark519">
        <w:r>
          <w:rPr>
            <w:color w:val="005DA1"/>
            <w:spacing w:val="-4"/>
            <w:position w:val="5"/>
            <w:sz w:val="14"/>
            <w:u w:val="single" w:color="005DA1"/>
          </w:rPr>
          <w:t>303</w:t>
        </w:r>
      </w:hyperlink>
      <w:r>
        <w:rPr>
          <w:spacing w:val="-4"/>
          <w:position w:val="5"/>
          <w:sz w:val="14"/>
        </w:rPr>
        <w:t>.</w:t>
      </w:r>
      <w:r>
        <w:rPr>
          <w:position w:val="5"/>
          <w:sz w:val="14"/>
        </w:rPr>
        <w:tab/>
      </w:r>
      <w:r>
        <w:rPr>
          <w:rFonts w:ascii="Arial"/>
          <w:i/>
          <w:sz w:val="20"/>
        </w:rPr>
        <w:t>[1997]</w:t>
      </w:r>
      <w:r>
        <w:rPr>
          <w:rFonts w:ascii="Arial"/>
          <w:i/>
          <w:spacing w:val="-2"/>
          <w:sz w:val="20"/>
        </w:rPr>
        <w:t> </w:t>
      </w:r>
      <w:r>
        <w:rPr>
          <w:rFonts w:ascii="Arial"/>
          <w:i/>
          <w:sz w:val="20"/>
        </w:rPr>
        <w:t>A.C. 191, </w:t>
      </w:r>
      <w:r>
        <w:rPr>
          <w:rFonts w:ascii="Arial"/>
          <w:i/>
          <w:spacing w:val="-4"/>
          <w:sz w:val="20"/>
        </w:rPr>
        <w:t>215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12" w:id="614"/>
      <w:bookmarkEnd w:id="614"/>
      <w:r>
        <w:rPr/>
      </w:r>
      <w:hyperlink w:history="true" w:anchor="_bookmark519">
        <w:r>
          <w:rPr>
            <w:color w:val="005DA1"/>
            <w:spacing w:val="-4"/>
            <w:position w:val="5"/>
            <w:sz w:val="14"/>
            <w:u w:val="single" w:color="005DA1"/>
          </w:rPr>
          <w:t>304</w:t>
        </w:r>
      </w:hyperlink>
      <w:r>
        <w:rPr>
          <w:spacing w:val="-4"/>
          <w:position w:val="5"/>
          <w:sz w:val="14"/>
        </w:rPr>
        <w:t>.</w:t>
      </w:r>
      <w:r>
        <w:rPr>
          <w:position w:val="5"/>
          <w:sz w:val="14"/>
        </w:rPr>
        <w:tab/>
      </w:r>
      <w:r>
        <w:rPr>
          <w:rFonts w:ascii="Arial"/>
          <w:i/>
          <w:sz w:val="20"/>
        </w:rPr>
        <w:t>[1997]</w:t>
      </w:r>
      <w:r>
        <w:rPr>
          <w:rFonts w:ascii="Arial"/>
          <w:i/>
          <w:spacing w:val="-2"/>
          <w:sz w:val="20"/>
        </w:rPr>
        <w:t> </w:t>
      </w:r>
      <w:r>
        <w:rPr>
          <w:rFonts w:ascii="Arial"/>
          <w:i/>
          <w:sz w:val="20"/>
        </w:rPr>
        <w:t>1 W.L.R. </w:t>
      </w:r>
      <w:r>
        <w:rPr>
          <w:rFonts w:ascii="Arial"/>
          <w:i/>
          <w:spacing w:val="-4"/>
          <w:sz w:val="20"/>
        </w:rPr>
        <w:t>426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13" w:id="615"/>
      <w:bookmarkEnd w:id="615"/>
      <w:r>
        <w:rPr/>
      </w:r>
      <w:hyperlink w:history="true" w:anchor="_bookmark520">
        <w:r>
          <w:rPr>
            <w:color w:val="005DA1"/>
            <w:spacing w:val="-4"/>
            <w:position w:val="5"/>
            <w:sz w:val="14"/>
            <w:u w:val="single" w:color="005DA1"/>
          </w:rPr>
          <w:t>305</w:t>
        </w:r>
      </w:hyperlink>
      <w:r>
        <w:rPr>
          <w:spacing w:val="-4"/>
          <w:position w:val="5"/>
          <w:sz w:val="14"/>
        </w:rPr>
        <w:t>.</w:t>
      </w:r>
      <w:r>
        <w:rPr>
          <w:position w:val="5"/>
          <w:sz w:val="14"/>
        </w:rPr>
        <w:tab/>
      </w:r>
      <w:r>
        <w:rPr>
          <w:rFonts w:ascii="Arial"/>
          <w:i/>
          <w:sz w:val="20"/>
        </w:rPr>
        <w:t>[1997]</w:t>
      </w:r>
      <w:r>
        <w:rPr>
          <w:rFonts w:ascii="Arial"/>
          <w:i/>
          <w:spacing w:val="-2"/>
          <w:sz w:val="20"/>
        </w:rPr>
        <w:t> </w:t>
      </w:r>
      <w:r>
        <w:rPr>
          <w:rFonts w:ascii="Arial"/>
          <w:i/>
          <w:sz w:val="20"/>
        </w:rPr>
        <w:t>A.C. </w:t>
      </w:r>
      <w:r>
        <w:rPr>
          <w:rFonts w:ascii="Arial"/>
          <w:i/>
          <w:spacing w:val="-4"/>
          <w:sz w:val="20"/>
        </w:rPr>
        <w:t>254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14" w:id="616"/>
      <w:bookmarkEnd w:id="616"/>
      <w:r>
        <w:rPr/>
      </w:r>
      <w:hyperlink w:history="true" w:anchor="_bookmark521">
        <w:r>
          <w:rPr>
            <w:color w:val="005DA1"/>
            <w:spacing w:val="-4"/>
            <w:position w:val="5"/>
            <w:sz w:val="14"/>
            <w:u w:val="single" w:color="005DA1"/>
          </w:rPr>
          <w:t>306</w:t>
        </w:r>
      </w:hyperlink>
      <w:r>
        <w:rPr>
          <w:spacing w:val="-4"/>
          <w:position w:val="5"/>
          <w:sz w:val="14"/>
        </w:rPr>
        <w:t>.</w:t>
      </w:r>
      <w:r>
        <w:rPr>
          <w:position w:val="5"/>
          <w:sz w:val="14"/>
        </w:rPr>
        <w:tab/>
      </w:r>
      <w:r>
        <w:rPr>
          <w:rFonts w:ascii="Arial"/>
          <w:i/>
          <w:sz w:val="20"/>
        </w:rPr>
        <w:t>[1997]</w:t>
      </w:r>
      <w:r>
        <w:rPr>
          <w:rFonts w:ascii="Arial"/>
          <w:i/>
          <w:spacing w:val="-2"/>
          <w:sz w:val="20"/>
        </w:rPr>
        <w:t> </w:t>
      </w:r>
      <w:r>
        <w:rPr>
          <w:rFonts w:ascii="Arial"/>
          <w:i/>
          <w:sz w:val="20"/>
        </w:rPr>
        <w:t>A.C. 254, </w:t>
      </w:r>
      <w:r>
        <w:rPr>
          <w:rFonts w:ascii="Arial"/>
          <w:i/>
          <w:spacing w:val="-4"/>
          <w:sz w:val="20"/>
        </w:rPr>
        <w:t>280</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615" w:id="617"/>
      <w:bookmarkEnd w:id="617"/>
      <w:r>
        <w:rPr/>
      </w:r>
      <w:hyperlink w:history="true" w:anchor="_bookmark522">
        <w:r>
          <w:rPr>
            <w:color w:val="005DA1"/>
            <w:spacing w:val="-4"/>
            <w:position w:val="5"/>
            <w:sz w:val="14"/>
            <w:u w:val="single" w:color="005DA1"/>
          </w:rPr>
          <w:t>307</w:t>
        </w:r>
      </w:hyperlink>
      <w:r>
        <w:rPr>
          <w:spacing w:val="-4"/>
          <w:position w:val="5"/>
          <w:sz w:val="14"/>
        </w:rPr>
        <w:t>.</w:t>
      </w:r>
      <w:r>
        <w:rPr>
          <w:position w:val="5"/>
          <w:sz w:val="14"/>
        </w:rPr>
        <w:tab/>
      </w:r>
      <w:r>
        <w:rPr>
          <w:sz w:val="20"/>
        </w:rPr>
        <w:t>In </w:t>
      </w:r>
      <w:r>
        <w:rPr>
          <w:rFonts w:ascii="Arial" w:hAnsi="Arial"/>
          <w:i/>
          <w:sz w:val="20"/>
        </w:rPr>
        <w:t>Parabola Investments Ltd v Browallia Cal Ltd [2010] EWCA Civ 486</w:t>
      </w:r>
      <w:r>
        <w:rPr>
          <w:sz w:val="20"/>
        </w:rPr>
        <w:t>, Toulson L.J. said </w:t>
      </w:r>
      <w:r>
        <w:rPr>
          <w:sz w:val="20"/>
        </w:rPr>
        <w:t>that</w:t>
      </w:r>
      <w:r>
        <w:rPr>
          <w:spacing w:val="40"/>
          <w:sz w:val="20"/>
        </w:rPr>
        <w:t> </w:t>
      </w:r>
      <w:r>
        <w:rPr>
          <w:sz w:val="20"/>
        </w:rPr>
        <w:t>he took these instances “to be illustrative rather than exclusive” (at [34]).</w:t>
      </w:r>
    </w:p>
    <w:p>
      <w:pPr>
        <w:pStyle w:val="BodyText"/>
        <w:spacing w:before="5"/>
      </w:pPr>
    </w:p>
    <w:p>
      <w:pPr>
        <w:tabs>
          <w:tab w:pos="705" w:val="left" w:leader="none"/>
        </w:tabs>
        <w:spacing w:before="0"/>
        <w:ind w:left="165" w:right="0" w:firstLine="0"/>
        <w:jc w:val="left"/>
        <w:rPr>
          <w:sz w:val="20"/>
        </w:rPr>
      </w:pPr>
      <w:bookmarkStart w:name="_bookmark616" w:id="618"/>
      <w:bookmarkEnd w:id="618"/>
      <w:r>
        <w:rPr/>
      </w:r>
      <w:hyperlink w:history="true" w:anchor="_bookmark523">
        <w:r>
          <w:rPr>
            <w:color w:val="005DA1"/>
            <w:spacing w:val="-4"/>
            <w:position w:val="5"/>
            <w:sz w:val="14"/>
            <w:u w:val="single" w:color="005DA1"/>
          </w:rPr>
          <w:t>308</w:t>
        </w:r>
      </w:hyperlink>
      <w:r>
        <w:rPr>
          <w:spacing w:val="-4"/>
          <w:position w:val="5"/>
          <w:sz w:val="14"/>
        </w:rPr>
        <w:t>.</w:t>
      </w:r>
      <w:r>
        <w:rPr>
          <w:position w:val="5"/>
          <w:sz w:val="14"/>
        </w:rPr>
        <w:tab/>
      </w:r>
      <w:r>
        <w:rPr>
          <w:rFonts w:ascii="Arial"/>
          <w:i/>
          <w:sz w:val="20"/>
        </w:rPr>
        <w:t>(1877)</w:t>
      </w:r>
      <w:r>
        <w:rPr>
          <w:rFonts w:ascii="Arial"/>
          <w:i/>
          <w:spacing w:val="-2"/>
          <w:sz w:val="20"/>
        </w:rPr>
        <w:t> </w:t>
      </w:r>
      <w:r>
        <w:rPr>
          <w:rFonts w:ascii="Arial"/>
          <w:i/>
          <w:sz w:val="20"/>
        </w:rPr>
        <w:t>2 C.P.D. </w:t>
      </w:r>
      <w:r>
        <w:rPr>
          <w:rFonts w:ascii="Arial"/>
          <w:i/>
          <w:spacing w:val="-4"/>
          <w:sz w:val="20"/>
        </w:rPr>
        <w:t>469</w:t>
      </w:r>
      <w:r>
        <w:rPr>
          <w:spacing w:val="-4"/>
          <w:sz w:val="20"/>
        </w:rPr>
        <w:t>.</w:t>
      </w:r>
    </w:p>
    <w:p>
      <w:pPr>
        <w:pStyle w:val="BodyText"/>
        <w:spacing w:before="9"/>
      </w:pPr>
    </w:p>
    <w:p>
      <w:pPr>
        <w:pStyle w:val="BodyText"/>
        <w:spacing w:line="235" w:lineRule="auto"/>
        <w:ind w:left="705" w:right="167" w:hanging="541"/>
        <w:jc w:val="both"/>
      </w:pPr>
      <w:bookmarkStart w:name="_bookmark617" w:id="619"/>
      <w:bookmarkEnd w:id="619"/>
      <w:r>
        <w:rPr/>
      </w:r>
      <w:hyperlink w:history="true" w:anchor="_bookmark524">
        <w:r>
          <w:rPr>
            <w:color w:val="005DA1"/>
            <w:position w:val="5"/>
            <w:sz w:val="14"/>
            <w:u w:val="single" w:color="005DA1"/>
          </w:rPr>
          <w:t>309</w:t>
        </w:r>
      </w:hyperlink>
      <w:r>
        <w:rPr>
          <w:position w:val="5"/>
          <w:sz w:val="14"/>
        </w:rPr>
        <w:t>.</w:t>
      </w:r>
      <w:r>
        <w:rPr>
          <w:spacing w:val="80"/>
          <w:position w:val="5"/>
          <w:sz w:val="14"/>
        </w:rPr>
        <w:t>  </w:t>
      </w:r>
      <w:r>
        <w:rPr>
          <w:rFonts w:ascii="Arial"/>
          <w:i/>
        </w:rPr>
        <w:t>[1997]</w:t>
      </w:r>
      <w:r>
        <w:rPr>
          <w:rFonts w:ascii="Arial"/>
          <w:i/>
          <w:spacing w:val="21"/>
        </w:rPr>
        <w:t> </w:t>
      </w:r>
      <w:r>
        <w:rPr>
          <w:rFonts w:ascii="Arial"/>
          <w:i/>
        </w:rPr>
        <w:t>A.C.</w:t>
      </w:r>
      <w:r>
        <w:rPr>
          <w:rFonts w:ascii="Arial"/>
          <w:i/>
          <w:spacing w:val="21"/>
        </w:rPr>
        <w:t> </w:t>
      </w:r>
      <w:r>
        <w:rPr>
          <w:rFonts w:ascii="Arial"/>
          <w:i/>
        </w:rPr>
        <w:t>254,</w:t>
      </w:r>
      <w:r>
        <w:rPr>
          <w:rFonts w:ascii="Arial"/>
          <w:i/>
          <w:spacing w:val="21"/>
        </w:rPr>
        <w:t> </w:t>
      </w:r>
      <w:r>
        <w:rPr>
          <w:rFonts w:ascii="Arial"/>
          <w:i/>
        </w:rPr>
        <w:t>285</w:t>
      </w:r>
      <w:r>
        <w:rPr/>
        <w:t>.</w:t>
      </w:r>
      <w:r>
        <w:rPr>
          <w:spacing w:val="21"/>
        </w:rPr>
        <w:t> </w:t>
      </w:r>
      <w:r>
        <w:rPr/>
        <w:t>McGregor</w:t>
      </w:r>
      <w:r>
        <w:rPr>
          <w:spacing w:val="21"/>
        </w:rPr>
        <w:t> </w:t>
      </w:r>
      <w:r>
        <w:rPr/>
        <w:t>on</w:t>
      </w:r>
      <w:r>
        <w:rPr>
          <w:spacing w:val="21"/>
        </w:rPr>
        <w:t> </w:t>
      </w:r>
      <w:r>
        <w:rPr/>
        <w:t>Damages,</w:t>
      </w:r>
      <w:r>
        <w:rPr>
          <w:spacing w:val="21"/>
        </w:rPr>
        <w:t> </w:t>
      </w:r>
      <w:r>
        <w:rPr/>
        <w:t>19th</w:t>
      </w:r>
      <w:r>
        <w:rPr>
          <w:spacing w:val="21"/>
        </w:rPr>
        <w:t> </w:t>
      </w:r>
      <w:r>
        <w:rPr/>
        <w:t>edn</w:t>
      </w:r>
      <w:r>
        <w:rPr>
          <w:spacing w:val="21"/>
        </w:rPr>
        <w:t> </w:t>
      </w:r>
      <w:r>
        <w:rPr/>
        <w:t>(2014),</w:t>
      </w:r>
      <w:r>
        <w:rPr>
          <w:spacing w:val="21"/>
        </w:rPr>
        <w:t> </w:t>
      </w:r>
      <w:r>
        <w:rPr/>
        <w:t>para.47-016</w:t>
      </w:r>
      <w:r>
        <w:rPr>
          <w:spacing w:val="21"/>
        </w:rPr>
        <w:t> </w:t>
      </w:r>
      <w:r>
        <w:rPr/>
        <w:t>appears</w:t>
      </w:r>
      <w:r>
        <w:rPr>
          <w:spacing w:val="21"/>
        </w:rPr>
        <w:t> </w:t>
      </w:r>
      <w:r>
        <w:rPr/>
        <w:t>to</w:t>
      </w:r>
      <w:r>
        <w:rPr>
          <w:spacing w:val="21"/>
        </w:rPr>
        <w:t> </w:t>
      </w:r>
      <w:r>
        <w:rPr/>
        <w:t>take the view that the plaintiff may only be compensated for a subsequent fall in value when the asset was already flawed.</w:t>
      </w:r>
    </w:p>
    <w:p>
      <w:pPr>
        <w:pStyle w:val="BodyText"/>
        <w:spacing w:before="5"/>
      </w:pPr>
    </w:p>
    <w:p>
      <w:pPr>
        <w:pStyle w:val="BodyText"/>
        <w:tabs>
          <w:tab w:pos="705" w:val="left" w:leader="none"/>
        </w:tabs>
        <w:ind w:left="165"/>
      </w:pPr>
      <w:bookmarkStart w:name="_bookmark618" w:id="620"/>
      <w:bookmarkEnd w:id="620"/>
      <w:r>
        <w:rPr/>
      </w:r>
      <w:hyperlink w:history="true" w:anchor="_bookmark525">
        <w:r>
          <w:rPr>
            <w:color w:val="005DA1"/>
            <w:spacing w:val="-4"/>
            <w:position w:val="5"/>
            <w:sz w:val="14"/>
            <w:u w:val="single" w:color="005DA1"/>
          </w:rPr>
          <w:t>310</w:t>
        </w:r>
      </w:hyperlink>
      <w:r>
        <w:rPr>
          <w:spacing w:val="-4"/>
          <w:position w:val="5"/>
          <w:sz w:val="14"/>
        </w:rPr>
        <w:t>.</w:t>
      </w:r>
      <w:r>
        <w:rPr>
          <w:position w:val="5"/>
          <w:sz w:val="14"/>
        </w:rPr>
        <w:tab/>
      </w:r>
      <w:r>
        <w:rPr/>
        <w:t>See</w:t>
      </w:r>
      <w:r>
        <w:rPr>
          <w:spacing w:val="-2"/>
        </w:rPr>
        <w:t> </w:t>
      </w:r>
      <w:r>
        <w:rPr/>
        <w:t>above, para.7-</w:t>
      </w:r>
      <w:r>
        <w:rPr>
          <w:spacing w:val="-4"/>
        </w:rPr>
        <w:t>055.</w:t>
      </w:r>
    </w:p>
    <w:p>
      <w:pPr>
        <w:pStyle w:val="BodyText"/>
        <w:spacing w:before="5"/>
      </w:pPr>
    </w:p>
    <w:p>
      <w:pPr>
        <w:tabs>
          <w:tab w:pos="705" w:val="left" w:leader="none"/>
        </w:tabs>
        <w:spacing w:before="0"/>
        <w:ind w:left="165" w:right="0" w:firstLine="0"/>
        <w:jc w:val="left"/>
        <w:rPr>
          <w:sz w:val="20"/>
        </w:rPr>
      </w:pPr>
      <w:bookmarkStart w:name="_bookmark619" w:id="621"/>
      <w:bookmarkEnd w:id="621"/>
      <w:r>
        <w:rPr/>
      </w:r>
      <w:hyperlink w:history="true" w:anchor="_bookmark525">
        <w:r>
          <w:rPr>
            <w:color w:val="005DA1"/>
            <w:spacing w:val="-4"/>
            <w:position w:val="5"/>
            <w:sz w:val="14"/>
            <w:u w:val="single" w:color="005DA1"/>
          </w:rPr>
          <w:t>311</w:t>
        </w:r>
      </w:hyperlink>
      <w:r>
        <w:rPr>
          <w:spacing w:val="-4"/>
          <w:position w:val="5"/>
          <w:sz w:val="14"/>
        </w:rPr>
        <w:t>.</w:t>
      </w:r>
      <w:r>
        <w:rPr>
          <w:position w:val="5"/>
          <w:sz w:val="14"/>
        </w:rPr>
        <w:tab/>
      </w:r>
      <w:r>
        <w:rPr>
          <w:rFonts w:ascii="Arial"/>
          <w:i/>
          <w:sz w:val="20"/>
        </w:rPr>
        <w:t>[1997]</w:t>
      </w:r>
      <w:r>
        <w:rPr>
          <w:rFonts w:ascii="Arial"/>
          <w:i/>
          <w:spacing w:val="-2"/>
          <w:sz w:val="20"/>
        </w:rPr>
        <w:t> </w:t>
      </w:r>
      <w:r>
        <w:rPr>
          <w:rFonts w:ascii="Arial"/>
          <w:i/>
          <w:sz w:val="20"/>
        </w:rPr>
        <w:t>1 W.L.R. </w:t>
      </w:r>
      <w:r>
        <w:rPr>
          <w:rFonts w:ascii="Arial"/>
          <w:i/>
          <w:spacing w:val="-4"/>
          <w:sz w:val="20"/>
        </w:rPr>
        <w:t>426</w:t>
      </w:r>
      <w:r>
        <w:rPr>
          <w:spacing w:val="-4"/>
          <w:sz w:val="20"/>
        </w:rPr>
        <w:t>.</w:t>
      </w:r>
    </w:p>
    <w:p>
      <w:pPr>
        <w:pStyle w:val="BodyText"/>
        <w:spacing w:before="5"/>
      </w:pPr>
    </w:p>
    <w:p>
      <w:pPr>
        <w:pStyle w:val="BodyText"/>
        <w:tabs>
          <w:tab w:pos="705" w:val="left" w:leader="none"/>
        </w:tabs>
        <w:ind w:left="165"/>
      </w:pPr>
      <w:bookmarkStart w:name="_bookmark620" w:id="622"/>
      <w:bookmarkEnd w:id="622"/>
      <w:r>
        <w:rPr/>
      </w:r>
      <w:hyperlink w:history="true" w:anchor="_bookmark526">
        <w:r>
          <w:rPr>
            <w:color w:val="005DA1"/>
            <w:spacing w:val="-4"/>
            <w:position w:val="5"/>
            <w:sz w:val="14"/>
            <w:u w:val="single" w:color="005DA1"/>
          </w:rPr>
          <w:t>312</w:t>
        </w:r>
      </w:hyperlink>
      <w:r>
        <w:rPr>
          <w:spacing w:val="-4"/>
          <w:position w:val="5"/>
          <w:sz w:val="14"/>
        </w:rPr>
        <w:t>.</w:t>
      </w:r>
      <w:r>
        <w:rPr>
          <w:position w:val="5"/>
          <w:sz w:val="14"/>
        </w:rPr>
        <w:tab/>
      </w:r>
      <w:r>
        <w:rPr/>
        <w:t>See para.7-039, </w:t>
      </w:r>
      <w:r>
        <w:rPr>
          <w:spacing w:val="-2"/>
        </w:rPr>
        <w:t>above.</w:t>
      </w:r>
    </w:p>
    <w:p>
      <w:pPr>
        <w:pStyle w:val="BodyText"/>
        <w:spacing w:before="5"/>
      </w:pPr>
    </w:p>
    <w:p>
      <w:pPr>
        <w:tabs>
          <w:tab w:pos="705" w:val="left" w:leader="none"/>
        </w:tabs>
        <w:spacing w:before="0"/>
        <w:ind w:left="165" w:right="0" w:firstLine="0"/>
        <w:jc w:val="left"/>
        <w:rPr>
          <w:sz w:val="20"/>
        </w:rPr>
      </w:pPr>
      <w:bookmarkStart w:name="_bookmark621" w:id="623"/>
      <w:bookmarkEnd w:id="623"/>
      <w:r>
        <w:rPr/>
      </w:r>
      <w:hyperlink w:history="true" w:anchor="_bookmark527">
        <w:r>
          <w:rPr>
            <w:color w:val="005DA1"/>
            <w:spacing w:val="-4"/>
            <w:position w:val="5"/>
            <w:sz w:val="14"/>
            <w:u w:val="single" w:color="005DA1"/>
          </w:rPr>
          <w:t>313</w:t>
        </w:r>
      </w:hyperlink>
      <w:r>
        <w:rPr>
          <w:spacing w:val="-4"/>
          <w:position w:val="5"/>
          <w:sz w:val="14"/>
        </w:rPr>
        <w:t>.</w:t>
      </w:r>
      <w:r>
        <w:rPr>
          <w:position w:val="5"/>
          <w:sz w:val="14"/>
        </w:rPr>
        <w:tab/>
      </w:r>
      <w:r>
        <w:rPr>
          <w:rFonts w:ascii="Arial"/>
          <w:i/>
          <w:sz w:val="20"/>
        </w:rPr>
        <w:t>[1997]</w:t>
      </w:r>
      <w:r>
        <w:rPr>
          <w:rFonts w:ascii="Arial"/>
          <w:i/>
          <w:spacing w:val="-2"/>
          <w:sz w:val="20"/>
        </w:rPr>
        <w:t> </w:t>
      </w:r>
      <w:r>
        <w:rPr>
          <w:rFonts w:ascii="Arial"/>
          <w:i/>
          <w:sz w:val="20"/>
        </w:rPr>
        <w:t>A.C. 191, </w:t>
      </w:r>
      <w:r>
        <w:rPr>
          <w:rFonts w:ascii="Arial"/>
          <w:i/>
          <w:spacing w:val="-4"/>
          <w:sz w:val="20"/>
        </w:rPr>
        <w:t>218</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622" w:id="624"/>
      <w:bookmarkEnd w:id="624"/>
      <w:r>
        <w:rPr/>
      </w:r>
      <w:hyperlink w:history="true" w:anchor="_bookmark528">
        <w:r>
          <w:rPr>
            <w:color w:val="005DA1"/>
            <w:spacing w:val="-4"/>
            <w:position w:val="5"/>
            <w:sz w:val="14"/>
            <w:u w:val="single" w:color="005DA1"/>
          </w:rPr>
          <w:t>314</w:t>
        </w:r>
      </w:hyperlink>
      <w:r>
        <w:rPr>
          <w:spacing w:val="-4"/>
          <w:position w:val="5"/>
          <w:sz w:val="14"/>
        </w:rPr>
        <w:t>.</w:t>
      </w:r>
      <w:r>
        <w:rPr>
          <w:position w:val="5"/>
          <w:sz w:val="14"/>
        </w:rPr>
        <w:tab/>
      </w:r>
      <w:r>
        <w:rPr>
          <w:rFonts w:ascii="Arial" w:hAnsi="Arial"/>
          <w:i/>
          <w:sz w:val="20"/>
        </w:rPr>
        <w:t>[1997] A.C. 254, </w:t>
      </w:r>
      <w:r>
        <w:rPr>
          <w:rFonts w:ascii="Arial" w:hAnsi="Arial"/>
          <w:i/>
          <w:spacing w:val="-2"/>
          <w:sz w:val="20"/>
        </w:rPr>
        <w:t>284–285</w:t>
      </w:r>
      <w:r>
        <w:rPr>
          <w:spacing w:val="-2"/>
          <w:sz w:val="20"/>
        </w:rPr>
        <w:t>.</w:t>
      </w:r>
    </w:p>
    <w:p>
      <w:pPr>
        <w:pStyle w:val="BodyText"/>
        <w:spacing w:before="8"/>
      </w:pPr>
    </w:p>
    <w:p>
      <w:pPr>
        <w:spacing w:line="235" w:lineRule="auto" w:before="0"/>
        <w:ind w:left="705" w:right="167" w:hanging="541"/>
        <w:jc w:val="both"/>
        <w:rPr>
          <w:sz w:val="20"/>
        </w:rPr>
      </w:pPr>
      <w:bookmarkStart w:name="_bookmark623" w:id="625"/>
      <w:bookmarkEnd w:id="625"/>
      <w:r>
        <w:rPr/>
      </w:r>
      <w:hyperlink w:history="true" w:anchor="_bookmark529">
        <w:r>
          <w:rPr>
            <w:color w:val="005DA1"/>
            <w:position w:val="5"/>
            <w:sz w:val="14"/>
            <w:u w:val="single" w:color="005DA1"/>
          </w:rPr>
          <w:t>315</w:t>
        </w:r>
      </w:hyperlink>
      <w:r>
        <w:rPr>
          <w:position w:val="5"/>
          <w:sz w:val="14"/>
        </w:rPr>
        <w:t>.</w:t>
      </w:r>
      <w:r>
        <w:rPr>
          <w:spacing w:val="80"/>
          <w:w w:val="150"/>
          <w:position w:val="5"/>
          <w:sz w:val="14"/>
        </w:rPr>
        <w:t> </w:t>
      </w:r>
      <w:r>
        <w:rPr>
          <w:rFonts w:ascii="Arial" w:hAnsi="Arial"/>
          <w:i/>
          <w:sz w:val="20"/>
        </w:rPr>
        <w:t>[1997] A.C. 254, 283</w:t>
      </w:r>
      <w:r>
        <w:rPr>
          <w:sz w:val="20"/>
        </w:rPr>
        <w:t>. The decision in </w:t>
      </w:r>
      <w:r>
        <w:rPr>
          <w:rFonts w:ascii="Arial" w:hAnsi="Arial"/>
          <w:i/>
          <w:sz w:val="20"/>
        </w:rPr>
        <w:t>Downs v Chappell [1997] 1 W.L.R. 426</w:t>
      </w:r>
      <w:r>
        <w:rPr>
          <w:sz w:val="20"/>
        </w:rPr>
        <w:t>, as far as the vendor’s accountants were concerned, may have been interpreted in </w:t>
      </w:r>
      <w:r>
        <w:rPr>
          <w:rFonts w:ascii="Arial" w:hAnsi="Arial"/>
          <w:i/>
          <w:sz w:val="20"/>
        </w:rPr>
        <w:t>Bristol and West </w:t>
      </w:r>
      <w:r>
        <w:rPr>
          <w:rFonts w:ascii="Arial" w:hAnsi="Arial"/>
          <w:i/>
          <w:sz w:val="20"/>
        </w:rPr>
        <w:t>Building Society v Mothew [1998] Ch. 1 </w:t>
      </w:r>
      <w:r>
        <w:rPr>
          <w:sz w:val="20"/>
        </w:rPr>
        <w:t>as applying the same measure in cases of negligence, but Hobhouse L.J., who delivered the only full judgment in </w:t>
      </w:r>
      <w:r>
        <w:rPr>
          <w:rFonts w:ascii="Arial" w:hAnsi="Arial"/>
          <w:i/>
          <w:sz w:val="20"/>
        </w:rPr>
        <w:t>Downs</w:t>
      </w:r>
      <w:r>
        <w:rPr>
          <w:sz w:val="20"/>
        </w:rPr>
        <w:t>, has said that this is not an accurate account of the decision: </w:t>
      </w:r>
      <w:r>
        <w:rPr>
          <w:rFonts w:ascii="Arial" w:hAnsi="Arial"/>
          <w:i/>
          <w:sz w:val="20"/>
        </w:rPr>
        <w:t>Swindle v Harrison [1997] 4 All E.R. 705, 728</w:t>
      </w:r>
      <w:r>
        <w:rPr>
          <w:sz w:val="20"/>
        </w:rPr>
        <w:t>. But a different view is taken by McGregor on Damages, 19th edn (2014), para.47-048.</w:t>
      </w:r>
    </w:p>
    <w:p>
      <w:pPr>
        <w:pStyle w:val="BodyText"/>
        <w:spacing w:before="4"/>
      </w:pPr>
    </w:p>
    <w:p>
      <w:pPr>
        <w:tabs>
          <w:tab w:pos="705" w:val="left" w:leader="none"/>
        </w:tabs>
        <w:spacing w:before="0"/>
        <w:ind w:left="165" w:right="0" w:firstLine="0"/>
        <w:jc w:val="left"/>
        <w:rPr>
          <w:sz w:val="20"/>
        </w:rPr>
      </w:pPr>
      <w:bookmarkStart w:name="_bookmark624" w:id="626"/>
      <w:bookmarkEnd w:id="626"/>
      <w:r>
        <w:rPr/>
      </w:r>
      <w:hyperlink w:history="true" w:anchor="_bookmark530">
        <w:r>
          <w:rPr>
            <w:color w:val="005DA1"/>
            <w:spacing w:val="-4"/>
            <w:position w:val="5"/>
            <w:sz w:val="14"/>
            <w:u w:val="single" w:color="005DA1"/>
          </w:rPr>
          <w:t>316</w:t>
        </w:r>
      </w:hyperlink>
      <w:r>
        <w:rPr>
          <w:spacing w:val="-4"/>
          <w:position w:val="5"/>
          <w:sz w:val="14"/>
        </w:rPr>
        <w:t>.</w:t>
      </w:r>
      <w:r>
        <w:rPr>
          <w:position w:val="5"/>
          <w:sz w:val="14"/>
        </w:rPr>
        <w:tab/>
      </w:r>
      <w:r>
        <w:rPr>
          <w:rFonts w:ascii="Arial" w:hAnsi="Arial"/>
          <w:i/>
          <w:sz w:val="20"/>
        </w:rPr>
        <w:t>[2013] EWHC 111 (QB), [2013] 1 Lloyd’s Rep. 526</w:t>
      </w:r>
      <w:r>
        <w:rPr>
          <w:rFonts w:ascii="Arial" w:hAnsi="Arial"/>
          <w:i/>
          <w:spacing w:val="-1"/>
          <w:sz w:val="20"/>
        </w:rPr>
        <w:t> </w:t>
      </w:r>
      <w:r>
        <w:rPr>
          <w:sz w:val="20"/>
        </w:rPr>
        <w:t>at </w:t>
      </w:r>
      <w:r>
        <w:rPr>
          <w:spacing w:val="-2"/>
          <w:sz w:val="20"/>
        </w:rPr>
        <w:t>[209]–[217].</w:t>
      </w:r>
    </w:p>
    <w:p>
      <w:pPr>
        <w:pStyle w:val="BodyText"/>
        <w:spacing w:before="9"/>
      </w:pPr>
    </w:p>
    <w:p>
      <w:pPr>
        <w:tabs>
          <w:tab w:pos="705" w:val="left" w:leader="none"/>
        </w:tabs>
        <w:spacing w:line="235" w:lineRule="auto" w:before="0"/>
        <w:ind w:left="705" w:right="168" w:hanging="541"/>
        <w:jc w:val="left"/>
        <w:rPr>
          <w:sz w:val="20"/>
        </w:rPr>
      </w:pPr>
      <w:bookmarkStart w:name="_bookmark625" w:id="627"/>
      <w:bookmarkEnd w:id="627"/>
      <w:r>
        <w:rPr/>
      </w:r>
      <w:hyperlink w:history="true" w:anchor="_bookmark531">
        <w:r>
          <w:rPr>
            <w:color w:val="005DA1"/>
            <w:spacing w:val="-4"/>
            <w:position w:val="5"/>
            <w:sz w:val="14"/>
            <w:u w:val="single" w:color="005DA1"/>
          </w:rPr>
          <w:t>317</w:t>
        </w:r>
      </w:hyperlink>
      <w:r>
        <w:rPr>
          <w:spacing w:val="-4"/>
          <w:position w:val="5"/>
          <w:sz w:val="14"/>
        </w:rPr>
        <w:t>.</w:t>
      </w:r>
      <w:r>
        <w:rPr>
          <w:position w:val="5"/>
          <w:sz w:val="14"/>
        </w:rPr>
        <w:tab/>
      </w:r>
      <w:r>
        <w:rPr>
          <w:rFonts w:ascii="Arial" w:hAnsi="Arial"/>
          <w:i/>
          <w:sz w:val="20"/>
        </w:rPr>
        <w:t>Slough</w:t>
      </w:r>
      <w:r>
        <w:rPr>
          <w:rFonts w:ascii="Arial" w:hAnsi="Arial"/>
          <w:i/>
          <w:spacing w:val="29"/>
          <w:sz w:val="20"/>
        </w:rPr>
        <w:t> </w:t>
      </w:r>
      <w:r>
        <w:rPr>
          <w:rFonts w:ascii="Arial" w:hAnsi="Arial"/>
          <w:i/>
          <w:sz w:val="20"/>
        </w:rPr>
        <w:t>Estates</w:t>
      </w:r>
      <w:r>
        <w:rPr>
          <w:rFonts w:ascii="Arial" w:hAnsi="Arial"/>
          <w:i/>
          <w:spacing w:val="29"/>
          <w:sz w:val="20"/>
        </w:rPr>
        <w:t> </w:t>
      </w:r>
      <w:r>
        <w:rPr>
          <w:rFonts w:ascii="Arial" w:hAnsi="Arial"/>
          <w:i/>
          <w:sz w:val="20"/>
        </w:rPr>
        <w:t>Plc</w:t>
      </w:r>
      <w:r>
        <w:rPr>
          <w:rFonts w:ascii="Arial" w:hAnsi="Arial"/>
          <w:i/>
          <w:spacing w:val="29"/>
          <w:sz w:val="20"/>
        </w:rPr>
        <w:t> </w:t>
      </w:r>
      <w:r>
        <w:rPr>
          <w:rFonts w:ascii="Arial" w:hAnsi="Arial"/>
          <w:i/>
          <w:sz w:val="20"/>
        </w:rPr>
        <w:t>v</w:t>
      </w:r>
      <w:r>
        <w:rPr>
          <w:rFonts w:ascii="Arial" w:hAnsi="Arial"/>
          <w:i/>
          <w:spacing w:val="29"/>
          <w:sz w:val="20"/>
        </w:rPr>
        <w:t> </w:t>
      </w:r>
      <w:r>
        <w:rPr>
          <w:rFonts w:ascii="Arial" w:hAnsi="Arial"/>
          <w:i/>
          <w:sz w:val="20"/>
        </w:rPr>
        <w:t>Welwyn</w:t>
      </w:r>
      <w:r>
        <w:rPr>
          <w:rFonts w:ascii="Arial" w:hAnsi="Arial"/>
          <w:i/>
          <w:spacing w:val="29"/>
          <w:sz w:val="20"/>
        </w:rPr>
        <w:t> </w:t>
      </w:r>
      <w:r>
        <w:rPr>
          <w:rFonts w:ascii="Arial" w:hAnsi="Arial"/>
          <w:i/>
          <w:sz w:val="20"/>
        </w:rPr>
        <w:t>Hatfield</w:t>
      </w:r>
      <w:r>
        <w:rPr>
          <w:rFonts w:ascii="Arial" w:hAnsi="Arial"/>
          <w:i/>
          <w:spacing w:val="29"/>
          <w:sz w:val="20"/>
        </w:rPr>
        <w:t> </w:t>
      </w:r>
      <w:r>
        <w:rPr>
          <w:rFonts w:ascii="Arial" w:hAnsi="Arial"/>
          <w:i/>
          <w:sz w:val="20"/>
        </w:rPr>
        <w:t>DC</w:t>
      </w:r>
      <w:r>
        <w:rPr>
          <w:rFonts w:ascii="Arial" w:hAnsi="Arial"/>
          <w:i/>
          <w:spacing w:val="29"/>
          <w:sz w:val="20"/>
        </w:rPr>
        <w:t> </w:t>
      </w:r>
      <w:r>
        <w:rPr>
          <w:rFonts w:ascii="Arial" w:hAnsi="Arial"/>
          <w:i/>
          <w:sz w:val="20"/>
        </w:rPr>
        <w:t>[1996]</w:t>
      </w:r>
      <w:r>
        <w:rPr>
          <w:rFonts w:ascii="Arial" w:hAnsi="Arial"/>
          <w:i/>
          <w:spacing w:val="29"/>
          <w:sz w:val="20"/>
        </w:rPr>
        <w:t> </w:t>
      </w:r>
      <w:r>
        <w:rPr>
          <w:rFonts w:ascii="Arial" w:hAnsi="Arial"/>
          <w:i/>
          <w:sz w:val="20"/>
        </w:rPr>
        <w:t>N.P.C.</w:t>
      </w:r>
      <w:r>
        <w:rPr>
          <w:rFonts w:ascii="Arial" w:hAnsi="Arial"/>
          <w:i/>
          <w:spacing w:val="29"/>
          <w:sz w:val="20"/>
        </w:rPr>
        <w:t> </w:t>
      </w:r>
      <w:r>
        <w:rPr>
          <w:rFonts w:ascii="Arial" w:hAnsi="Arial"/>
          <w:i/>
          <w:sz w:val="20"/>
        </w:rPr>
        <w:t>118,</w:t>
      </w:r>
      <w:r>
        <w:rPr>
          <w:rFonts w:ascii="Arial" w:hAnsi="Arial"/>
          <w:i/>
          <w:spacing w:val="29"/>
          <w:sz w:val="20"/>
        </w:rPr>
        <w:t> </w:t>
      </w:r>
      <w:r>
        <w:rPr>
          <w:rFonts w:ascii="Arial" w:hAnsi="Arial"/>
          <w:i/>
          <w:sz w:val="20"/>
        </w:rPr>
        <w:t>124</w:t>
      </w:r>
      <w:r>
        <w:rPr>
          <w:sz w:val="20"/>
        </w:rPr>
        <w:t>;</w:t>
      </w:r>
      <w:r>
        <w:rPr>
          <w:spacing w:val="29"/>
          <w:sz w:val="20"/>
        </w:rPr>
        <w:t> </w:t>
      </w:r>
      <w:r>
        <w:rPr>
          <w:rFonts w:ascii="Arial" w:hAnsi="Arial"/>
          <w:i/>
          <w:sz w:val="20"/>
        </w:rPr>
        <w:t>Naughton</w:t>
      </w:r>
      <w:r>
        <w:rPr>
          <w:rFonts w:ascii="Arial" w:hAnsi="Arial"/>
          <w:i/>
          <w:spacing w:val="29"/>
          <w:sz w:val="20"/>
        </w:rPr>
        <w:t> </w:t>
      </w:r>
      <w:r>
        <w:rPr>
          <w:rFonts w:ascii="Arial" w:hAnsi="Arial"/>
          <w:i/>
          <w:sz w:val="20"/>
        </w:rPr>
        <w:t>v</w:t>
      </w:r>
      <w:r>
        <w:rPr>
          <w:rFonts w:ascii="Arial" w:hAnsi="Arial"/>
          <w:i/>
          <w:spacing w:val="29"/>
          <w:sz w:val="20"/>
        </w:rPr>
        <w:t> </w:t>
      </w:r>
      <w:r>
        <w:rPr>
          <w:rFonts w:ascii="Arial" w:hAnsi="Arial"/>
          <w:i/>
          <w:sz w:val="20"/>
        </w:rPr>
        <w:t>O’Callaghan [1990] 3 All E.R. 191</w:t>
      </w:r>
      <w:r>
        <w:rPr>
          <w:sz w:val="20"/>
        </w:rPr>
        <w:t>.</w:t>
      </w:r>
    </w:p>
    <w:p>
      <w:pPr>
        <w:pStyle w:val="BodyText"/>
        <w:spacing w:before="5"/>
      </w:pPr>
    </w:p>
    <w:p>
      <w:pPr>
        <w:tabs>
          <w:tab w:pos="705" w:val="left" w:leader="none"/>
        </w:tabs>
        <w:spacing w:before="1"/>
        <w:ind w:left="165" w:right="0" w:firstLine="0"/>
        <w:jc w:val="left"/>
        <w:rPr>
          <w:sz w:val="20"/>
        </w:rPr>
      </w:pPr>
      <w:bookmarkStart w:name="_bookmark626" w:id="628"/>
      <w:bookmarkEnd w:id="628"/>
      <w:r>
        <w:rPr/>
      </w:r>
      <w:hyperlink w:history="true" w:anchor="_bookmark532">
        <w:r>
          <w:rPr>
            <w:color w:val="005DA1"/>
            <w:spacing w:val="-4"/>
            <w:position w:val="5"/>
            <w:sz w:val="14"/>
            <w:u w:val="single" w:color="005DA1"/>
          </w:rPr>
          <w:t>318</w:t>
        </w:r>
      </w:hyperlink>
      <w:r>
        <w:rPr>
          <w:spacing w:val="-4"/>
          <w:position w:val="5"/>
          <w:sz w:val="14"/>
        </w:rPr>
        <w:t>.</w:t>
      </w:r>
      <w:r>
        <w:rPr>
          <w:position w:val="5"/>
          <w:sz w:val="14"/>
        </w:rPr>
        <w:tab/>
      </w:r>
      <w:r>
        <w:rPr>
          <w:sz w:val="20"/>
        </w:rPr>
        <w:t>See</w:t>
      </w:r>
      <w:r>
        <w:rPr>
          <w:spacing w:val="-1"/>
          <w:sz w:val="20"/>
        </w:rPr>
        <w:t> </w:t>
      </w:r>
      <w:r>
        <w:rPr>
          <w:sz w:val="20"/>
        </w:rPr>
        <w:t>e.g.</w:t>
      </w:r>
      <w:r>
        <w:rPr>
          <w:spacing w:val="-1"/>
          <w:sz w:val="20"/>
        </w:rPr>
        <w:t> </w:t>
      </w:r>
      <w:r>
        <w:rPr>
          <w:rFonts w:ascii="Arial"/>
          <w:i/>
          <w:sz w:val="20"/>
        </w:rPr>
        <w:t>East v Maurer [1991] 1 W.L.R. 461</w:t>
      </w:r>
      <w:r>
        <w:rPr>
          <w:sz w:val="20"/>
        </w:rPr>
        <w:t>, discussed in para.7-</w:t>
      </w:r>
      <w:r>
        <w:rPr>
          <w:spacing w:val="-4"/>
          <w:sz w:val="20"/>
        </w:rPr>
        <w:t>058.</w:t>
      </w:r>
    </w:p>
    <w:p>
      <w:pPr>
        <w:pStyle w:val="BodyText"/>
        <w:spacing w:before="4"/>
      </w:pPr>
    </w:p>
    <w:p>
      <w:pPr>
        <w:tabs>
          <w:tab w:pos="705" w:val="left" w:leader="none"/>
        </w:tabs>
        <w:spacing w:before="1"/>
        <w:ind w:left="165" w:right="0" w:firstLine="0"/>
        <w:jc w:val="left"/>
        <w:rPr>
          <w:sz w:val="20"/>
        </w:rPr>
      </w:pPr>
      <w:bookmarkStart w:name="_bookmark627" w:id="629"/>
      <w:bookmarkEnd w:id="629"/>
      <w:r>
        <w:rPr/>
      </w:r>
      <w:hyperlink w:history="true" w:anchor="_bookmark533">
        <w:r>
          <w:rPr>
            <w:color w:val="005DA1"/>
            <w:spacing w:val="-4"/>
            <w:position w:val="5"/>
            <w:sz w:val="14"/>
            <w:u w:val="single" w:color="005DA1"/>
          </w:rPr>
          <w:t>319</w:t>
        </w:r>
      </w:hyperlink>
      <w:r>
        <w:rPr>
          <w:spacing w:val="-4"/>
          <w:position w:val="5"/>
          <w:sz w:val="14"/>
        </w:rPr>
        <w:t>.</w:t>
      </w:r>
      <w:r>
        <w:rPr>
          <w:position w:val="5"/>
          <w:sz w:val="14"/>
        </w:rPr>
        <w:tab/>
      </w:r>
      <w:r>
        <w:rPr>
          <w:rFonts w:ascii="Arial" w:hAnsi="Arial"/>
          <w:i/>
          <w:sz w:val="20"/>
        </w:rPr>
        <w:t>[2013] EWHC 111 (QB), [2013] 1 Lloyd’s Rep. 526</w:t>
      </w:r>
      <w:r>
        <w:rPr>
          <w:rFonts w:ascii="Arial" w:hAnsi="Arial"/>
          <w:i/>
          <w:spacing w:val="-1"/>
          <w:sz w:val="20"/>
        </w:rPr>
        <w:t> </w:t>
      </w:r>
      <w:r>
        <w:rPr>
          <w:sz w:val="20"/>
        </w:rPr>
        <w:t>at </w:t>
      </w:r>
      <w:r>
        <w:rPr>
          <w:spacing w:val="-2"/>
          <w:sz w:val="20"/>
        </w:rPr>
        <w:t>[217].</w:t>
      </w:r>
    </w:p>
    <w:p>
      <w:pPr>
        <w:pStyle w:val="BodyText"/>
        <w:spacing w:before="8"/>
      </w:pPr>
    </w:p>
    <w:p>
      <w:pPr>
        <w:tabs>
          <w:tab w:pos="705" w:val="left" w:leader="none"/>
        </w:tabs>
        <w:spacing w:line="235" w:lineRule="auto" w:before="0"/>
        <w:ind w:left="705" w:right="168" w:hanging="541"/>
        <w:jc w:val="left"/>
        <w:rPr>
          <w:sz w:val="20"/>
        </w:rPr>
      </w:pPr>
      <w:bookmarkStart w:name="_bookmark628" w:id="630"/>
      <w:bookmarkEnd w:id="630"/>
      <w:r>
        <w:rPr/>
      </w:r>
      <w:hyperlink w:history="true" w:anchor="_bookmark534">
        <w:r>
          <w:rPr>
            <w:color w:val="005DA1"/>
            <w:spacing w:val="-4"/>
            <w:position w:val="5"/>
            <w:sz w:val="14"/>
            <w:u w:val="single" w:color="005DA1"/>
          </w:rPr>
          <w:t>320</w:t>
        </w:r>
      </w:hyperlink>
      <w:r>
        <w:rPr>
          <w:spacing w:val="-4"/>
          <w:position w:val="5"/>
          <w:sz w:val="14"/>
        </w:rPr>
        <w:t>.</w:t>
      </w:r>
      <w:r>
        <w:rPr>
          <w:position w:val="5"/>
          <w:sz w:val="14"/>
        </w:rPr>
        <w:tab/>
      </w:r>
      <w:r>
        <w:rPr>
          <w:sz w:val="20"/>
        </w:rPr>
        <w:t>For an application of the mitigation rule in a fraud case see </w:t>
      </w:r>
      <w:r>
        <w:rPr>
          <w:rFonts w:ascii="Arial"/>
          <w:i/>
          <w:sz w:val="20"/>
        </w:rPr>
        <w:t>Downs v Chappell [1997] 1 </w:t>
      </w:r>
      <w:r>
        <w:rPr>
          <w:rFonts w:ascii="Arial"/>
          <w:i/>
          <w:sz w:val="20"/>
        </w:rPr>
        <w:t>W.L.R. </w:t>
      </w:r>
      <w:r>
        <w:rPr>
          <w:rFonts w:ascii="Arial"/>
          <w:i/>
          <w:spacing w:val="-4"/>
          <w:sz w:val="20"/>
        </w:rPr>
        <w:t>426</w:t>
      </w:r>
      <w:r>
        <w:rPr>
          <w:spacing w:val="-4"/>
          <w:sz w:val="20"/>
        </w:rPr>
        <w:t>.</w:t>
      </w:r>
    </w:p>
    <w:p>
      <w:pPr>
        <w:pStyle w:val="BodyText"/>
        <w:spacing w:before="9"/>
      </w:pPr>
    </w:p>
    <w:p>
      <w:pPr>
        <w:tabs>
          <w:tab w:pos="705" w:val="left" w:leader="none"/>
        </w:tabs>
        <w:spacing w:line="235" w:lineRule="auto" w:before="1"/>
        <w:ind w:left="705" w:right="168" w:hanging="541"/>
        <w:jc w:val="left"/>
        <w:rPr>
          <w:sz w:val="20"/>
        </w:rPr>
      </w:pPr>
      <w:bookmarkStart w:name="_bookmark629" w:id="631"/>
      <w:bookmarkEnd w:id="631"/>
      <w:r>
        <w:rPr/>
      </w:r>
      <w:hyperlink w:history="true" w:anchor="_bookmark535">
        <w:r>
          <w:rPr>
            <w:color w:val="005DA1"/>
            <w:spacing w:val="-4"/>
            <w:position w:val="5"/>
            <w:sz w:val="14"/>
            <w:u w:val="single" w:color="005DA1"/>
          </w:rPr>
          <w:t>321</w:t>
        </w:r>
      </w:hyperlink>
      <w:r>
        <w:rPr>
          <w:spacing w:val="-4"/>
          <w:position w:val="5"/>
          <w:sz w:val="14"/>
        </w:rPr>
        <w:t>.</w:t>
      </w:r>
      <w:r>
        <w:rPr>
          <w:position w:val="5"/>
          <w:sz w:val="14"/>
        </w:rPr>
        <w:tab/>
      </w:r>
      <w:r>
        <w:rPr>
          <w:rFonts w:ascii="Arial"/>
          <w:i/>
          <w:sz w:val="20"/>
        </w:rPr>
        <w:t>McNally v Welltrade International Ltd [1978] I.R.L.R. 497</w:t>
      </w:r>
      <w:r>
        <w:rPr>
          <w:sz w:val="20"/>
        </w:rPr>
        <w:t>; </w:t>
      </w:r>
      <w:r>
        <w:rPr>
          <w:rFonts w:ascii="Arial"/>
          <w:i/>
          <w:sz w:val="20"/>
        </w:rPr>
        <w:t>Jones v Emerton-Court [1983] C.L.Y. </w:t>
      </w:r>
      <w:r>
        <w:rPr>
          <w:rFonts w:ascii="Arial"/>
          <w:i/>
          <w:spacing w:val="-4"/>
          <w:sz w:val="20"/>
        </w:rPr>
        <w:t>982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30" w:id="632"/>
      <w:bookmarkEnd w:id="632"/>
      <w:r>
        <w:rPr/>
      </w:r>
      <w:hyperlink w:history="true" w:anchor="_bookmark535">
        <w:r>
          <w:rPr>
            <w:color w:val="005DA1"/>
            <w:spacing w:val="-4"/>
            <w:position w:val="5"/>
            <w:sz w:val="14"/>
            <w:u w:val="single" w:color="005DA1"/>
          </w:rPr>
          <w:t>322</w:t>
        </w:r>
      </w:hyperlink>
      <w:r>
        <w:rPr>
          <w:spacing w:val="-4"/>
          <w:position w:val="5"/>
          <w:sz w:val="14"/>
        </w:rPr>
        <w:t>.</w:t>
      </w:r>
      <w:r>
        <w:rPr>
          <w:position w:val="5"/>
          <w:sz w:val="14"/>
        </w:rPr>
        <w:tab/>
      </w:r>
      <w:r>
        <w:rPr>
          <w:rFonts w:ascii="Arial"/>
          <w:i/>
          <w:sz w:val="20"/>
        </w:rPr>
        <w:t>Shelley</w:t>
      </w:r>
      <w:r>
        <w:rPr>
          <w:rFonts w:ascii="Arial"/>
          <w:i/>
          <w:spacing w:val="-1"/>
          <w:sz w:val="20"/>
        </w:rPr>
        <w:t> </w:t>
      </w:r>
      <w:r>
        <w:rPr>
          <w:rFonts w:ascii="Arial"/>
          <w:i/>
          <w:sz w:val="20"/>
        </w:rPr>
        <w:t>v Paddock [1980] Q.B. 348</w:t>
      </w:r>
      <w:r>
        <w:rPr>
          <w:sz w:val="20"/>
        </w:rPr>
        <w:t>; </w:t>
      </w:r>
      <w:r>
        <w:rPr>
          <w:rFonts w:ascii="Arial"/>
          <w:i/>
          <w:sz w:val="20"/>
        </w:rPr>
        <w:t>Archer v Brown [1985] Q.B. </w:t>
      </w:r>
      <w:r>
        <w:rPr>
          <w:rFonts w:ascii="Arial"/>
          <w:i/>
          <w:spacing w:val="-4"/>
          <w:sz w:val="20"/>
        </w:rPr>
        <w:t>401</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631" w:id="633"/>
      <w:bookmarkEnd w:id="633"/>
      <w:r>
        <w:rPr/>
      </w:r>
      <w:hyperlink w:history="true" w:anchor="_bookmark536">
        <w:r>
          <w:rPr>
            <w:color w:val="005DA1"/>
            <w:spacing w:val="-4"/>
            <w:position w:val="5"/>
            <w:sz w:val="14"/>
            <w:u w:val="single" w:color="005DA1"/>
          </w:rPr>
          <w:t>323</w:t>
        </w:r>
      </w:hyperlink>
      <w:r>
        <w:rPr>
          <w:spacing w:val="-4"/>
          <w:position w:val="5"/>
          <w:sz w:val="14"/>
        </w:rPr>
        <w:t>.</w:t>
      </w:r>
      <w:r>
        <w:rPr>
          <w:position w:val="5"/>
          <w:sz w:val="14"/>
        </w:rPr>
        <w:tab/>
      </w:r>
      <w:r>
        <w:rPr>
          <w:rFonts w:ascii="Arial"/>
          <w:i/>
          <w:sz w:val="20"/>
        </w:rPr>
        <w:t>Halifax</w:t>
      </w:r>
      <w:r>
        <w:rPr>
          <w:rFonts w:ascii="Arial"/>
          <w:i/>
          <w:spacing w:val="2"/>
          <w:sz w:val="20"/>
        </w:rPr>
        <w:t> </w:t>
      </w:r>
      <w:r>
        <w:rPr>
          <w:rFonts w:ascii="Arial"/>
          <w:i/>
          <w:sz w:val="20"/>
        </w:rPr>
        <w:t>B.S.</w:t>
      </w:r>
      <w:r>
        <w:rPr>
          <w:rFonts w:ascii="Arial"/>
          <w:i/>
          <w:spacing w:val="3"/>
          <w:sz w:val="20"/>
        </w:rPr>
        <w:t> </w:t>
      </w:r>
      <w:r>
        <w:rPr>
          <w:rFonts w:ascii="Arial"/>
          <w:i/>
          <w:sz w:val="20"/>
        </w:rPr>
        <w:t>v</w:t>
      </w:r>
      <w:r>
        <w:rPr>
          <w:rFonts w:ascii="Arial"/>
          <w:i/>
          <w:spacing w:val="3"/>
          <w:sz w:val="20"/>
        </w:rPr>
        <w:t> </w:t>
      </w:r>
      <w:r>
        <w:rPr>
          <w:rFonts w:ascii="Arial"/>
          <w:i/>
          <w:sz w:val="20"/>
        </w:rPr>
        <w:t>Thomas</w:t>
      </w:r>
      <w:r>
        <w:rPr>
          <w:rFonts w:ascii="Arial"/>
          <w:i/>
          <w:spacing w:val="3"/>
          <w:sz w:val="20"/>
        </w:rPr>
        <w:t> </w:t>
      </w:r>
      <w:r>
        <w:rPr>
          <w:rFonts w:ascii="Arial"/>
          <w:i/>
          <w:sz w:val="20"/>
        </w:rPr>
        <w:t>[1996]</w:t>
      </w:r>
      <w:r>
        <w:rPr>
          <w:rFonts w:ascii="Arial"/>
          <w:i/>
          <w:spacing w:val="3"/>
          <w:sz w:val="20"/>
        </w:rPr>
        <w:t> </w:t>
      </w:r>
      <w:r>
        <w:rPr>
          <w:rFonts w:ascii="Arial"/>
          <w:i/>
          <w:sz w:val="20"/>
        </w:rPr>
        <w:t>Ch.</w:t>
      </w:r>
      <w:r>
        <w:rPr>
          <w:rFonts w:ascii="Arial"/>
          <w:i/>
          <w:spacing w:val="3"/>
          <w:sz w:val="20"/>
        </w:rPr>
        <w:t> </w:t>
      </w:r>
      <w:r>
        <w:rPr>
          <w:rFonts w:ascii="Arial"/>
          <w:i/>
          <w:sz w:val="20"/>
        </w:rPr>
        <w:t>217</w:t>
      </w:r>
      <w:r>
        <w:rPr>
          <w:sz w:val="20"/>
        </w:rPr>
        <w:t>;</w:t>
      </w:r>
      <w:r>
        <w:rPr>
          <w:spacing w:val="3"/>
          <w:sz w:val="20"/>
        </w:rPr>
        <w:t> </w:t>
      </w:r>
      <w:r>
        <w:rPr>
          <w:sz w:val="20"/>
        </w:rPr>
        <w:t>see</w:t>
      </w:r>
      <w:r>
        <w:rPr>
          <w:spacing w:val="3"/>
          <w:sz w:val="20"/>
        </w:rPr>
        <w:t> </w:t>
      </w:r>
      <w:r>
        <w:rPr>
          <w:sz w:val="20"/>
        </w:rPr>
        <w:t>also</w:t>
      </w:r>
      <w:r>
        <w:rPr>
          <w:spacing w:val="3"/>
          <w:sz w:val="20"/>
        </w:rPr>
        <w:t> </w:t>
      </w:r>
      <w:r>
        <w:rPr>
          <w:rFonts w:ascii="Arial"/>
          <w:i/>
          <w:sz w:val="20"/>
        </w:rPr>
        <w:t>Murad</w:t>
      </w:r>
      <w:r>
        <w:rPr>
          <w:rFonts w:ascii="Arial"/>
          <w:i/>
          <w:spacing w:val="3"/>
          <w:sz w:val="20"/>
        </w:rPr>
        <w:t> </w:t>
      </w:r>
      <w:r>
        <w:rPr>
          <w:rFonts w:ascii="Arial"/>
          <w:i/>
          <w:sz w:val="20"/>
        </w:rPr>
        <w:t>v</w:t>
      </w:r>
      <w:r>
        <w:rPr>
          <w:rFonts w:ascii="Arial"/>
          <w:i/>
          <w:spacing w:val="3"/>
          <w:sz w:val="20"/>
        </w:rPr>
        <w:t> </w:t>
      </w:r>
      <w:r>
        <w:rPr>
          <w:rFonts w:ascii="Arial"/>
          <w:i/>
          <w:sz w:val="20"/>
        </w:rPr>
        <w:t>Al-Saraj</w:t>
      </w:r>
      <w:r>
        <w:rPr>
          <w:rFonts w:ascii="Arial"/>
          <w:i/>
          <w:spacing w:val="3"/>
          <w:sz w:val="20"/>
        </w:rPr>
        <w:t> </w:t>
      </w:r>
      <w:r>
        <w:rPr>
          <w:rFonts w:ascii="Arial"/>
          <w:i/>
          <w:sz w:val="20"/>
        </w:rPr>
        <w:t>[2005]</w:t>
      </w:r>
      <w:r>
        <w:rPr>
          <w:rFonts w:ascii="Arial"/>
          <w:i/>
          <w:spacing w:val="3"/>
          <w:sz w:val="20"/>
        </w:rPr>
        <w:t> </w:t>
      </w:r>
      <w:r>
        <w:rPr>
          <w:rFonts w:ascii="Arial"/>
          <w:i/>
          <w:sz w:val="20"/>
        </w:rPr>
        <w:t>EWCA</w:t>
      </w:r>
      <w:r>
        <w:rPr>
          <w:rFonts w:ascii="Arial"/>
          <w:i/>
          <w:spacing w:val="3"/>
          <w:sz w:val="20"/>
        </w:rPr>
        <w:t> </w:t>
      </w:r>
      <w:r>
        <w:rPr>
          <w:rFonts w:ascii="Arial"/>
          <w:i/>
          <w:sz w:val="20"/>
        </w:rPr>
        <w:t>Civ</w:t>
      </w:r>
      <w:r>
        <w:rPr>
          <w:rFonts w:ascii="Arial"/>
          <w:i/>
          <w:spacing w:val="3"/>
          <w:sz w:val="20"/>
        </w:rPr>
        <w:t> </w:t>
      </w:r>
      <w:r>
        <w:rPr>
          <w:rFonts w:ascii="Arial"/>
          <w:i/>
          <w:sz w:val="20"/>
        </w:rPr>
        <w:t>959,</w:t>
      </w:r>
      <w:r>
        <w:rPr>
          <w:rFonts w:ascii="Arial"/>
          <w:i/>
          <w:spacing w:val="3"/>
          <w:sz w:val="20"/>
        </w:rPr>
        <w:t> </w:t>
      </w:r>
      <w:r>
        <w:rPr>
          <w:rFonts w:ascii="Arial"/>
          <w:i/>
          <w:spacing w:val="-2"/>
          <w:sz w:val="20"/>
        </w:rPr>
        <w:t>[2005]</w:t>
      </w:r>
    </w:p>
    <w:p>
      <w:pPr>
        <w:spacing w:line="235" w:lineRule="auto" w:before="1"/>
        <w:ind w:left="705" w:right="0" w:firstLine="0"/>
        <w:jc w:val="left"/>
        <w:rPr>
          <w:sz w:val="20"/>
        </w:rPr>
      </w:pPr>
      <w:r>
        <w:rPr>
          <w:rFonts w:ascii="Arial" w:hAnsi="Arial"/>
          <w:i/>
          <w:sz w:val="20"/>
        </w:rPr>
        <w:t>W.T.L.R.</w:t>
      </w:r>
      <w:r>
        <w:rPr>
          <w:rFonts w:ascii="Arial" w:hAnsi="Arial"/>
          <w:i/>
          <w:spacing w:val="27"/>
          <w:sz w:val="20"/>
        </w:rPr>
        <w:t> </w:t>
      </w:r>
      <w:r>
        <w:rPr>
          <w:rFonts w:ascii="Arial" w:hAnsi="Arial"/>
          <w:i/>
          <w:sz w:val="20"/>
        </w:rPr>
        <w:t>1573</w:t>
      </w:r>
      <w:r>
        <w:rPr>
          <w:sz w:val="20"/>
        </w:rPr>
        <w:t>;</w:t>
      </w:r>
      <w:r>
        <w:rPr>
          <w:spacing w:val="27"/>
          <w:sz w:val="20"/>
        </w:rPr>
        <w:t> </w:t>
      </w:r>
      <w:r>
        <w:rPr>
          <w:rFonts w:ascii="Arial" w:hAnsi="Arial"/>
          <w:i/>
          <w:sz w:val="20"/>
        </w:rPr>
        <w:t>Renault</w:t>
      </w:r>
      <w:r>
        <w:rPr>
          <w:rFonts w:ascii="Arial" w:hAnsi="Arial"/>
          <w:i/>
          <w:spacing w:val="27"/>
          <w:sz w:val="20"/>
        </w:rPr>
        <w:t> </w:t>
      </w:r>
      <w:r>
        <w:rPr>
          <w:rFonts w:ascii="Arial" w:hAnsi="Arial"/>
          <w:i/>
          <w:sz w:val="20"/>
        </w:rPr>
        <w:t>UK</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Fleetpro</w:t>
      </w:r>
      <w:r>
        <w:rPr>
          <w:rFonts w:ascii="Arial" w:hAnsi="Arial"/>
          <w:i/>
          <w:spacing w:val="27"/>
          <w:sz w:val="20"/>
        </w:rPr>
        <w:t> </w:t>
      </w:r>
      <w:r>
        <w:rPr>
          <w:rFonts w:ascii="Arial" w:hAnsi="Arial"/>
          <w:i/>
          <w:sz w:val="20"/>
        </w:rPr>
        <w:t>Techincal</w:t>
      </w:r>
      <w:r>
        <w:rPr>
          <w:rFonts w:ascii="Arial" w:hAnsi="Arial"/>
          <w:i/>
          <w:spacing w:val="27"/>
          <w:sz w:val="20"/>
        </w:rPr>
        <w:t> </w:t>
      </w:r>
      <w:r>
        <w:rPr>
          <w:rFonts w:ascii="Arial" w:hAnsi="Arial"/>
          <w:i/>
          <w:sz w:val="20"/>
        </w:rPr>
        <w:t>Services</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[2007]</w:t>
      </w:r>
      <w:r>
        <w:rPr>
          <w:rFonts w:ascii="Arial" w:hAnsi="Arial"/>
          <w:i/>
          <w:spacing w:val="27"/>
          <w:sz w:val="20"/>
        </w:rPr>
        <w:t> </w:t>
      </w:r>
      <w:r>
        <w:rPr>
          <w:rFonts w:ascii="Arial" w:hAnsi="Arial"/>
          <w:i/>
          <w:sz w:val="20"/>
        </w:rPr>
        <w:t>EWHC</w:t>
      </w:r>
      <w:r>
        <w:rPr>
          <w:rFonts w:ascii="Arial" w:hAnsi="Arial"/>
          <w:i/>
          <w:spacing w:val="27"/>
          <w:sz w:val="20"/>
        </w:rPr>
        <w:t> </w:t>
      </w:r>
      <w:r>
        <w:rPr>
          <w:rFonts w:ascii="Arial" w:hAnsi="Arial"/>
          <w:i/>
          <w:sz w:val="20"/>
        </w:rPr>
        <w:t>2541</w:t>
      </w:r>
      <w:r>
        <w:rPr>
          <w:rFonts w:ascii="Arial" w:hAnsi="Arial"/>
          <w:i/>
          <w:spacing w:val="27"/>
          <w:sz w:val="20"/>
        </w:rPr>
        <w:t> </w:t>
      </w:r>
      <w:r>
        <w:rPr>
          <w:rFonts w:ascii="Arial" w:hAnsi="Arial"/>
          <w:i/>
          <w:sz w:val="20"/>
        </w:rPr>
        <w:t>(QB), [2007] All E.R. (D) 208 (Nov) </w:t>
      </w:r>
      <w:r>
        <w:rPr>
          <w:sz w:val="20"/>
        </w:rPr>
        <w:t>at [153]–[158]; and below, para.29-152.</w:t>
      </w:r>
    </w:p>
    <w:p>
      <w:pPr>
        <w:pStyle w:val="BodyText"/>
        <w:spacing w:before="6"/>
      </w:pPr>
    </w:p>
    <w:p>
      <w:pPr>
        <w:tabs>
          <w:tab w:pos="705" w:val="left" w:leader="none"/>
        </w:tabs>
        <w:spacing w:before="0"/>
        <w:ind w:left="165" w:right="0" w:firstLine="0"/>
        <w:jc w:val="left"/>
        <w:rPr>
          <w:sz w:val="20"/>
        </w:rPr>
      </w:pPr>
      <w:bookmarkStart w:name="_bookmark632" w:id="634"/>
      <w:bookmarkEnd w:id="634"/>
      <w:r>
        <w:rPr/>
      </w:r>
      <w:hyperlink w:history="true" w:anchor="_bookmark536">
        <w:r>
          <w:rPr>
            <w:color w:val="005DA1"/>
            <w:spacing w:val="-4"/>
            <w:position w:val="5"/>
            <w:sz w:val="14"/>
            <w:u w:val="single" w:color="005DA1"/>
          </w:rPr>
          <w:t>324</w:t>
        </w:r>
      </w:hyperlink>
      <w:r>
        <w:rPr>
          <w:spacing w:val="-4"/>
          <w:position w:val="5"/>
          <w:sz w:val="14"/>
        </w:rPr>
        <w:t>.</w:t>
      </w:r>
      <w:r>
        <w:rPr>
          <w:position w:val="5"/>
          <w:sz w:val="14"/>
        </w:rPr>
        <w:tab/>
      </w:r>
      <w:r>
        <w:rPr>
          <w:rFonts w:ascii="Arial"/>
          <w:i/>
          <w:sz w:val="20"/>
        </w:rPr>
        <w:t>[2001]</w:t>
      </w:r>
      <w:r>
        <w:rPr>
          <w:rFonts w:ascii="Arial"/>
          <w:i/>
          <w:spacing w:val="-1"/>
          <w:sz w:val="20"/>
        </w:rPr>
        <w:t> </w:t>
      </w:r>
      <w:r>
        <w:rPr>
          <w:rFonts w:ascii="Arial"/>
          <w:i/>
          <w:sz w:val="20"/>
        </w:rPr>
        <w:t>A.C. 268</w:t>
      </w:r>
      <w:r>
        <w:rPr>
          <w:sz w:val="20"/>
        </w:rPr>
        <w:t>; see below, paras 26-055 et </w:t>
      </w:r>
      <w:r>
        <w:rPr>
          <w:spacing w:val="-4"/>
          <w:sz w:val="20"/>
        </w:rPr>
        <w:t>seq.</w:t>
      </w:r>
    </w:p>
    <w:p>
      <w:pPr>
        <w:spacing w:after="0"/>
        <w:jc w:val="left"/>
        <w:rPr>
          <w:sz w:val="20"/>
        </w:rPr>
        <w:sectPr>
          <w:pgSz w:w="11900" w:h="16840"/>
          <w:pgMar w:header="971" w:footer="0" w:top="1160" w:bottom="280" w:left="1275" w:right="1275"/>
        </w:sectPr>
      </w:pPr>
    </w:p>
    <w:p>
      <w:pPr>
        <w:pStyle w:val="BodyText"/>
        <w:spacing w:before="81"/>
      </w:pPr>
    </w:p>
    <w:p>
      <w:pPr>
        <w:pStyle w:val="BodyText"/>
        <w:tabs>
          <w:tab w:pos="705" w:val="left" w:leader="none"/>
        </w:tabs>
        <w:ind w:left="165"/>
      </w:pPr>
      <w:hyperlink w:history="true" w:anchor="_bookmark537">
        <w:r>
          <w:rPr>
            <w:color w:val="005DA1"/>
            <w:spacing w:val="-4"/>
            <w:position w:val="5"/>
            <w:sz w:val="14"/>
            <w:u w:val="single" w:color="005DA1"/>
          </w:rPr>
          <w:t>325</w:t>
        </w:r>
      </w:hyperlink>
      <w:r>
        <w:rPr>
          <w:spacing w:val="-4"/>
          <w:position w:val="5"/>
          <w:sz w:val="14"/>
        </w:rPr>
        <w:t>.</w:t>
      </w:r>
      <w:r>
        <w:rPr>
          <w:position w:val="5"/>
          <w:sz w:val="14"/>
        </w:rPr>
        <w:tab/>
      </w:r>
      <w:r>
        <w:rPr/>
        <w:t>See</w:t>
      </w:r>
      <w:r>
        <w:rPr>
          <w:spacing w:val="-2"/>
        </w:rPr>
        <w:t> </w:t>
      </w:r>
      <w:r>
        <w:rPr/>
        <w:t>above, para.7-</w:t>
      </w:r>
      <w:r>
        <w:rPr>
          <w:spacing w:val="-4"/>
        </w:rPr>
        <w:t>055.</w:t>
      </w:r>
    </w:p>
    <w:p>
      <w:pPr>
        <w:pStyle w:val="BodyText"/>
        <w:spacing w:before="9"/>
      </w:pPr>
    </w:p>
    <w:p>
      <w:pPr>
        <w:pStyle w:val="BodyText"/>
        <w:spacing w:line="235" w:lineRule="auto"/>
        <w:ind w:left="705" w:right="167" w:hanging="541"/>
        <w:jc w:val="both"/>
      </w:pPr>
      <w:bookmarkStart w:name="_bookmark633" w:id="635"/>
      <w:bookmarkEnd w:id="635"/>
      <w:r>
        <w:rPr/>
      </w:r>
      <w:hyperlink w:history="true" w:anchor="_bookmark538">
        <w:r>
          <w:rPr>
            <w:color w:val="005DA1"/>
            <w:position w:val="5"/>
            <w:sz w:val="14"/>
            <w:u w:val="single" w:color="005DA1"/>
          </w:rPr>
          <w:t>326</w:t>
        </w:r>
      </w:hyperlink>
      <w:r>
        <w:rPr>
          <w:position w:val="5"/>
          <w:sz w:val="14"/>
        </w:rPr>
        <w:t>.</w:t>
      </w:r>
      <w:r>
        <w:rPr>
          <w:spacing w:val="40"/>
          <w:position w:val="5"/>
          <w:sz w:val="14"/>
        </w:rPr>
        <w:t>  </w:t>
      </w:r>
      <w:r>
        <w:rPr>
          <w:rFonts w:ascii="Arial" w:hAnsi="Arial"/>
          <w:i/>
        </w:rPr>
        <w:t>[1996]</w:t>
      </w:r>
      <w:r>
        <w:rPr>
          <w:rFonts w:ascii="Arial" w:hAnsi="Arial"/>
          <w:i/>
          <w:spacing w:val="-2"/>
        </w:rPr>
        <w:t> </w:t>
      </w:r>
      <w:r>
        <w:rPr>
          <w:rFonts w:ascii="Arial" w:hAnsi="Arial"/>
          <w:i/>
        </w:rPr>
        <w:t>Ch.</w:t>
      </w:r>
      <w:r>
        <w:rPr>
          <w:rFonts w:ascii="Arial" w:hAnsi="Arial"/>
          <w:i/>
          <w:spacing w:val="-2"/>
        </w:rPr>
        <w:t> </w:t>
      </w:r>
      <w:r>
        <w:rPr>
          <w:rFonts w:ascii="Arial" w:hAnsi="Arial"/>
          <w:i/>
        </w:rPr>
        <w:t>217</w:t>
      </w:r>
      <w:r>
        <w:rPr/>
        <w:t>.</w:t>
      </w:r>
      <w:r>
        <w:rPr>
          <w:spacing w:val="-2"/>
        </w:rPr>
        <w:t> </w:t>
      </w:r>
      <w:r>
        <w:rPr/>
        <w:t>The</w:t>
      </w:r>
      <w:r>
        <w:rPr>
          <w:spacing w:val="-2"/>
        </w:rPr>
        <w:t> </w:t>
      </w:r>
      <w:r>
        <w:rPr/>
        <w:t>Law</w:t>
      </w:r>
      <w:r>
        <w:rPr>
          <w:spacing w:val="-2"/>
        </w:rPr>
        <w:t> </w:t>
      </w:r>
      <w:r>
        <w:rPr/>
        <w:t>Commission</w:t>
      </w:r>
      <w:r>
        <w:rPr>
          <w:spacing w:val="-2"/>
        </w:rPr>
        <w:t> </w:t>
      </w:r>
      <w:r>
        <w:rPr/>
        <w:t>had</w:t>
      </w:r>
      <w:r>
        <w:rPr>
          <w:spacing w:val="-2"/>
        </w:rPr>
        <w:t> </w:t>
      </w:r>
      <w:r>
        <w:rPr/>
        <w:t>recommended</w:t>
      </w:r>
      <w:r>
        <w:rPr>
          <w:spacing w:val="-2"/>
        </w:rPr>
        <w:t> </w:t>
      </w:r>
      <w:r>
        <w:rPr/>
        <w:t>that</w:t>
      </w:r>
      <w:r>
        <w:rPr>
          <w:spacing w:val="-2"/>
        </w:rPr>
        <w:t> </w:t>
      </w:r>
      <w:r>
        <w:rPr/>
        <w:t>restitutionary</w:t>
      </w:r>
      <w:r>
        <w:rPr>
          <w:spacing w:val="-2"/>
        </w:rPr>
        <w:t> </w:t>
      </w:r>
      <w:r>
        <w:rPr/>
        <w:t>damages</w:t>
      </w:r>
      <w:r>
        <w:rPr>
          <w:spacing w:val="-2"/>
        </w:rPr>
        <w:t> </w:t>
      </w:r>
      <w:r>
        <w:rPr/>
        <w:t>should</w:t>
      </w:r>
      <w:r>
        <w:rPr>
          <w:spacing w:val="-2"/>
        </w:rPr>
        <w:t> </w:t>
      </w:r>
      <w:r>
        <w:rPr/>
        <w:t>be available if the defendant has committed a tort and his conduct shows a deliberate and outrageous</w:t>
      </w:r>
      <w:r>
        <w:rPr>
          <w:spacing w:val="-3"/>
        </w:rPr>
        <w:t> </w:t>
      </w:r>
      <w:r>
        <w:rPr/>
        <w:t>disregard</w:t>
      </w:r>
      <w:r>
        <w:rPr>
          <w:spacing w:val="-3"/>
        </w:rPr>
        <w:t> </w:t>
      </w:r>
      <w:r>
        <w:rPr/>
        <w:t>for</w:t>
      </w:r>
      <w:r>
        <w:rPr>
          <w:spacing w:val="-3"/>
        </w:rPr>
        <w:t> </w:t>
      </w:r>
      <w:r>
        <w:rPr/>
        <w:t>the</w:t>
      </w:r>
      <w:r>
        <w:rPr>
          <w:spacing w:val="-3"/>
        </w:rPr>
        <w:t> </w:t>
      </w:r>
      <w:r>
        <w:rPr/>
        <w:t>claimant’s</w:t>
      </w:r>
      <w:r>
        <w:rPr>
          <w:spacing w:val="-3"/>
        </w:rPr>
        <w:t> </w:t>
      </w:r>
      <w:r>
        <w:rPr/>
        <w:t>rights,</w:t>
      </w:r>
      <w:r>
        <w:rPr>
          <w:spacing w:val="-3"/>
        </w:rPr>
        <w:t> </w:t>
      </w:r>
      <w:r>
        <w:rPr/>
        <w:t>but</w:t>
      </w:r>
      <w:r>
        <w:rPr>
          <w:spacing w:val="-3"/>
        </w:rPr>
        <w:t> </w:t>
      </w:r>
      <w:r>
        <w:rPr/>
        <w:t>that</w:t>
      </w:r>
      <w:r>
        <w:rPr>
          <w:spacing w:val="-3"/>
        </w:rPr>
        <w:t> </w:t>
      </w:r>
      <w:r>
        <w:rPr/>
        <w:t>was</w:t>
      </w:r>
      <w:r>
        <w:rPr>
          <w:spacing w:val="-3"/>
        </w:rPr>
        <w:t> </w:t>
      </w:r>
      <w:r>
        <w:rPr/>
        <w:t>thought</w:t>
      </w:r>
      <w:r>
        <w:rPr>
          <w:spacing w:val="-3"/>
        </w:rPr>
        <w:t> </w:t>
      </w:r>
      <w:r>
        <w:rPr/>
        <w:t>to</w:t>
      </w:r>
      <w:r>
        <w:rPr>
          <w:spacing w:val="-3"/>
        </w:rPr>
        <w:t> </w:t>
      </w:r>
      <w:r>
        <w:rPr/>
        <w:t>require</w:t>
      </w:r>
      <w:r>
        <w:rPr>
          <w:spacing w:val="-3"/>
        </w:rPr>
        <w:t> </w:t>
      </w:r>
      <w:r>
        <w:rPr/>
        <w:t>legislation:</w:t>
      </w:r>
      <w:r>
        <w:rPr>
          <w:spacing w:val="-3"/>
        </w:rPr>
        <w:t> </w:t>
      </w:r>
      <w:r>
        <w:rPr/>
        <w:t>Report on Aggravated, Exemplary and Restitutionary Damages (No.247, 1997), para.3.51.</w:t>
      </w:r>
    </w:p>
    <w:p>
      <w:pPr>
        <w:pStyle w:val="BodyText"/>
        <w:spacing w:before="8"/>
      </w:pPr>
    </w:p>
    <w:p>
      <w:pPr>
        <w:tabs>
          <w:tab w:pos="705" w:val="left" w:leader="none"/>
        </w:tabs>
        <w:spacing w:line="235" w:lineRule="auto" w:before="0"/>
        <w:ind w:left="705" w:right="168" w:hanging="541"/>
        <w:jc w:val="left"/>
        <w:rPr>
          <w:sz w:val="20"/>
        </w:rPr>
      </w:pPr>
      <w:bookmarkStart w:name="_bookmark634" w:id="636"/>
      <w:bookmarkEnd w:id="636"/>
      <w:r>
        <w:rPr/>
      </w:r>
      <w:hyperlink w:history="true" w:anchor="_bookmark539">
        <w:r>
          <w:rPr>
            <w:color w:val="005DA1"/>
            <w:spacing w:val="-4"/>
            <w:position w:val="5"/>
            <w:sz w:val="14"/>
            <w:u w:val="single" w:color="005DA1"/>
          </w:rPr>
          <w:t>327</w:t>
        </w:r>
      </w:hyperlink>
      <w:r>
        <w:rPr>
          <w:spacing w:val="-4"/>
          <w:position w:val="5"/>
          <w:sz w:val="14"/>
        </w:rPr>
        <w:t>.</w:t>
      </w:r>
      <w:r>
        <w:rPr>
          <w:position w:val="5"/>
          <w:sz w:val="14"/>
        </w:rPr>
        <w:tab/>
      </w:r>
      <w:r>
        <w:rPr>
          <w:sz w:val="20"/>
        </w:rPr>
        <w:t>See </w:t>
      </w:r>
      <w:r>
        <w:rPr>
          <w:rFonts w:ascii="Arial" w:hAnsi="Arial"/>
          <w:i/>
          <w:sz w:val="20"/>
        </w:rPr>
        <w:t>Mafo v Adams [1970] 1 Q.B. 548</w:t>
      </w:r>
      <w:r>
        <w:rPr>
          <w:sz w:val="20"/>
        </w:rPr>
        <w:t>; </w:t>
      </w:r>
      <w:r>
        <w:rPr>
          <w:rFonts w:ascii="Arial" w:hAnsi="Arial"/>
          <w:i/>
          <w:sz w:val="20"/>
        </w:rPr>
        <w:t>Cassell &amp; Co Ltd v Broome [1972] A.C. 1027 </w:t>
      </w:r>
      <w:r>
        <w:rPr>
          <w:sz w:val="20"/>
        </w:rPr>
        <w:t>and </w:t>
      </w:r>
      <w:r>
        <w:rPr>
          <w:rFonts w:ascii="Arial" w:hAnsi="Arial"/>
          <w:i/>
          <w:sz w:val="20"/>
        </w:rPr>
        <w:t>Archer v Brown [1985] 1 Q.B. 401, 418–421</w:t>
      </w:r>
      <w:r>
        <w:rPr>
          <w:sz w:val="20"/>
        </w:rPr>
        <w:t>.</w:t>
      </w:r>
    </w:p>
    <w:p>
      <w:pPr>
        <w:pStyle w:val="BodyText"/>
        <w:spacing w:before="6"/>
      </w:pPr>
    </w:p>
    <w:p>
      <w:pPr>
        <w:tabs>
          <w:tab w:pos="705" w:val="left" w:leader="none"/>
        </w:tabs>
        <w:spacing w:before="0"/>
        <w:ind w:left="165" w:right="0" w:firstLine="0"/>
        <w:jc w:val="left"/>
        <w:rPr>
          <w:sz w:val="20"/>
        </w:rPr>
      </w:pPr>
      <w:bookmarkStart w:name="_bookmark635" w:id="637"/>
      <w:bookmarkEnd w:id="637"/>
      <w:r>
        <w:rPr/>
      </w:r>
      <w:hyperlink w:history="true" w:anchor="_bookmark540">
        <w:r>
          <w:rPr>
            <w:color w:val="005DA1"/>
            <w:spacing w:val="-4"/>
            <w:position w:val="5"/>
            <w:sz w:val="14"/>
            <w:u w:val="single" w:color="005DA1"/>
          </w:rPr>
          <w:t>328</w:t>
        </w:r>
      </w:hyperlink>
      <w:r>
        <w:rPr>
          <w:spacing w:val="-4"/>
          <w:position w:val="5"/>
          <w:sz w:val="14"/>
        </w:rPr>
        <w:t>.</w:t>
      </w:r>
      <w:r>
        <w:rPr>
          <w:position w:val="5"/>
          <w:sz w:val="14"/>
        </w:rPr>
        <w:tab/>
      </w:r>
      <w:r>
        <w:rPr>
          <w:rFonts w:ascii="Arial"/>
          <w:i/>
          <w:sz w:val="20"/>
        </w:rPr>
        <w:t>[1964] A.C. </w:t>
      </w:r>
      <w:r>
        <w:rPr>
          <w:rFonts w:ascii="Arial"/>
          <w:i/>
          <w:spacing w:val="-4"/>
          <w:sz w:val="20"/>
        </w:rPr>
        <w:t>1129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36" w:id="638"/>
      <w:bookmarkEnd w:id="638"/>
      <w:r>
        <w:rPr/>
      </w:r>
      <w:hyperlink w:history="true" w:anchor="_bookmark541">
        <w:r>
          <w:rPr>
            <w:color w:val="005DA1"/>
            <w:spacing w:val="-4"/>
            <w:position w:val="5"/>
            <w:sz w:val="14"/>
            <w:u w:val="single" w:color="005DA1"/>
          </w:rPr>
          <w:t>329</w:t>
        </w:r>
      </w:hyperlink>
      <w:r>
        <w:rPr>
          <w:spacing w:val="-4"/>
          <w:position w:val="5"/>
          <w:sz w:val="14"/>
        </w:rPr>
        <w:t>.</w:t>
      </w:r>
      <w:r>
        <w:rPr>
          <w:position w:val="5"/>
          <w:sz w:val="14"/>
        </w:rPr>
        <w:tab/>
      </w:r>
      <w:r>
        <w:rPr>
          <w:rFonts w:ascii="Arial" w:hAnsi="Arial"/>
          <w:i/>
          <w:sz w:val="20"/>
        </w:rPr>
        <w:t>Rookes v Barnard [1964] A.C. 1129, </w:t>
      </w:r>
      <w:r>
        <w:rPr>
          <w:rFonts w:ascii="Arial" w:hAnsi="Arial"/>
          <w:i/>
          <w:spacing w:val="-2"/>
          <w:sz w:val="20"/>
        </w:rPr>
        <w:t>1225–1226</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637" w:id="639"/>
      <w:bookmarkEnd w:id="639"/>
      <w:r>
        <w:rPr/>
      </w:r>
      <w:hyperlink w:history="true" w:anchor="_bookmark542">
        <w:r>
          <w:rPr>
            <w:color w:val="005DA1"/>
            <w:spacing w:val="-4"/>
            <w:position w:val="5"/>
            <w:sz w:val="14"/>
            <w:u w:val="single" w:color="005DA1"/>
          </w:rPr>
          <w:t>330</w:t>
        </w:r>
      </w:hyperlink>
      <w:r>
        <w:rPr>
          <w:spacing w:val="-4"/>
          <w:position w:val="5"/>
          <w:sz w:val="14"/>
        </w:rPr>
        <w:t>.</w:t>
      </w:r>
      <w:r>
        <w:rPr>
          <w:position w:val="5"/>
          <w:sz w:val="14"/>
        </w:rPr>
        <w:tab/>
      </w:r>
      <w:r>
        <w:rPr>
          <w:rFonts w:ascii="Arial"/>
          <w:i/>
          <w:sz w:val="20"/>
        </w:rPr>
        <w:t>Cassell</w:t>
      </w:r>
      <w:r>
        <w:rPr>
          <w:rFonts w:ascii="Arial"/>
          <w:i/>
          <w:spacing w:val="-1"/>
          <w:sz w:val="20"/>
        </w:rPr>
        <w:t> </w:t>
      </w:r>
      <w:r>
        <w:rPr>
          <w:rFonts w:ascii="Arial"/>
          <w:i/>
          <w:sz w:val="20"/>
        </w:rPr>
        <w:t>Co Ltd v Broome [1972] A.C. 1072</w:t>
      </w:r>
      <w:r>
        <w:rPr>
          <w:sz w:val="20"/>
        </w:rPr>
        <w:t>, </w:t>
      </w:r>
      <w:r>
        <w:rPr>
          <w:rFonts w:ascii="Arial"/>
          <w:i/>
          <w:sz w:val="20"/>
        </w:rPr>
        <w:t>Mafo v Adams [1970] 1 Q.B. 548</w:t>
      </w:r>
      <w:r>
        <w:rPr>
          <w:rFonts w:ascii="Arial"/>
          <w:i/>
          <w:spacing w:val="-1"/>
          <w:sz w:val="20"/>
        </w:rPr>
        <w:t> </w:t>
      </w:r>
      <w:r>
        <w:rPr>
          <w:sz w:val="20"/>
        </w:rPr>
        <w:t>was </w:t>
      </w:r>
      <w:r>
        <w:rPr>
          <w:spacing w:val="-2"/>
          <w:sz w:val="20"/>
        </w:rPr>
        <w:t>criticised.</w:t>
      </w:r>
    </w:p>
    <w:p>
      <w:pPr>
        <w:pStyle w:val="BodyText"/>
        <w:spacing w:before="5"/>
      </w:pPr>
    </w:p>
    <w:p>
      <w:pPr>
        <w:tabs>
          <w:tab w:pos="705" w:val="left" w:leader="none"/>
        </w:tabs>
        <w:spacing w:before="0"/>
        <w:ind w:left="165" w:right="0" w:firstLine="0"/>
        <w:jc w:val="left"/>
        <w:rPr>
          <w:sz w:val="20"/>
        </w:rPr>
      </w:pPr>
      <w:bookmarkStart w:name="_bookmark638" w:id="640"/>
      <w:bookmarkEnd w:id="640"/>
      <w:r>
        <w:rPr/>
      </w:r>
      <w:hyperlink w:history="true" w:anchor="_bookmark543">
        <w:r>
          <w:rPr>
            <w:color w:val="005DA1"/>
            <w:spacing w:val="-4"/>
            <w:position w:val="5"/>
            <w:sz w:val="14"/>
            <w:u w:val="single" w:color="005DA1"/>
          </w:rPr>
          <w:t>331</w:t>
        </w:r>
      </w:hyperlink>
      <w:r>
        <w:rPr>
          <w:spacing w:val="-4"/>
          <w:position w:val="5"/>
          <w:sz w:val="14"/>
        </w:rPr>
        <w:t>.</w:t>
      </w:r>
      <w:r>
        <w:rPr>
          <w:position w:val="5"/>
          <w:sz w:val="14"/>
        </w:rPr>
        <w:tab/>
      </w:r>
      <w:r>
        <w:rPr>
          <w:rFonts w:ascii="Arial"/>
          <w:i/>
          <w:sz w:val="20"/>
        </w:rPr>
        <w:t>[1993]</w:t>
      </w:r>
      <w:r>
        <w:rPr>
          <w:rFonts w:ascii="Arial"/>
          <w:i/>
          <w:spacing w:val="-2"/>
          <w:sz w:val="20"/>
        </w:rPr>
        <w:t> </w:t>
      </w:r>
      <w:r>
        <w:rPr>
          <w:rFonts w:ascii="Arial"/>
          <w:i/>
          <w:sz w:val="20"/>
        </w:rPr>
        <w:t>Q.B. </w:t>
      </w:r>
      <w:r>
        <w:rPr>
          <w:rFonts w:ascii="Arial"/>
          <w:i/>
          <w:spacing w:val="-4"/>
          <w:sz w:val="20"/>
        </w:rPr>
        <w:t>507</w:t>
      </w:r>
      <w:r>
        <w:rPr>
          <w:spacing w:val="-4"/>
          <w:sz w:val="20"/>
        </w:rPr>
        <w:t>.</w:t>
      </w:r>
    </w:p>
    <w:p>
      <w:pPr>
        <w:pStyle w:val="BodyText"/>
        <w:spacing w:before="8"/>
      </w:pPr>
    </w:p>
    <w:p>
      <w:pPr>
        <w:pStyle w:val="BodyText"/>
        <w:spacing w:line="235" w:lineRule="auto" w:before="1"/>
        <w:ind w:left="705" w:right="167" w:hanging="541"/>
        <w:jc w:val="both"/>
      </w:pPr>
      <w:bookmarkStart w:name="_bookmark639" w:id="641"/>
      <w:bookmarkEnd w:id="641"/>
      <w:r>
        <w:rPr/>
      </w:r>
      <w:hyperlink w:history="true" w:anchor="_bookmark544">
        <w:r>
          <w:rPr>
            <w:color w:val="005DA1"/>
            <w:position w:val="5"/>
            <w:sz w:val="14"/>
            <w:u w:val="single" w:color="005DA1"/>
          </w:rPr>
          <w:t>332</w:t>
        </w:r>
      </w:hyperlink>
      <w:r>
        <w:rPr>
          <w:position w:val="5"/>
          <w:sz w:val="14"/>
        </w:rPr>
        <w:t>.</w:t>
      </w:r>
      <w:r>
        <w:rPr>
          <w:spacing w:val="80"/>
          <w:position w:val="5"/>
          <w:sz w:val="14"/>
        </w:rPr>
        <w:t> </w:t>
      </w:r>
      <w:r>
        <w:rPr>
          <w:rFonts w:ascii="Arial" w:hAnsi="Arial"/>
          <w:i/>
        </w:rPr>
        <w:t>Cassell &amp; Co Ltd v Broome [1972] A.C. 1027, 1076</w:t>
      </w:r>
      <w:r>
        <w:rPr/>
        <w:t>, per Lord Hailsham L.C. See also Law Commission, Aggravated, Exemplary and Restitutionary Damages (Report No.247, </w:t>
      </w:r>
      <w:r>
        <w:rPr/>
        <w:t>1997), para.4.25. In </w:t>
      </w:r>
      <w:r>
        <w:rPr>
          <w:rFonts w:ascii="Arial" w:hAnsi="Arial"/>
          <w:i/>
        </w:rPr>
        <w:t>Parabola Investments Ltd v Browallia Cal Ltd [2009] EWHC 901 (Comm) </w:t>
      </w:r>
      <w:r>
        <w:rPr/>
        <w:t>Flaux J. said that his own research had shown that “exemplary damages have been awarded in cases</w:t>
      </w:r>
      <w:r>
        <w:rPr>
          <w:spacing w:val="40"/>
        </w:rPr>
        <w:t> </w:t>
      </w:r>
      <w:r>
        <w:rPr/>
        <w:t>of deceit, primarily in the case of fraudulent insurance claims by insureds dealt with in the county courts. This is no doubt because such cases do fall into that category, as the insurer’s remedy is rejection of the claim coupled with avoidance and retention of the premium and it would not expect any compensation as such” (at [205]). However, he declined to make an award when the defendant’s responsibility was only vicarious (see at [206]–[208]). The Court of Appeal (</w:t>
      </w:r>
      <w:r>
        <w:rPr>
          <w:rFonts w:ascii="Arial" w:hAnsi="Arial"/>
          <w:i/>
        </w:rPr>
        <w:t>[2010] EWCA Civ 486, [2011] Q.B. 477</w:t>
      </w:r>
      <w:r>
        <w:rPr/>
        <w:t>) did not refer to this question.</w:t>
      </w:r>
    </w:p>
    <w:p>
      <w:pPr>
        <w:pStyle w:val="BodyText"/>
        <w:spacing w:before="2"/>
      </w:pPr>
    </w:p>
    <w:p>
      <w:pPr>
        <w:tabs>
          <w:tab w:pos="705" w:val="left" w:leader="none"/>
        </w:tabs>
        <w:spacing w:before="0"/>
        <w:ind w:left="165" w:right="0" w:firstLine="0"/>
        <w:jc w:val="left"/>
        <w:rPr>
          <w:sz w:val="20"/>
        </w:rPr>
      </w:pPr>
      <w:bookmarkStart w:name="_bookmark640" w:id="642"/>
      <w:bookmarkEnd w:id="642"/>
      <w:r>
        <w:rPr/>
      </w:r>
      <w:hyperlink w:history="true" w:anchor="_bookmark544">
        <w:r>
          <w:rPr>
            <w:color w:val="005DA1"/>
            <w:spacing w:val="-4"/>
            <w:position w:val="5"/>
            <w:sz w:val="14"/>
            <w:u w:val="single" w:color="005DA1"/>
          </w:rPr>
          <w:t>333</w:t>
        </w:r>
      </w:hyperlink>
      <w:r>
        <w:rPr>
          <w:spacing w:val="-4"/>
          <w:position w:val="5"/>
          <w:sz w:val="14"/>
        </w:rPr>
        <w:t>.</w:t>
      </w:r>
      <w:r>
        <w:rPr>
          <w:position w:val="5"/>
          <w:sz w:val="14"/>
        </w:rPr>
        <w:tab/>
      </w:r>
      <w:r>
        <w:rPr>
          <w:rFonts w:ascii="Arial"/>
          <w:i/>
          <w:sz w:val="20"/>
        </w:rPr>
        <w:t>[2001] UKHL 29, [2002] 2 A.C. </w:t>
      </w:r>
      <w:r>
        <w:rPr>
          <w:rFonts w:ascii="Arial"/>
          <w:i/>
          <w:spacing w:val="-4"/>
          <w:sz w:val="20"/>
        </w:rPr>
        <w:t>122</w:t>
      </w:r>
      <w:r>
        <w:rPr>
          <w:spacing w:val="-4"/>
          <w:sz w:val="20"/>
        </w:rPr>
        <w:t>.</w:t>
      </w:r>
    </w:p>
    <w:p>
      <w:pPr>
        <w:pStyle w:val="BodyText"/>
        <w:spacing w:before="9"/>
      </w:pPr>
    </w:p>
    <w:p>
      <w:pPr>
        <w:pStyle w:val="BodyText"/>
        <w:tabs>
          <w:tab w:pos="705" w:val="left" w:leader="none"/>
        </w:tabs>
        <w:spacing w:line="235" w:lineRule="auto"/>
        <w:ind w:left="705" w:right="168" w:hanging="541"/>
      </w:pPr>
      <w:bookmarkStart w:name="_bookmark641" w:id="643"/>
      <w:bookmarkEnd w:id="643"/>
      <w:r>
        <w:rPr/>
      </w:r>
      <w:hyperlink w:history="true" w:anchor="_bookmark545">
        <w:r>
          <w:rPr>
            <w:color w:val="005DA1"/>
            <w:spacing w:val="-4"/>
            <w:position w:val="5"/>
            <w:sz w:val="14"/>
            <w:u w:val="single" w:color="005DA1"/>
          </w:rPr>
          <w:t>334</w:t>
        </w:r>
      </w:hyperlink>
      <w:r>
        <w:rPr>
          <w:spacing w:val="-4"/>
          <w:position w:val="5"/>
          <w:sz w:val="14"/>
        </w:rPr>
        <w:t>.</w:t>
      </w:r>
      <w:r>
        <w:rPr>
          <w:position w:val="5"/>
          <w:sz w:val="14"/>
        </w:rPr>
        <w:tab/>
      </w:r>
      <w:r>
        <w:rPr>
          <w:rFonts w:ascii="Arial" w:hAnsi="Arial"/>
          <w:i/>
        </w:rPr>
        <w:t>[2001] UKHL 29 </w:t>
      </w:r>
      <w:r>
        <w:rPr/>
        <w:t>at [67]. Lord Nicholls considered that Lord Devlin’s second category should be expanded to include cases in which the defendant had acted with a malicious motive.</w:t>
      </w:r>
    </w:p>
    <w:p>
      <w:pPr>
        <w:pStyle w:val="BodyText"/>
        <w:spacing w:before="9"/>
      </w:pPr>
    </w:p>
    <w:p>
      <w:pPr>
        <w:pStyle w:val="BodyText"/>
        <w:spacing w:line="235" w:lineRule="auto"/>
        <w:ind w:left="705" w:right="167" w:hanging="541"/>
        <w:jc w:val="both"/>
      </w:pPr>
      <w:bookmarkStart w:name="_bookmark642" w:id="644"/>
      <w:bookmarkEnd w:id="644"/>
      <w:r>
        <w:rPr/>
      </w:r>
      <w:hyperlink w:history="true" w:anchor="_bookmark545">
        <w:r>
          <w:rPr>
            <w:color w:val="005DA1"/>
            <w:position w:val="5"/>
            <w:sz w:val="14"/>
            <w:u w:val="single" w:color="005DA1"/>
          </w:rPr>
          <w:t>335</w:t>
        </w:r>
      </w:hyperlink>
      <w:r>
        <w:rPr>
          <w:position w:val="5"/>
          <w:sz w:val="14"/>
        </w:rPr>
        <w:t>.</w:t>
      </w:r>
      <w:r>
        <w:rPr>
          <w:spacing w:val="40"/>
          <w:position w:val="5"/>
          <w:sz w:val="14"/>
        </w:rPr>
        <w:t>  </w:t>
      </w:r>
      <w:r>
        <w:rPr>
          <w:rFonts w:ascii="Arial"/>
          <w:i/>
        </w:rPr>
        <w:t>[2001] UKHL 29 </w:t>
      </w:r>
      <w:r>
        <w:rPr/>
        <w:t>at [109]. Lord Scott thought that if exemplary damages were to be retained (which he personally regretted), deceit practised by a government or local authority official, </w:t>
      </w:r>
      <w:r>
        <w:rPr/>
        <w:t>or</w:t>
      </w:r>
      <w:r>
        <w:rPr>
          <w:spacing w:val="40"/>
        </w:rPr>
        <w:t> </w:t>
      </w:r>
      <w:r>
        <w:rPr/>
        <w:t>by a police officer, would be a suitable case for their award (at [122]).</w:t>
      </w:r>
    </w:p>
    <w:p>
      <w:pPr>
        <w:pStyle w:val="BodyText"/>
        <w:spacing w:before="9"/>
      </w:pPr>
    </w:p>
    <w:p>
      <w:pPr>
        <w:pStyle w:val="BodyText"/>
        <w:spacing w:line="235" w:lineRule="auto"/>
        <w:ind w:left="705" w:right="167" w:hanging="541"/>
        <w:jc w:val="both"/>
      </w:pPr>
      <w:bookmarkStart w:name="_bookmark643" w:id="645"/>
      <w:bookmarkEnd w:id="645"/>
      <w:r>
        <w:rPr/>
      </w:r>
      <w:hyperlink w:history="true" w:anchor="_bookmark546">
        <w:r>
          <w:rPr>
            <w:color w:val="005DA1"/>
            <w:position w:val="5"/>
            <w:sz w:val="14"/>
            <w:u w:val="single" w:color="005DA1"/>
          </w:rPr>
          <w:t>336</w:t>
        </w:r>
      </w:hyperlink>
      <w:r>
        <w:rPr>
          <w:position w:val="5"/>
          <w:sz w:val="14"/>
        </w:rPr>
        <w:t>.</w:t>
      </w:r>
      <w:r>
        <w:rPr>
          <w:spacing w:val="80"/>
          <w:position w:val="5"/>
          <w:sz w:val="14"/>
        </w:rPr>
        <w:t> </w:t>
      </w:r>
      <w:r>
        <w:rPr/>
        <w:t>See above, para.7-069 and below, para.26-055. The Law Commission, in its Report on Aggravated, Exemplary and Restitutionary Damages (No.247, 1997) had recommended </w:t>
      </w:r>
      <w:r>
        <w:rPr/>
        <w:t>that punitive damages be available when, in committing a wrong or in subsequent conduct, the defendant deliberately disregarded the claimant’s rights: above, n.319.</w:t>
      </w:r>
    </w:p>
    <w:p>
      <w:pPr>
        <w:pStyle w:val="BodyText"/>
        <w:spacing w:before="5"/>
      </w:pPr>
    </w:p>
    <w:p>
      <w:pPr>
        <w:tabs>
          <w:tab w:pos="705" w:val="left" w:leader="none"/>
        </w:tabs>
        <w:spacing w:before="0"/>
        <w:ind w:left="165" w:right="0" w:firstLine="0"/>
        <w:jc w:val="left"/>
        <w:rPr>
          <w:sz w:val="20"/>
        </w:rPr>
      </w:pPr>
      <w:bookmarkStart w:name="_bookmark644" w:id="646"/>
      <w:bookmarkEnd w:id="646"/>
      <w:r>
        <w:rPr/>
      </w:r>
      <w:hyperlink w:history="true" w:anchor="_bookmark547">
        <w:r>
          <w:rPr>
            <w:color w:val="005DA1"/>
            <w:spacing w:val="-4"/>
            <w:position w:val="5"/>
            <w:sz w:val="14"/>
            <w:u w:val="single" w:color="005DA1"/>
          </w:rPr>
          <w:t>337</w:t>
        </w:r>
      </w:hyperlink>
      <w:r>
        <w:rPr>
          <w:spacing w:val="-4"/>
          <w:position w:val="5"/>
          <w:sz w:val="14"/>
        </w:rPr>
        <w:t>.</w:t>
      </w:r>
      <w:r>
        <w:rPr>
          <w:position w:val="5"/>
          <w:sz w:val="14"/>
        </w:rPr>
        <w:tab/>
      </w:r>
      <w:r>
        <w:rPr>
          <w:rFonts w:ascii="Arial"/>
          <w:i/>
          <w:sz w:val="20"/>
        </w:rPr>
        <w:t>Archer v Brown [1985] Q.B. </w:t>
      </w:r>
      <w:r>
        <w:rPr>
          <w:rFonts w:ascii="Arial"/>
          <w:i/>
          <w:spacing w:val="-4"/>
          <w:sz w:val="20"/>
        </w:rPr>
        <w:t>401</w:t>
      </w:r>
      <w:r>
        <w:rPr>
          <w:spacing w:val="-4"/>
          <w:sz w:val="20"/>
        </w:rPr>
        <w:t>.</w:t>
      </w:r>
    </w:p>
    <w:p>
      <w:pPr>
        <w:pStyle w:val="BodyText"/>
        <w:spacing w:before="5"/>
      </w:pPr>
    </w:p>
    <w:p>
      <w:pPr>
        <w:pStyle w:val="BodyText"/>
        <w:tabs>
          <w:tab w:pos="705" w:val="left" w:leader="none"/>
        </w:tabs>
        <w:ind w:left="165"/>
      </w:pPr>
      <w:bookmarkStart w:name="_bookmark645" w:id="647"/>
      <w:bookmarkEnd w:id="647"/>
      <w:r>
        <w:rPr/>
      </w:r>
      <w:hyperlink w:history="true" w:anchor="_bookmark548">
        <w:r>
          <w:rPr>
            <w:color w:val="005DA1"/>
            <w:spacing w:val="-4"/>
            <w:position w:val="5"/>
            <w:sz w:val="14"/>
            <w:u w:val="single" w:color="005DA1"/>
          </w:rPr>
          <w:t>338</w:t>
        </w:r>
      </w:hyperlink>
      <w:r>
        <w:rPr>
          <w:spacing w:val="-4"/>
          <w:position w:val="5"/>
          <w:sz w:val="14"/>
        </w:rPr>
        <w:t>.</w:t>
      </w:r>
      <w:r>
        <w:rPr>
          <w:position w:val="5"/>
          <w:sz w:val="14"/>
        </w:rPr>
        <w:tab/>
      </w:r>
      <w:r>
        <w:rPr/>
        <w:t>See</w:t>
      </w:r>
      <w:r>
        <w:rPr>
          <w:spacing w:val="-2"/>
        </w:rPr>
        <w:t> </w:t>
      </w:r>
      <w:r>
        <w:rPr/>
        <w:t>below, para.26-</w:t>
      </w:r>
      <w:r>
        <w:rPr>
          <w:spacing w:val="-4"/>
        </w:rPr>
        <w:t>077.</w:t>
      </w:r>
    </w:p>
    <w:p>
      <w:pPr>
        <w:pStyle w:val="BodyText"/>
        <w:spacing w:before="5"/>
      </w:pPr>
    </w:p>
    <w:p>
      <w:pPr>
        <w:tabs>
          <w:tab w:pos="705" w:val="left" w:leader="none"/>
        </w:tabs>
        <w:spacing w:before="0"/>
        <w:ind w:left="165" w:right="0" w:firstLine="0"/>
        <w:jc w:val="left"/>
        <w:rPr>
          <w:sz w:val="20"/>
        </w:rPr>
      </w:pPr>
      <w:bookmarkStart w:name="_bookmark646" w:id="648"/>
      <w:bookmarkEnd w:id="648"/>
      <w:r>
        <w:rPr/>
      </w:r>
      <w:hyperlink w:history="true" w:anchor="_bookmark549">
        <w:r>
          <w:rPr>
            <w:color w:val="005DA1"/>
            <w:spacing w:val="-4"/>
            <w:position w:val="5"/>
            <w:sz w:val="14"/>
            <w:u w:val="single" w:color="005DA1"/>
          </w:rPr>
          <w:t>339</w:t>
        </w:r>
      </w:hyperlink>
      <w:r>
        <w:rPr>
          <w:spacing w:val="-4"/>
          <w:position w:val="5"/>
          <w:sz w:val="14"/>
        </w:rPr>
        <w:t>.</w:t>
      </w:r>
      <w:r>
        <w:rPr>
          <w:position w:val="5"/>
          <w:sz w:val="14"/>
        </w:rPr>
        <w:tab/>
      </w:r>
      <w:r>
        <w:rPr>
          <w:rFonts w:ascii="Arial"/>
          <w:i/>
          <w:sz w:val="20"/>
        </w:rPr>
        <w:t>Forsikringaktieselskapet</w:t>
      </w:r>
      <w:r>
        <w:rPr>
          <w:rFonts w:ascii="Arial"/>
          <w:i/>
          <w:spacing w:val="-1"/>
          <w:sz w:val="20"/>
        </w:rPr>
        <w:t> </w:t>
      </w:r>
      <w:r>
        <w:rPr>
          <w:rFonts w:ascii="Arial"/>
          <w:i/>
          <w:sz w:val="20"/>
        </w:rPr>
        <w:t>Vesta v Butcher (No.1) [1989] A.C. 852, 862</w:t>
      </w:r>
      <w:r>
        <w:rPr>
          <w:sz w:val="20"/>
        </w:rPr>
        <w:t>, et </w:t>
      </w:r>
      <w:r>
        <w:rPr>
          <w:spacing w:val="-4"/>
          <w:sz w:val="20"/>
        </w:rPr>
        <w:t>seq.</w:t>
      </w:r>
    </w:p>
    <w:p>
      <w:pPr>
        <w:pStyle w:val="BodyText"/>
        <w:spacing w:before="8"/>
      </w:pPr>
    </w:p>
    <w:p>
      <w:pPr>
        <w:spacing w:line="235" w:lineRule="auto" w:before="1"/>
        <w:ind w:left="705" w:right="167" w:hanging="541"/>
        <w:jc w:val="both"/>
        <w:rPr>
          <w:sz w:val="20"/>
        </w:rPr>
      </w:pPr>
      <w:bookmarkStart w:name="_bookmark647" w:id="649"/>
      <w:bookmarkEnd w:id="649"/>
      <w:r>
        <w:rPr/>
      </w:r>
      <w:hyperlink w:history="true" w:anchor="_bookmark550">
        <w:r>
          <w:rPr>
            <w:color w:val="005DA1"/>
            <w:position w:val="5"/>
            <w:sz w:val="14"/>
            <w:u w:val="single" w:color="005DA1"/>
          </w:rPr>
          <w:t>340</w:t>
        </w:r>
      </w:hyperlink>
      <w:r>
        <w:rPr>
          <w:position w:val="5"/>
          <w:sz w:val="14"/>
        </w:rPr>
        <w:t>.</w:t>
      </w:r>
      <w:r>
        <w:rPr>
          <w:spacing w:val="80"/>
          <w:position w:val="5"/>
          <w:sz w:val="14"/>
        </w:rPr>
        <w:t> </w:t>
      </w:r>
      <w:r>
        <w:rPr>
          <w:rFonts w:ascii="Arial" w:hAnsi="Arial"/>
          <w:i/>
          <w:sz w:val="20"/>
        </w:rPr>
        <w:t>Alliance and Leicester Building Society v Edgestop Ltd [1993] 1 W.L.R. 1462</w:t>
      </w:r>
      <w:r>
        <w:rPr>
          <w:sz w:val="20"/>
        </w:rPr>
        <w:t>; </w:t>
      </w:r>
      <w:r>
        <w:rPr>
          <w:rFonts w:ascii="Arial" w:hAnsi="Arial"/>
          <w:i/>
          <w:sz w:val="20"/>
        </w:rPr>
        <w:t>Standard</w:t>
      </w:r>
      <w:r>
        <w:rPr>
          <w:rFonts w:ascii="Arial" w:hAnsi="Arial"/>
          <w:i/>
          <w:spacing w:val="40"/>
          <w:sz w:val="20"/>
        </w:rPr>
        <w:t> </w:t>
      </w:r>
      <w:r>
        <w:rPr>
          <w:rFonts w:ascii="Arial" w:hAnsi="Arial"/>
          <w:i/>
          <w:sz w:val="20"/>
        </w:rPr>
        <w:t>Chartered Bank v Pakistan National Shipping Corp (No.2) [2002] UKHL 43, [2003] 1 A.C. </w:t>
      </w:r>
      <w:r>
        <w:rPr>
          <w:rFonts w:ascii="Arial" w:hAnsi="Arial"/>
          <w:i/>
          <w:sz w:val="20"/>
        </w:rPr>
        <w:t>959</w:t>
      </w:r>
      <w:r>
        <w:rPr>
          <w:sz w:val="20"/>
        </w:rPr>
        <w:t>; see also </w:t>
      </w:r>
      <w:r>
        <w:rPr>
          <w:rFonts w:ascii="Arial" w:hAnsi="Arial"/>
          <w:i/>
          <w:sz w:val="20"/>
        </w:rPr>
        <w:t>Corp Nacional del Cobre de Chile v Sogemin Metals Ltd [1997] 2 All E.R. 917, </w:t>
      </w:r>
      <w:r>
        <w:rPr>
          <w:rFonts w:ascii="Arial" w:hAnsi="Arial"/>
          <w:i/>
          <w:spacing w:val="-2"/>
          <w:sz w:val="20"/>
        </w:rPr>
        <w:t>921–923</w:t>
      </w:r>
      <w:r>
        <w:rPr>
          <w:spacing w:val="-2"/>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648" w:id="650"/>
      <w:bookmarkEnd w:id="650"/>
      <w:r>
        <w:rPr/>
      </w:r>
      <w:hyperlink w:history="true" w:anchor="_bookmark551">
        <w:r>
          <w:rPr>
            <w:color w:val="005DA1"/>
            <w:spacing w:val="-4"/>
            <w:position w:val="5"/>
            <w:sz w:val="14"/>
            <w:u w:val="single" w:color="005DA1"/>
          </w:rPr>
          <w:t>341</w:t>
        </w:r>
      </w:hyperlink>
      <w:r>
        <w:rPr>
          <w:spacing w:val="-4"/>
          <w:position w:val="5"/>
          <w:sz w:val="14"/>
        </w:rPr>
        <w:t>.</w:t>
      </w:r>
      <w:r>
        <w:rPr>
          <w:position w:val="5"/>
          <w:sz w:val="14"/>
        </w:rPr>
        <w:tab/>
      </w:r>
      <w:r>
        <w:rPr>
          <w:rFonts w:ascii="Arial"/>
          <w:i/>
          <w:sz w:val="20"/>
        </w:rPr>
        <w:t>[2005]</w:t>
      </w:r>
      <w:r>
        <w:rPr>
          <w:rFonts w:ascii="Arial"/>
          <w:i/>
          <w:spacing w:val="18"/>
          <w:sz w:val="20"/>
        </w:rPr>
        <w:t> </w:t>
      </w:r>
      <w:r>
        <w:rPr>
          <w:rFonts w:ascii="Arial"/>
          <w:i/>
          <w:sz w:val="20"/>
        </w:rPr>
        <w:t>EWCA</w:t>
      </w:r>
      <w:r>
        <w:rPr>
          <w:rFonts w:ascii="Arial"/>
          <w:i/>
          <w:spacing w:val="18"/>
          <w:sz w:val="20"/>
        </w:rPr>
        <w:t> </w:t>
      </w:r>
      <w:r>
        <w:rPr>
          <w:rFonts w:ascii="Arial"/>
          <w:i/>
          <w:sz w:val="20"/>
        </w:rPr>
        <w:t>Civ</w:t>
      </w:r>
      <w:r>
        <w:rPr>
          <w:rFonts w:ascii="Arial"/>
          <w:i/>
          <w:spacing w:val="18"/>
          <w:sz w:val="20"/>
        </w:rPr>
        <w:t> </w:t>
      </w:r>
      <w:r>
        <w:rPr>
          <w:rFonts w:ascii="Arial"/>
          <w:i/>
          <w:sz w:val="20"/>
        </w:rPr>
        <w:t>531,</w:t>
      </w:r>
      <w:r>
        <w:rPr>
          <w:rFonts w:ascii="Arial"/>
          <w:i/>
          <w:spacing w:val="18"/>
          <w:sz w:val="20"/>
        </w:rPr>
        <w:t> </w:t>
      </w:r>
      <w:r>
        <w:rPr>
          <w:rFonts w:ascii="Arial"/>
          <w:i/>
          <w:sz w:val="20"/>
        </w:rPr>
        <w:t>[2005]</w:t>
      </w:r>
      <w:r>
        <w:rPr>
          <w:rFonts w:ascii="Arial"/>
          <w:i/>
          <w:spacing w:val="18"/>
          <w:sz w:val="20"/>
        </w:rPr>
        <w:t> </w:t>
      </w:r>
      <w:r>
        <w:rPr>
          <w:rFonts w:ascii="Arial"/>
          <w:i/>
          <w:sz w:val="20"/>
        </w:rPr>
        <w:t>All</w:t>
      </w:r>
      <w:r>
        <w:rPr>
          <w:rFonts w:ascii="Arial"/>
          <w:i/>
          <w:spacing w:val="18"/>
          <w:sz w:val="20"/>
        </w:rPr>
        <w:t> </w:t>
      </w:r>
      <w:r>
        <w:rPr>
          <w:rFonts w:ascii="Arial"/>
          <w:i/>
          <w:sz w:val="20"/>
        </w:rPr>
        <w:t>E.R.</w:t>
      </w:r>
      <w:r>
        <w:rPr>
          <w:rFonts w:ascii="Arial"/>
          <w:i/>
          <w:spacing w:val="18"/>
          <w:sz w:val="20"/>
        </w:rPr>
        <w:t> </w:t>
      </w:r>
      <w:r>
        <w:rPr>
          <w:rFonts w:ascii="Arial"/>
          <w:i/>
          <w:sz w:val="20"/>
        </w:rPr>
        <w:t>(D)</w:t>
      </w:r>
      <w:r>
        <w:rPr>
          <w:rFonts w:ascii="Arial"/>
          <w:i/>
          <w:spacing w:val="18"/>
          <w:sz w:val="20"/>
        </w:rPr>
        <w:t> </w:t>
      </w:r>
      <w:r>
        <w:rPr>
          <w:rFonts w:ascii="Arial"/>
          <w:i/>
          <w:sz w:val="20"/>
        </w:rPr>
        <w:t>78</w:t>
      </w:r>
      <w:r>
        <w:rPr>
          <w:rFonts w:ascii="Arial"/>
          <w:i/>
          <w:spacing w:val="18"/>
          <w:sz w:val="20"/>
        </w:rPr>
        <w:t> </w:t>
      </w:r>
      <w:r>
        <w:rPr>
          <w:rFonts w:ascii="Arial"/>
          <w:i/>
          <w:sz w:val="20"/>
        </w:rPr>
        <w:t>(May)</w:t>
      </w:r>
      <w:r>
        <w:rPr>
          <w:sz w:val="20"/>
        </w:rPr>
        <w:t>.</w:t>
      </w:r>
      <w:r>
        <w:rPr>
          <w:spacing w:val="18"/>
          <w:sz w:val="20"/>
        </w:rPr>
        <w:t> </w:t>
      </w:r>
      <w:r>
        <w:rPr>
          <w:sz w:val="20"/>
        </w:rPr>
        <w:t>The</w:t>
      </w:r>
      <w:r>
        <w:rPr>
          <w:spacing w:val="18"/>
          <w:sz w:val="20"/>
        </w:rPr>
        <w:t> </w:t>
      </w:r>
      <w:r>
        <w:rPr>
          <w:sz w:val="20"/>
        </w:rPr>
        <w:t>question</w:t>
      </w:r>
      <w:r>
        <w:rPr>
          <w:spacing w:val="18"/>
          <w:sz w:val="20"/>
        </w:rPr>
        <w:t> </w:t>
      </w:r>
      <w:r>
        <w:rPr>
          <w:sz w:val="20"/>
        </w:rPr>
        <w:t>had</w:t>
      </w:r>
      <w:r>
        <w:rPr>
          <w:spacing w:val="18"/>
          <w:sz w:val="20"/>
        </w:rPr>
        <w:t> </w:t>
      </w:r>
      <w:r>
        <w:rPr>
          <w:sz w:val="20"/>
        </w:rPr>
        <w:t>been</w:t>
      </w:r>
      <w:r>
        <w:rPr>
          <w:spacing w:val="18"/>
          <w:sz w:val="20"/>
        </w:rPr>
        <w:t> </w:t>
      </w:r>
      <w:r>
        <w:rPr>
          <w:sz w:val="20"/>
        </w:rPr>
        <w:t>left</w:t>
      </w:r>
      <w:r>
        <w:rPr>
          <w:spacing w:val="18"/>
          <w:sz w:val="20"/>
        </w:rPr>
        <w:t> </w:t>
      </w:r>
      <w:r>
        <w:rPr>
          <w:sz w:val="20"/>
        </w:rPr>
        <w:t>open</w:t>
      </w:r>
      <w:r>
        <w:rPr>
          <w:spacing w:val="18"/>
          <w:sz w:val="20"/>
        </w:rPr>
        <w:t> </w:t>
      </w:r>
      <w:r>
        <w:rPr>
          <w:sz w:val="20"/>
        </w:rPr>
        <w:t>in</w:t>
      </w:r>
      <w:r>
        <w:rPr>
          <w:spacing w:val="18"/>
          <w:sz w:val="20"/>
        </w:rPr>
        <w:t> </w:t>
      </w:r>
      <w:r>
        <w:rPr>
          <w:rFonts w:ascii="Arial"/>
          <w:i/>
          <w:sz w:val="20"/>
        </w:rPr>
        <w:t>Clef Aquitaine SARL v Laporte Materials (Barrow) Ltd [2001] Q.B. 488</w:t>
      </w:r>
      <w:r>
        <w:rPr>
          <w:sz w:val="20"/>
        </w:rPr>
        <w:t>.</w:t>
      </w:r>
    </w:p>
    <w:p>
      <w:pPr>
        <w:pStyle w:val="BodyText"/>
        <w:spacing w:before="9"/>
      </w:pPr>
    </w:p>
    <w:p>
      <w:pPr>
        <w:spacing w:line="235" w:lineRule="auto" w:before="0"/>
        <w:ind w:left="705" w:right="167" w:hanging="541"/>
        <w:jc w:val="both"/>
        <w:rPr>
          <w:sz w:val="20"/>
        </w:rPr>
      </w:pPr>
      <w:bookmarkStart w:name="_bookmark649" w:id="651"/>
      <w:bookmarkEnd w:id="651"/>
      <w:r>
        <w:rPr/>
      </w:r>
      <w:hyperlink w:history="true" w:anchor="_bookmark552">
        <w:r>
          <w:rPr>
            <w:color w:val="005DA1"/>
            <w:position w:val="5"/>
            <w:sz w:val="14"/>
            <w:u w:val="single" w:color="005DA1"/>
          </w:rPr>
          <w:t>342</w:t>
        </w:r>
      </w:hyperlink>
      <w:r>
        <w:rPr>
          <w:position w:val="5"/>
          <w:sz w:val="14"/>
        </w:rPr>
        <w:t>.</w:t>
      </w:r>
      <w:r>
        <w:rPr>
          <w:spacing w:val="80"/>
          <w:position w:val="5"/>
          <w:sz w:val="14"/>
        </w:rPr>
        <w:t>  </w:t>
      </w:r>
      <w:r>
        <w:rPr>
          <w:sz w:val="20"/>
        </w:rPr>
        <w:t>The categories given by Lord Brandon in </w:t>
      </w:r>
      <w:r>
        <w:rPr>
          <w:rFonts w:ascii="Arial"/>
          <w:i/>
          <w:sz w:val="20"/>
        </w:rPr>
        <w:t>President of India v LaPintada Compania Navigacion SA [1985] A.C. 104 </w:t>
      </w:r>
      <w:r>
        <w:rPr>
          <w:sz w:val="20"/>
        </w:rPr>
        <w:t>at 116A. This was the view of the majority in </w:t>
      </w:r>
      <w:r>
        <w:rPr>
          <w:rFonts w:ascii="Arial"/>
          <w:i/>
          <w:sz w:val="20"/>
        </w:rPr>
        <w:t>Westdeutsche Landesbank Girozentrale v Islington LBC [1996] A.C. 669</w:t>
      </w:r>
      <w:r>
        <w:rPr>
          <w:sz w:val="20"/>
        </w:rPr>
        <w:t>.</w:t>
      </w:r>
    </w:p>
    <w:p>
      <w:pPr>
        <w:spacing w:after="0" w:line="235" w:lineRule="auto"/>
        <w:jc w:val="both"/>
        <w:rPr>
          <w:sz w:val="20"/>
        </w:rPr>
        <w:sectPr>
          <w:pgSz w:w="11900" w:h="16840"/>
          <w:pgMar w:header="971" w:footer="0" w:top="1160" w:bottom="280" w:left="1275" w:right="1275"/>
        </w:sectPr>
      </w:pPr>
    </w:p>
    <w:p>
      <w:pPr>
        <w:pStyle w:val="BodyText"/>
        <w:spacing w:before="84"/>
      </w:pPr>
    </w:p>
    <w:p>
      <w:pPr>
        <w:tabs>
          <w:tab w:pos="705" w:val="left" w:leader="none"/>
        </w:tabs>
        <w:spacing w:line="235" w:lineRule="auto" w:before="1"/>
        <w:ind w:left="705" w:right="168" w:hanging="541"/>
        <w:jc w:val="left"/>
        <w:rPr>
          <w:sz w:val="20"/>
        </w:rPr>
      </w:pPr>
      <w:hyperlink w:history="true" w:anchor="_bookmark553">
        <w:r>
          <w:rPr>
            <w:color w:val="005DA1"/>
            <w:spacing w:val="-4"/>
            <w:position w:val="5"/>
            <w:sz w:val="14"/>
            <w:u w:val="single" w:color="005DA1"/>
          </w:rPr>
          <w:t>343</w:t>
        </w:r>
      </w:hyperlink>
      <w:r>
        <w:rPr>
          <w:spacing w:val="-4"/>
          <w:position w:val="5"/>
          <w:sz w:val="14"/>
        </w:rPr>
        <w:t>.</w:t>
      </w:r>
      <w:r>
        <w:rPr>
          <w:position w:val="5"/>
          <w:sz w:val="14"/>
        </w:rPr>
        <w:tab/>
      </w:r>
      <w:r>
        <w:rPr>
          <w:rFonts w:ascii="Arial"/>
          <w:i/>
          <w:sz w:val="20"/>
        </w:rPr>
        <w:t>Sempra Metals Ltd v Commissioners of Inland Revenue [2007] UKHL 34, [2008] 1 A.C. 561 </w:t>
      </w:r>
      <w:r>
        <w:rPr>
          <w:sz w:val="20"/>
        </w:rPr>
        <w:t>at [96]. See below, para.26-175.</w:t>
      </w:r>
    </w:p>
    <w:p>
      <w:pPr>
        <w:pStyle w:val="BodyText"/>
        <w:spacing w:before="5"/>
      </w:pPr>
    </w:p>
    <w:p>
      <w:pPr>
        <w:tabs>
          <w:tab w:pos="705" w:val="left" w:leader="none"/>
        </w:tabs>
        <w:spacing w:before="0"/>
        <w:ind w:left="165" w:right="0" w:firstLine="0"/>
        <w:jc w:val="left"/>
        <w:rPr>
          <w:sz w:val="20"/>
        </w:rPr>
      </w:pPr>
      <w:bookmarkStart w:name="_bookmark650" w:id="652"/>
      <w:bookmarkEnd w:id="652"/>
      <w:r>
        <w:rPr/>
      </w:r>
      <w:hyperlink w:history="true" w:anchor="_bookmark554">
        <w:r>
          <w:rPr>
            <w:color w:val="005DA1"/>
            <w:spacing w:val="-4"/>
            <w:position w:val="5"/>
            <w:sz w:val="14"/>
            <w:u w:val="single" w:color="005DA1"/>
          </w:rPr>
          <w:t>344</w:t>
        </w:r>
      </w:hyperlink>
      <w:r>
        <w:rPr>
          <w:spacing w:val="-4"/>
          <w:position w:val="5"/>
          <w:sz w:val="14"/>
        </w:rPr>
        <w:t>.</w:t>
      </w:r>
      <w:r>
        <w:rPr>
          <w:position w:val="5"/>
          <w:sz w:val="14"/>
        </w:rPr>
        <w:tab/>
      </w:r>
      <w:r>
        <w:rPr>
          <w:rFonts w:ascii="Arial" w:hAnsi="Arial"/>
          <w:i/>
          <w:sz w:val="20"/>
        </w:rPr>
        <w:t>[2007]</w:t>
      </w:r>
      <w:r>
        <w:rPr>
          <w:rFonts w:ascii="Arial" w:hAnsi="Arial"/>
          <w:i/>
          <w:spacing w:val="-2"/>
          <w:sz w:val="20"/>
        </w:rPr>
        <w:t> </w:t>
      </w:r>
      <w:r>
        <w:rPr>
          <w:rFonts w:ascii="Arial" w:hAnsi="Arial"/>
          <w:i/>
          <w:sz w:val="20"/>
        </w:rPr>
        <w:t>UKHL 34</w:t>
      </w:r>
      <w:r>
        <w:rPr>
          <w:rFonts w:ascii="Arial" w:hAnsi="Arial"/>
          <w:i/>
          <w:spacing w:val="-1"/>
          <w:sz w:val="20"/>
        </w:rPr>
        <w:t> </w:t>
      </w:r>
      <w:r>
        <w:rPr>
          <w:sz w:val="20"/>
        </w:rPr>
        <w:t>at [16]–[17], [94]. [100], [132], and </w:t>
      </w:r>
      <w:r>
        <w:rPr>
          <w:spacing w:val="-2"/>
          <w:sz w:val="20"/>
        </w:rPr>
        <w:t>[154].</w:t>
      </w:r>
    </w:p>
    <w:p>
      <w:pPr>
        <w:pStyle w:val="BodyText"/>
        <w:spacing w:before="5"/>
      </w:pPr>
    </w:p>
    <w:p>
      <w:pPr>
        <w:tabs>
          <w:tab w:pos="705" w:val="left" w:leader="none"/>
        </w:tabs>
        <w:spacing w:before="0"/>
        <w:ind w:left="165" w:right="0" w:firstLine="0"/>
        <w:jc w:val="left"/>
        <w:rPr>
          <w:sz w:val="20"/>
        </w:rPr>
      </w:pPr>
      <w:bookmarkStart w:name="_bookmark651" w:id="653"/>
      <w:bookmarkEnd w:id="653"/>
      <w:r>
        <w:rPr/>
      </w:r>
      <w:hyperlink w:history="true" w:anchor="_bookmark555">
        <w:r>
          <w:rPr>
            <w:color w:val="005DA1"/>
            <w:spacing w:val="-4"/>
            <w:position w:val="5"/>
            <w:sz w:val="14"/>
            <w:u w:val="single" w:color="005DA1"/>
          </w:rPr>
          <w:t>345</w:t>
        </w:r>
      </w:hyperlink>
      <w:r>
        <w:rPr>
          <w:spacing w:val="-4"/>
          <w:position w:val="5"/>
          <w:sz w:val="14"/>
        </w:rPr>
        <w:t>.</w:t>
      </w:r>
      <w:r>
        <w:rPr>
          <w:position w:val="5"/>
          <w:sz w:val="14"/>
        </w:rPr>
        <w:tab/>
      </w:r>
      <w:r>
        <w:rPr>
          <w:rFonts w:ascii="Arial"/>
          <w:i/>
          <w:sz w:val="20"/>
        </w:rPr>
        <w:t>Parabola Investments Ltd v Browallia Cal Ltd [2010] EWCA Civ 486, [2011] Q.B. </w:t>
      </w:r>
      <w:r>
        <w:rPr>
          <w:rFonts w:ascii="Arial"/>
          <w:i/>
          <w:spacing w:val="-4"/>
          <w:sz w:val="20"/>
        </w:rPr>
        <w:t>477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52" w:id="654"/>
      <w:bookmarkEnd w:id="654"/>
      <w:r>
        <w:rPr/>
      </w:r>
      <w:hyperlink w:history="true" w:anchor="_bookmark556">
        <w:r>
          <w:rPr>
            <w:color w:val="005DA1"/>
            <w:spacing w:val="-4"/>
            <w:position w:val="5"/>
            <w:sz w:val="14"/>
            <w:u w:val="single" w:color="005DA1"/>
          </w:rPr>
          <w:t>346</w:t>
        </w:r>
      </w:hyperlink>
      <w:r>
        <w:rPr>
          <w:spacing w:val="-4"/>
          <w:position w:val="5"/>
          <w:sz w:val="14"/>
        </w:rPr>
        <w:t>.</w:t>
      </w:r>
      <w:r>
        <w:rPr>
          <w:position w:val="5"/>
          <w:sz w:val="14"/>
        </w:rPr>
        <w:tab/>
      </w:r>
      <w:r>
        <w:rPr>
          <w:rFonts w:ascii="Arial"/>
          <w:i/>
          <w:sz w:val="20"/>
        </w:rPr>
        <w:t>Saunders v Edwards [1987] 1 W.L.R. </w:t>
      </w:r>
      <w:r>
        <w:rPr>
          <w:rFonts w:ascii="Arial"/>
          <w:i/>
          <w:spacing w:val="-2"/>
          <w:sz w:val="20"/>
        </w:rPr>
        <w:t>1116</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653" w:id="655"/>
      <w:bookmarkEnd w:id="655"/>
      <w:r>
        <w:rPr/>
      </w:r>
      <w:hyperlink w:history="true" w:anchor="_bookmark557">
        <w:r>
          <w:rPr>
            <w:color w:val="005DA1"/>
            <w:spacing w:val="-4"/>
            <w:position w:val="5"/>
            <w:sz w:val="14"/>
            <w:u w:val="single" w:color="005DA1"/>
          </w:rPr>
          <w:t>347</w:t>
        </w:r>
      </w:hyperlink>
      <w:r>
        <w:rPr>
          <w:spacing w:val="-4"/>
          <w:position w:val="5"/>
          <w:sz w:val="14"/>
        </w:rPr>
        <w:t>.</w:t>
      </w:r>
      <w:r>
        <w:rPr>
          <w:position w:val="5"/>
          <w:sz w:val="14"/>
        </w:rPr>
        <w:tab/>
      </w:r>
      <w:r>
        <w:rPr>
          <w:rFonts w:ascii="Arial"/>
          <w:i/>
          <w:sz w:val="20"/>
        </w:rPr>
        <w:t>[1987] 1 W.L.R. </w:t>
      </w:r>
      <w:r>
        <w:rPr>
          <w:rFonts w:ascii="Arial"/>
          <w:i/>
          <w:spacing w:val="-4"/>
          <w:sz w:val="20"/>
        </w:rPr>
        <w:t>1116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54" w:id="656"/>
      <w:bookmarkEnd w:id="656"/>
      <w:r>
        <w:rPr/>
      </w:r>
      <w:hyperlink w:history="true" w:anchor="_bookmark558">
        <w:r>
          <w:rPr>
            <w:color w:val="005DA1"/>
            <w:spacing w:val="-4"/>
            <w:position w:val="5"/>
            <w:sz w:val="14"/>
            <w:u w:val="single" w:color="005DA1"/>
          </w:rPr>
          <w:t>348</w:t>
        </w:r>
      </w:hyperlink>
      <w:r>
        <w:rPr>
          <w:spacing w:val="-4"/>
          <w:position w:val="5"/>
          <w:sz w:val="14"/>
        </w:rPr>
        <w:t>.</w:t>
      </w:r>
      <w:r>
        <w:rPr>
          <w:position w:val="5"/>
          <w:sz w:val="14"/>
        </w:rPr>
        <w:tab/>
      </w:r>
      <w:r>
        <w:rPr>
          <w:rFonts w:ascii="Arial" w:hAnsi="Arial"/>
          <w:i/>
          <w:sz w:val="20"/>
        </w:rPr>
        <w:t>[1996] 1 Lloyd’s Rep. </w:t>
      </w:r>
      <w:r>
        <w:rPr>
          <w:rFonts w:ascii="Arial" w:hAnsi="Arial"/>
          <w:i/>
          <w:spacing w:val="-5"/>
          <w:sz w:val="20"/>
        </w:rPr>
        <w:t>35</w:t>
      </w:r>
      <w:r>
        <w:rPr>
          <w:spacing w:val="-5"/>
          <w:sz w:val="20"/>
        </w:rPr>
        <w:t>.</w:t>
      </w:r>
    </w:p>
    <w:p>
      <w:pPr>
        <w:pStyle w:val="BodyText"/>
        <w:rPr>
          <w:sz w:val="14"/>
        </w:rPr>
      </w:pPr>
    </w:p>
    <w:p>
      <w:pPr>
        <w:pStyle w:val="BodyText"/>
        <w:spacing w:before="100"/>
        <w:rPr>
          <w:sz w:val="14"/>
        </w:rPr>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539" w:right="2543"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3896832">
                <wp:simplePos x="0" y="0"/>
                <wp:positionH relativeFrom="page">
                  <wp:posOffset>4851958</wp:posOffset>
                </wp:positionH>
                <wp:positionV relativeFrom="paragraph">
                  <wp:posOffset>377436</wp:posOffset>
                </wp:positionV>
                <wp:extent cx="42545"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19648" from="382.044006pt,29.719406pt" to="385.380006pt,29.719406pt" stroked="true" strokeweight=".428pt" strokecolor="#005da1">
                <v:stroke dashstyle="solid"/>
                <w10:wrap type="none"/>
              </v:line>
            </w:pict>
          </mc:Fallback>
        </mc:AlternateContent>
      </w:r>
      <w:r>
        <w:rPr>
          <w:rFonts w:ascii="Arial"/>
          <w:b/>
          <w:sz w:val="24"/>
        </w:rPr>
        <w:t>Part 2 - Formation of Contract Chapter 7 - Misrepresentation</w:t>
      </w:r>
      <w:r>
        <w:rPr>
          <w:rFonts w:ascii="Arial"/>
          <w:b/>
          <w:spacing w:val="-1"/>
          <w:sz w:val="24"/>
        </w:rPr>
        <w:t> </w:t>
      </w:r>
      <w:r>
        <w:rPr>
          <w:rFonts w:ascii="Arial"/>
          <w:b/>
          <w:color w:val="005DA1"/>
          <w:spacing w:val="-10"/>
          <w:position w:val="11"/>
          <w:sz w:val="12"/>
        </w:rPr>
        <w:t>1</w:t>
      </w:r>
    </w:p>
    <w:p>
      <w:pPr>
        <w:spacing w:before="2"/>
        <w:ind w:left="940" w:right="943" w:firstLine="0"/>
        <w:jc w:val="center"/>
        <w:rPr>
          <w:rFonts w:ascii="Arial"/>
          <w:b/>
          <w:sz w:val="24"/>
        </w:rPr>
      </w:pPr>
      <w:r>
        <w:rPr>
          <w:rFonts w:ascii="Arial"/>
          <w:b/>
          <w:sz w:val="24"/>
        </w:rPr>
        <w:t>Section 3. - Damages for </w:t>
      </w:r>
      <w:r>
        <w:rPr>
          <w:rFonts w:ascii="Arial"/>
          <w:b/>
          <w:spacing w:val="-2"/>
          <w:sz w:val="24"/>
        </w:rPr>
        <w:t>Misrepresentation</w:t>
      </w:r>
    </w:p>
    <w:p>
      <w:pPr>
        <w:spacing w:before="194"/>
        <w:ind w:left="2798" w:right="0" w:firstLine="0"/>
        <w:jc w:val="left"/>
        <w:rPr>
          <w:rFonts w:ascii="Arial"/>
          <w:b/>
          <w:sz w:val="24"/>
        </w:rPr>
      </w:pPr>
      <w:r>
        <w:rPr>
          <w:rFonts w:ascii="Arial"/>
          <w:b/>
          <w:sz w:val="24"/>
        </w:rPr>
        <w:t>(b) - Negligent </w:t>
      </w:r>
      <w:r>
        <w:rPr>
          <w:rFonts w:ascii="Arial"/>
          <w:b/>
          <w:spacing w:val="-2"/>
          <w:sz w:val="24"/>
        </w:rPr>
        <w:t>Misrepresentation</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pacing w:val="-2"/>
          <w:sz w:val="18"/>
        </w:rPr>
        <w:t>Preliminary</w:t>
      </w:r>
    </w:p>
    <w:p>
      <w:pPr>
        <w:pStyle w:val="BodyText"/>
        <w:spacing w:before="41"/>
        <w:rPr>
          <w:rFonts w:ascii="Arial"/>
          <w:b/>
          <w:sz w:val="18"/>
        </w:rPr>
      </w:pPr>
    </w:p>
    <w:p>
      <w:pPr>
        <w:pStyle w:val="Heading2"/>
        <w:ind w:left="164"/>
      </w:pPr>
      <w:r>
        <w:rPr/>
        <w:t>7-</w:t>
      </w:r>
      <w:r>
        <w:rPr>
          <w:spacing w:val="-5"/>
        </w:rPr>
        <w:t>074</w:t>
      </w:r>
    </w:p>
    <w:p>
      <w:pPr>
        <w:pStyle w:val="BodyText"/>
        <w:spacing w:line="235" w:lineRule="auto" w:before="203"/>
        <w:ind w:left="164" w:right="167"/>
        <w:jc w:val="both"/>
      </w:pPr>
      <w:r>
        <w:rPr/>
        <w:t>A negligent misrepresentation is one which is made carelessly, or without reasonable grounds for believing it to be true. Apart from statute, a misrepresentation could not be regarded as negligent unless the representor owed a duty to be careful to the representee, and the law relating to the </w:t>
      </w:r>
      <w:bookmarkStart w:name="_bookmark655" w:id="657"/>
      <w:bookmarkEnd w:id="657"/>
      <w:r>
        <w:rPr/>
        <w:t>existence</w:t>
      </w:r>
      <w:r>
        <w:rPr/>
        <w:t> of such a duty of care has undergone some quite remarkable fluctuations since the case </w:t>
      </w:r>
      <w:r>
        <w:rPr/>
        <w:t>of </w:t>
      </w:r>
      <w:r>
        <w:rPr>
          <w:rFonts w:ascii="Arial" w:hAnsi="Arial"/>
          <w:i/>
        </w:rPr>
        <w:t>Derry v Peek</w:t>
      </w:r>
      <w:r>
        <w:rPr/>
        <w:t>. </w:t>
      </w:r>
      <w:r>
        <w:rPr>
          <w:color w:val="005DA1"/>
          <w:u w:val="single" w:color="005DA1"/>
          <w:vertAlign w:val="superscript"/>
        </w:rPr>
        <w:t>349</w:t>
      </w:r>
      <w:r>
        <w:rPr>
          <w:color w:val="005DA1"/>
          <w:vertAlign w:val="baseline"/>
        </w:rPr>
        <w:t> </w:t>
      </w:r>
      <w:r>
        <w:rPr>
          <w:vertAlign w:val="baseline"/>
        </w:rPr>
        <w:t>That case was at one time thought to lay down that there could never be a duty to </w:t>
      </w:r>
      <w:bookmarkStart w:name="_bookmark656" w:id="658"/>
      <w:bookmarkEnd w:id="658"/>
      <w:r>
        <w:rPr>
          <w:vertAlign w:val="baseline"/>
        </w:rPr>
        <w:t>take</w:t>
      </w:r>
      <w:r>
        <w:rPr>
          <w:vertAlign w:val="baseline"/>
        </w:rPr>
        <w:t> care in the making of statements unless the duty arose out of a contract itself, but the House of Lords has rejected this view in two leading cases in this country. In </w:t>
      </w:r>
      <w:r>
        <w:rPr>
          <w:rFonts w:ascii="Arial" w:hAnsi="Arial"/>
          <w:i/>
          <w:vertAlign w:val="baseline"/>
        </w:rPr>
        <w:t>Nocton v Ashburton </w:t>
      </w:r>
      <w:r>
        <w:rPr>
          <w:color w:val="005DA1"/>
          <w:u w:val="single" w:color="005DA1"/>
          <w:vertAlign w:val="superscript"/>
        </w:rPr>
        <w:t>350</w:t>
      </w:r>
      <w:r>
        <w:rPr>
          <w:color w:val="005DA1"/>
          <w:vertAlign w:val="baseline"/>
        </w:rPr>
        <w:t> </w:t>
      </w:r>
      <w:r>
        <w:rPr>
          <w:vertAlign w:val="baseline"/>
        </w:rPr>
        <w:t>it was </w:t>
      </w:r>
      <w:bookmarkStart w:name="_bookmark657" w:id="659"/>
      <w:bookmarkEnd w:id="659"/>
      <w:r>
        <w:rPr>
          <w:vertAlign w:val="baseline"/>
        </w:rPr>
        <w:t>decided</w:t>
      </w:r>
      <w:r>
        <w:rPr>
          <w:spacing w:val="-1"/>
          <w:vertAlign w:val="baseline"/>
        </w:rPr>
        <w:t> </w:t>
      </w:r>
      <w:r>
        <w:rPr>
          <w:vertAlign w:val="baseline"/>
        </w:rPr>
        <w:t>that</w:t>
      </w:r>
      <w:r>
        <w:rPr>
          <w:spacing w:val="-1"/>
          <w:vertAlign w:val="baseline"/>
        </w:rPr>
        <w:t> </w:t>
      </w:r>
      <w:r>
        <w:rPr>
          <w:vertAlign w:val="baseline"/>
        </w:rPr>
        <w:t>such</w:t>
      </w:r>
      <w:r>
        <w:rPr>
          <w:spacing w:val="-1"/>
          <w:vertAlign w:val="baseline"/>
        </w:rPr>
        <w:t> </w:t>
      </w:r>
      <w:r>
        <w:rPr>
          <w:vertAlign w:val="baseline"/>
        </w:rPr>
        <w:t>a</w:t>
      </w:r>
      <w:r>
        <w:rPr>
          <w:spacing w:val="-1"/>
          <w:vertAlign w:val="baseline"/>
        </w:rPr>
        <w:t> </w:t>
      </w:r>
      <w:r>
        <w:rPr>
          <w:vertAlign w:val="baseline"/>
        </w:rPr>
        <w:t>duty</w:t>
      </w:r>
      <w:r>
        <w:rPr>
          <w:spacing w:val="-1"/>
          <w:vertAlign w:val="baseline"/>
        </w:rPr>
        <w:t> </w:t>
      </w:r>
      <w:r>
        <w:rPr>
          <w:vertAlign w:val="baseline"/>
        </w:rPr>
        <w:t>to</w:t>
      </w:r>
      <w:r>
        <w:rPr>
          <w:spacing w:val="-1"/>
          <w:vertAlign w:val="baseline"/>
        </w:rPr>
        <w:t> </w:t>
      </w:r>
      <w:r>
        <w:rPr>
          <w:vertAlign w:val="baseline"/>
        </w:rPr>
        <w:t>take</w:t>
      </w:r>
      <w:r>
        <w:rPr>
          <w:spacing w:val="-1"/>
          <w:vertAlign w:val="baseline"/>
        </w:rPr>
        <w:t> </w:t>
      </w:r>
      <w:r>
        <w:rPr>
          <w:vertAlign w:val="baseline"/>
        </w:rPr>
        <w:t>care</w:t>
      </w:r>
      <w:r>
        <w:rPr>
          <w:spacing w:val="-1"/>
          <w:vertAlign w:val="baseline"/>
        </w:rPr>
        <w:t> </w:t>
      </w:r>
      <w:r>
        <w:rPr>
          <w:vertAlign w:val="baseline"/>
        </w:rPr>
        <w:t>could</w:t>
      </w:r>
      <w:r>
        <w:rPr>
          <w:spacing w:val="-1"/>
          <w:vertAlign w:val="baseline"/>
        </w:rPr>
        <w:t> </w:t>
      </w:r>
      <w:r>
        <w:rPr>
          <w:vertAlign w:val="baseline"/>
        </w:rPr>
        <w:t>arise</w:t>
      </w:r>
      <w:r>
        <w:rPr>
          <w:spacing w:val="-1"/>
          <w:vertAlign w:val="baseline"/>
        </w:rPr>
        <w:t> </w:t>
      </w:r>
      <w:r>
        <w:rPr>
          <w:vertAlign w:val="baseline"/>
        </w:rPr>
        <w:t>out</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fiduciary</w:t>
      </w:r>
      <w:r>
        <w:rPr>
          <w:spacing w:val="-1"/>
          <w:vertAlign w:val="baseline"/>
        </w:rPr>
        <w:t> </w:t>
      </w:r>
      <w:r>
        <w:rPr>
          <w:vertAlign w:val="baseline"/>
        </w:rPr>
        <w:t>relationship,</w:t>
      </w:r>
      <w:r>
        <w:rPr>
          <w:spacing w:val="-1"/>
          <w:vertAlign w:val="baseline"/>
        </w:rPr>
        <w:t> </w:t>
      </w:r>
      <w:r>
        <w:rPr>
          <w:vertAlign w:val="baseline"/>
        </w:rPr>
        <w:t>and</w:t>
      </w:r>
      <w:r>
        <w:rPr>
          <w:spacing w:val="-1"/>
          <w:vertAlign w:val="baseline"/>
        </w:rPr>
        <w:t> </w:t>
      </w:r>
      <w:r>
        <w:rPr>
          <w:vertAlign w:val="baseline"/>
        </w:rPr>
        <w:t>in</w:t>
      </w:r>
      <w:r>
        <w:rPr>
          <w:spacing w:val="-3"/>
          <w:vertAlign w:val="baseline"/>
        </w:rPr>
        <w:t> </w:t>
      </w:r>
      <w:r>
        <w:rPr>
          <w:rFonts w:ascii="Arial" w:hAnsi="Arial"/>
          <w:i/>
          <w:vertAlign w:val="baseline"/>
        </w:rPr>
        <w:t>Hedley</w:t>
      </w:r>
      <w:r>
        <w:rPr>
          <w:rFonts w:ascii="Arial" w:hAnsi="Arial"/>
          <w:i/>
          <w:spacing w:val="-1"/>
          <w:vertAlign w:val="baseline"/>
        </w:rPr>
        <w:t> </w:t>
      </w:r>
      <w:r>
        <w:rPr>
          <w:rFonts w:ascii="Arial" w:hAnsi="Arial"/>
          <w:i/>
          <w:vertAlign w:val="baseline"/>
        </w:rPr>
        <w:t>Byrne</w:t>
      </w:r>
      <w:r>
        <w:rPr>
          <w:rFonts w:ascii="Arial" w:hAnsi="Arial"/>
          <w:i/>
          <w:spacing w:val="-1"/>
          <w:vertAlign w:val="baseline"/>
        </w:rPr>
        <w:t> </w:t>
      </w:r>
      <w:r>
        <w:rPr>
          <w:rFonts w:ascii="Arial" w:hAnsi="Arial"/>
          <w:i/>
          <w:vertAlign w:val="baseline"/>
        </w:rPr>
        <w:t>&amp; Co Ltd v Heller and Partners Ltd </w:t>
      </w:r>
      <w:r>
        <w:rPr>
          <w:color w:val="005DA1"/>
          <w:u w:val="single" w:color="005DA1"/>
          <w:vertAlign w:val="superscript"/>
        </w:rPr>
        <w:t>351</w:t>
      </w:r>
      <w:r>
        <w:rPr>
          <w:color w:val="005DA1"/>
          <w:vertAlign w:val="baseline"/>
        </w:rPr>
        <w:t> </w:t>
      </w:r>
      <w:r>
        <w:rPr>
          <w:vertAlign w:val="baseline"/>
        </w:rPr>
        <w:t>the law was greatly widened by the decision that a duty to take care in making statements could arise out of many other “special relationships”. But the enactment of the Misrepresentation Act 1967 has somewhat reduced the importance of these cases so far as the law of contract is concerned.</w:t>
      </w:r>
    </w:p>
    <w:p>
      <w:pPr>
        <w:pStyle w:val="BodyText"/>
      </w:pPr>
    </w:p>
    <w:p>
      <w:pPr>
        <w:pStyle w:val="BodyText"/>
        <w:spacing w:before="34"/>
      </w:pPr>
    </w:p>
    <w:p>
      <w:pPr>
        <w:spacing w:before="0"/>
        <w:ind w:left="164" w:right="0" w:firstLine="0"/>
        <w:jc w:val="left"/>
        <w:rPr>
          <w:rFonts w:ascii="Arial"/>
          <w:b/>
          <w:sz w:val="18"/>
        </w:rPr>
      </w:pPr>
      <w:bookmarkStart w:name="_bookmark658" w:id="660"/>
      <w:bookmarkEnd w:id="660"/>
      <w:r>
        <w:rPr/>
      </w:r>
      <w:r>
        <w:rPr>
          <w:rFonts w:ascii="Arial"/>
          <w:b/>
          <w:sz w:val="18"/>
        </w:rPr>
        <w:t>Misrepresentation Act s.2(1)</w:t>
      </w:r>
      <w:r>
        <w:rPr>
          <w:rFonts w:ascii="Arial"/>
          <w:b/>
          <w:spacing w:val="-1"/>
          <w:sz w:val="18"/>
        </w:rPr>
        <w:t> </w:t>
      </w:r>
      <w:r>
        <w:rPr>
          <w:rFonts w:ascii="Arial"/>
          <w:b/>
          <w:color w:val="005DA1"/>
          <w:spacing w:val="-5"/>
          <w:sz w:val="18"/>
          <w:u w:val="single" w:color="005DA1"/>
          <w:vertAlign w:val="superscript"/>
        </w:rPr>
        <w:t>352</w:t>
      </w:r>
    </w:p>
    <w:p>
      <w:pPr>
        <w:pStyle w:val="BodyText"/>
        <w:spacing w:before="41"/>
        <w:rPr>
          <w:rFonts w:ascii="Arial"/>
          <w:b/>
          <w:sz w:val="18"/>
        </w:rPr>
      </w:pPr>
    </w:p>
    <w:p>
      <w:pPr>
        <w:pStyle w:val="Heading2"/>
      </w:pPr>
      <w:r>
        <w:rPr/>
        <w:t>7-</w:t>
      </w:r>
      <w:r>
        <w:rPr>
          <w:spacing w:val="-5"/>
        </w:rPr>
        <w:t>075</w:t>
      </w:r>
    </w:p>
    <w:p>
      <w:pPr>
        <w:pStyle w:val="BodyText"/>
        <w:spacing w:before="199"/>
        <w:ind w:left="165"/>
        <w:jc w:val="both"/>
      </w:pPr>
      <w:r>
        <w:rPr/>
        <w:t>This subsection reads as </w:t>
      </w:r>
      <w:r>
        <w:rPr>
          <w:spacing w:val="-2"/>
        </w:rPr>
        <w:t>follows:</w:t>
      </w:r>
    </w:p>
    <w:p>
      <w:pPr>
        <w:pStyle w:val="BodyText"/>
      </w:pPr>
    </w:p>
    <w:p>
      <w:pPr>
        <w:pStyle w:val="BodyText"/>
        <w:spacing w:before="125"/>
      </w:pPr>
    </w:p>
    <w:p>
      <w:pPr>
        <w:pStyle w:val="BodyText"/>
        <w:spacing w:line="235" w:lineRule="auto" w:before="1"/>
        <w:ind w:left="1245" w:right="167"/>
        <w:jc w:val="both"/>
      </w:pPr>
      <w:r>
        <w:rPr/>
        <w:t>“Where a person has entered into a contract after a misrepresentation has been made to him by another party thereto and as a result thereof he has suffered loss, then, if the person making the misrepresentation would be liable to damages in respect thereof </w:t>
      </w:r>
      <w:r>
        <w:rPr/>
        <w:t>had the misrepresentation been made fraudulently, that person shall be so liable notwithstanding that the misrepresentation was not made fraudulently, unless he proves that he had reasonable ground to believe and did believe up to the time the contract was made that the facts represented were true.”</w:t>
      </w:r>
    </w:p>
    <w:p>
      <w:pPr>
        <w:pStyle w:val="BodyText"/>
        <w:spacing w:before="114"/>
      </w:pPr>
    </w:p>
    <w:p>
      <w:pPr>
        <w:pStyle w:val="BodyText"/>
        <w:spacing w:line="235" w:lineRule="auto"/>
        <w:ind w:left="165" w:right="167"/>
        <w:jc w:val="both"/>
      </w:pPr>
      <w:r>
        <w:rPr/>
        <w:t>Thus, where a person is induced to enter into a contract as a result of a misrepresentation, </w:t>
      </w:r>
      <w:r>
        <w:rPr/>
        <w:t>this </w:t>
      </w:r>
      <w:bookmarkStart w:name="_bookmark659" w:id="661"/>
      <w:bookmarkEnd w:id="661"/>
      <w:r>
        <w:rPr/>
        <w:t>subsection</w:t>
      </w:r>
      <w:r>
        <w:rPr/>
        <w:t> does away with the need to establish any duty of care as between the representor and the representee. In any circumstances in which this section applies, </w:t>
      </w:r>
      <w:r>
        <w:rPr>
          <w:color w:val="005DA1"/>
          <w:u w:val="single" w:color="005DA1"/>
          <w:vertAlign w:val="superscript"/>
        </w:rPr>
        <w:t>353</w:t>
      </w:r>
      <w:r>
        <w:rPr>
          <w:color w:val="005DA1"/>
          <w:vertAlign w:val="baseline"/>
        </w:rPr>
        <w:t> </w:t>
      </w:r>
      <w:r>
        <w:rPr>
          <w:vertAlign w:val="baseline"/>
        </w:rPr>
        <w:t>the representee will have an</w:t>
      </w:r>
      <w:r>
        <w:rPr>
          <w:spacing w:val="40"/>
          <w:vertAlign w:val="baseline"/>
        </w:rPr>
        <w:t> </w:t>
      </w:r>
      <w:bookmarkStart w:name="_bookmark660" w:id="662"/>
      <w:bookmarkEnd w:id="662"/>
      <w:r>
        <w:rPr>
          <w:vertAlign w:val="baseline"/>
        </w:rPr>
        <w:t>action</w:t>
      </w:r>
      <w:r>
        <w:rPr>
          <w:vertAlign w:val="baseline"/>
        </w:rPr>
        <w:t> for damages under the Act. In </w:t>
      </w:r>
      <w:r>
        <w:rPr>
          <w:rFonts w:ascii="Arial"/>
          <w:i/>
          <w:vertAlign w:val="baseline"/>
        </w:rPr>
        <w:t>Howard Marine and Dredging Co Ltd v A. Ogden &amp; Sons (Excavations) Ltd </w:t>
      </w:r>
      <w:r>
        <w:rPr>
          <w:color w:val="005DA1"/>
          <w:u w:val="single" w:color="005DA1"/>
          <w:vertAlign w:val="superscript"/>
        </w:rPr>
        <w:t>354</w:t>
      </w:r>
      <w:r>
        <w:rPr>
          <w:color w:val="005DA1"/>
          <w:vertAlign w:val="baseline"/>
        </w:rPr>
        <w:t> </w:t>
      </w:r>
      <w:r>
        <w:rPr>
          <w:vertAlign w:val="baseline"/>
        </w:rPr>
        <w:t>the plaintiffs misrepresented to the defendants the carrying capacity of two barges which the defendants wished to hire for carrying large quantities of clay out to sea and dumping them. The defendants entered into the contract in reliance on this misrepresentation and used the barges for some time, after which they discovered the true facts and returned the barges. It was</w:t>
      </w:r>
      <w:r>
        <w:rPr>
          <w:spacing w:val="2"/>
          <w:vertAlign w:val="baseline"/>
        </w:rPr>
        <w:t> </w:t>
      </w:r>
      <w:r>
        <w:rPr>
          <w:vertAlign w:val="baseline"/>
        </w:rPr>
        <w:t>said</w:t>
      </w:r>
      <w:r>
        <w:rPr>
          <w:spacing w:val="2"/>
          <w:vertAlign w:val="baseline"/>
        </w:rPr>
        <w:t> </w:t>
      </w:r>
      <w:r>
        <w:rPr>
          <w:vertAlign w:val="baseline"/>
        </w:rPr>
        <w:t>by</w:t>
      </w:r>
      <w:r>
        <w:rPr>
          <w:spacing w:val="2"/>
          <w:vertAlign w:val="baseline"/>
        </w:rPr>
        <w:t> </w:t>
      </w:r>
      <w:r>
        <w:rPr>
          <w:vertAlign w:val="baseline"/>
        </w:rPr>
        <w:t>a</w:t>
      </w:r>
      <w:r>
        <w:rPr>
          <w:spacing w:val="2"/>
          <w:vertAlign w:val="baseline"/>
        </w:rPr>
        <w:t> </w:t>
      </w:r>
      <w:r>
        <w:rPr>
          <w:vertAlign w:val="baseline"/>
        </w:rPr>
        <w:t>majority</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of</w:t>
      </w:r>
      <w:r>
        <w:rPr>
          <w:spacing w:val="2"/>
          <w:vertAlign w:val="baseline"/>
        </w:rPr>
        <w:t> </w:t>
      </w:r>
      <w:r>
        <w:rPr>
          <w:vertAlign w:val="baseline"/>
        </w:rPr>
        <w:t>Appeal</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plaintiffs</w:t>
      </w:r>
      <w:r>
        <w:rPr>
          <w:spacing w:val="2"/>
          <w:vertAlign w:val="baseline"/>
        </w:rPr>
        <w:t> </w:t>
      </w:r>
      <w:r>
        <w:rPr>
          <w:vertAlign w:val="baseline"/>
        </w:rPr>
        <w:t>were</w:t>
      </w:r>
      <w:r>
        <w:rPr>
          <w:spacing w:val="2"/>
          <w:vertAlign w:val="baseline"/>
        </w:rPr>
        <w:t> </w:t>
      </w:r>
      <w:r>
        <w:rPr>
          <w:vertAlign w:val="baseline"/>
        </w:rPr>
        <w:t>probably</w:t>
      </w:r>
      <w:r>
        <w:rPr>
          <w:spacing w:val="2"/>
          <w:vertAlign w:val="baseline"/>
        </w:rPr>
        <w:t> </w:t>
      </w:r>
      <w:r>
        <w:rPr>
          <w:vertAlign w:val="baseline"/>
        </w:rPr>
        <w:t>not</w:t>
      </w:r>
      <w:r>
        <w:rPr>
          <w:spacing w:val="2"/>
          <w:vertAlign w:val="baseline"/>
        </w:rPr>
        <w:t> </w:t>
      </w:r>
      <w:r>
        <w:rPr>
          <w:vertAlign w:val="baseline"/>
        </w:rPr>
        <w:t>under</w:t>
      </w:r>
      <w:r>
        <w:rPr>
          <w:spacing w:val="2"/>
          <w:vertAlign w:val="baseline"/>
        </w:rPr>
        <w:t> </w:t>
      </w:r>
      <w:r>
        <w:rPr>
          <w:vertAlign w:val="baseline"/>
        </w:rPr>
        <w:t>a</w:t>
      </w:r>
      <w:r>
        <w:rPr>
          <w:spacing w:val="2"/>
          <w:vertAlign w:val="baseline"/>
        </w:rPr>
        <w:t> </w:t>
      </w:r>
      <w:r>
        <w:rPr>
          <w:vertAlign w:val="baseline"/>
        </w:rPr>
        <w:t>duty</w:t>
      </w:r>
      <w:r>
        <w:rPr>
          <w:spacing w:val="2"/>
          <w:vertAlign w:val="baseline"/>
        </w:rPr>
        <w:t> </w:t>
      </w:r>
      <w:r>
        <w:rPr>
          <w:vertAlign w:val="baseline"/>
        </w:rPr>
        <w:t>of</w:t>
      </w:r>
      <w:r>
        <w:rPr>
          <w:spacing w:val="2"/>
          <w:vertAlign w:val="baseline"/>
        </w:rPr>
        <w:t> </w:t>
      </w:r>
      <w:r>
        <w:rPr>
          <w:spacing w:val="-4"/>
          <w:vertAlign w:val="baseline"/>
        </w:rPr>
        <w:t>care</w:t>
      </w:r>
    </w:p>
    <w:p>
      <w:pPr>
        <w:pStyle w:val="BodyText"/>
        <w:spacing w:after="0" w:line="235" w:lineRule="auto"/>
        <w:jc w:val="both"/>
        <w:sectPr>
          <w:headerReference w:type="default" r:id="rId12"/>
          <w:pgSz w:w="11900" w:h="16840"/>
          <w:pgMar w:header="971" w:footer="0" w:top="1160" w:bottom="280" w:left="1275" w:right="1275"/>
          <w:pgNumType w:start="1"/>
        </w:sectPr>
      </w:pPr>
    </w:p>
    <w:p>
      <w:pPr>
        <w:pStyle w:val="BodyText"/>
        <w:spacing w:before="24"/>
      </w:pPr>
    </w:p>
    <w:p>
      <w:pPr>
        <w:pStyle w:val="BodyText"/>
        <w:spacing w:line="235" w:lineRule="auto" w:before="1"/>
        <w:ind w:left="165" w:right="167"/>
        <w:jc w:val="both"/>
      </w:pPr>
      <w:r>
        <w:rPr/>
        <w:t>at common law, but a differently-constituted majority held that the defendants were entitled </w:t>
      </w:r>
      <w:r>
        <w:rPr/>
        <w:t>to damages for a breach of s.2(1) of the 1967 Act.</w:t>
      </w:r>
    </w:p>
    <w:p>
      <w:pPr>
        <w:pStyle w:val="BodyText"/>
      </w:pPr>
    </w:p>
    <w:p>
      <w:pPr>
        <w:pStyle w:val="BodyText"/>
        <w:spacing w:before="37"/>
      </w:pPr>
    </w:p>
    <w:p>
      <w:pPr>
        <w:spacing w:before="1"/>
        <w:ind w:left="165" w:right="0" w:firstLine="0"/>
        <w:jc w:val="left"/>
        <w:rPr>
          <w:rFonts w:ascii="Arial"/>
          <w:b/>
          <w:sz w:val="18"/>
        </w:rPr>
      </w:pPr>
      <w:r>
        <w:rPr>
          <w:rFonts w:ascii="Arial"/>
          <w:b/>
          <w:sz w:val="18"/>
        </w:rPr>
        <w:t>Not strictly speaking liability for </w:t>
      </w:r>
      <w:r>
        <w:rPr>
          <w:rFonts w:ascii="Arial"/>
          <w:b/>
          <w:spacing w:val="-2"/>
          <w:sz w:val="18"/>
        </w:rPr>
        <w:t>negligence</w:t>
      </w:r>
    </w:p>
    <w:p>
      <w:pPr>
        <w:pStyle w:val="BodyText"/>
        <w:spacing w:before="41"/>
        <w:rPr>
          <w:rFonts w:ascii="Arial"/>
          <w:b/>
          <w:sz w:val="18"/>
        </w:rPr>
      </w:pPr>
    </w:p>
    <w:p>
      <w:pPr>
        <w:pStyle w:val="Heading2"/>
      </w:pPr>
      <w:r>
        <w:rPr/>
        <w:t>7-</w:t>
      </w:r>
      <w:r>
        <w:rPr>
          <w:spacing w:val="-5"/>
        </w:rPr>
        <w:t>076</w:t>
      </w:r>
    </w:p>
    <w:p>
      <w:pPr>
        <w:pStyle w:val="BodyText"/>
        <w:spacing w:line="235" w:lineRule="auto" w:before="203"/>
        <w:ind w:left="165" w:right="167"/>
        <w:jc w:val="both"/>
      </w:pPr>
      <w:bookmarkStart w:name="_bookmark661" w:id="663"/>
      <w:bookmarkEnd w:id="663"/>
      <w:r>
        <w:rPr/>
      </w:r>
      <w:r>
        <w:rPr/>
        <w:t>In </w:t>
      </w:r>
      <w:r>
        <w:rPr>
          <w:rFonts w:ascii="Arial"/>
          <w:i/>
        </w:rPr>
        <w:t>Howard Marine and Dredging Co Ltd v A. Ogden &amp; Sons (Excavations) Ltd </w:t>
      </w:r>
      <w:r>
        <w:rPr>
          <w:color w:val="005DA1"/>
          <w:u w:val="single" w:color="005DA1"/>
          <w:vertAlign w:val="superscript"/>
        </w:rPr>
        <w:t>355</w:t>
      </w:r>
      <w:r>
        <w:rPr>
          <w:color w:val="005DA1"/>
          <w:vertAlign w:val="baseline"/>
        </w:rPr>
        <w:t> </w:t>
      </w:r>
      <w:r>
        <w:rPr>
          <w:vertAlign w:val="baseline"/>
        </w:rPr>
        <w:t>it was also stressed that under s.2(1) the question was, strictly speaking, not one of negligence, but that the Act </w:t>
      </w:r>
      <w:r>
        <w:rPr>
          <w:vertAlign w:val="baseline"/>
        </w:rPr>
        <w:t>imposed an absolute obligation not to state facts which the representor cannot prove he had reasonable </w:t>
      </w:r>
      <w:bookmarkStart w:name="_bookmark662" w:id="664"/>
      <w:bookmarkEnd w:id="664"/>
      <w:r>
        <w:rPr>
          <w:vertAlign w:val="baseline"/>
        </w:rPr>
        <w:t>grounds</w:t>
      </w:r>
      <w:r>
        <w:rPr>
          <w:vertAlign w:val="baseline"/>
        </w:rPr>
        <w:t> to believe. No doubt it is correct to say that it is not a question of negligence, as at common law, where a duty of care is in issue </w:t>
      </w:r>
      <w:r>
        <w:rPr>
          <w:color w:val="005DA1"/>
          <w:u w:val="single" w:color="005DA1"/>
          <w:vertAlign w:val="superscript"/>
        </w:rPr>
        <w:t>356</w:t>
      </w:r>
      <w:r>
        <w:rPr>
          <w:vertAlign w:val="baseline"/>
        </w:rPr>
        <w:t>; and it is possible that circumstances may exist in which a person</w:t>
      </w:r>
      <w:r>
        <w:rPr>
          <w:spacing w:val="-1"/>
          <w:vertAlign w:val="baseline"/>
        </w:rPr>
        <w:t> </w:t>
      </w:r>
      <w:r>
        <w:rPr>
          <w:vertAlign w:val="baseline"/>
        </w:rPr>
        <w:t>may</w:t>
      </w:r>
      <w:r>
        <w:rPr>
          <w:spacing w:val="-1"/>
          <w:vertAlign w:val="baseline"/>
        </w:rPr>
        <w:t> </w:t>
      </w:r>
      <w:r>
        <w:rPr>
          <w:vertAlign w:val="baseline"/>
        </w:rPr>
        <w:t>make</w:t>
      </w:r>
      <w:r>
        <w:rPr>
          <w:spacing w:val="-1"/>
          <w:vertAlign w:val="baseline"/>
        </w:rPr>
        <w:t> </w:t>
      </w:r>
      <w:r>
        <w:rPr>
          <w:vertAlign w:val="baseline"/>
        </w:rPr>
        <w:t>a</w:t>
      </w:r>
      <w:r>
        <w:rPr>
          <w:spacing w:val="-1"/>
          <w:vertAlign w:val="baseline"/>
        </w:rPr>
        <w:t> </w:t>
      </w:r>
      <w:r>
        <w:rPr>
          <w:vertAlign w:val="baseline"/>
        </w:rPr>
        <w:t>statement</w:t>
      </w:r>
      <w:r>
        <w:rPr>
          <w:spacing w:val="-1"/>
          <w:vertAlign w:val="baseline"/>
        </w:rPr>
        <w:t> </w:t>
      </w:r>
      <w:r>
        <w:rPr>
          <w:vertAlign w:val="baseline"/>
        </w:rPr>
        <w:t>without</w:t>
      </w:r>
      <w:r>
        <w:rPr>
          <w:spacing w:val="-1"/>
          <w:vertAlign w:val="baseline"/>
        </w:rPr>
        <w:t> </w:t>
      </w:r>
      <w:r>
        <w:rPr>
          <w:vertAlign w:val="baseline"/>
        </w:rPr>
        <w:t>having</w:t>
      </w:r>
      <w:r>
        <w:rPr>
          <w:spacing w:val="-1"/>
          <w:vertAlign w:val="baseline"/>
        </w:rPr>
        <w:t> </w:t>
      </w:r>
      <w:r>
        <w:rPr>
          <w:vertAlign w:val="baseline"/>
        </w:rPr>
        <w:t>reasonable</w:t>
      </w:r>
      <w:r>
        <w:rPr>
          <w:spacing w:val="-1"/>
          <w:vertAlign w:val="baseline"/>
        </w:rPr>
        <w:t> </w:t>
      </w:r>
      <w:r>
        <w:rPr>
          <w:vertAlign w:val="baseline"/>
        </w:rPr>
        <w:t>ground</w:t>
      </w:r>
      <w:r>
        <w:rPr>
          <w:spacing w:val="-1"/>
          <w:vertAlign w:val="baseline"/>
        </w:rPr>
        <w:t> </w:t>
      </w:r>
      <w:r>
        <w:rPr>
          <w:vertAlign w:val="baseline"/>
        </w:rPr>
        <w:t>to</w:t>
      </w:r>
      <w:r>
        <w:rPr>
          <w:spacing w:val="-1"/>
          <w:vertAlign w:val="baseline"/>
        </w:rPr>
        <w:t> </w:t>
      </w:r>
      <w:r>
        <w:rPr>
          <w:vertAlign w:val="baseline"/>
        </w:rPr>
        <w:t>believe</w:t>
      </w:r>
      <w:r>
        <w:rPr>
          <w:spacing w:val="-1"/>
          <w:vertAlign w:val="baseline"/>
        </w:rPr>
        <w:t> </w:t>
      </w:r>
      <w:r>
        <w:rPr>
          <w:vertAlign w:val="baseline"/>
        </w:rPr>
        <w:t>it,</w:t>
      </w:r>
      <w:r>
        <w:rPr>
          <w:spacing w:val="-1"/>
          <w:vertAlign w:val="baseline"/>
        </w:rPr>
        <w:t> </w:t>
      </w:r>
      <w:r>
        <w:rPr>
          <w:vertAlign w:val="baseline"/>
        </w:rPr>
        <w:t>yet</w:t>
      </w:r>
      <w:r>
        <w:rPr>
          <w:spacing w:val="-1"/>
          <w:vertAlign w:val="baseline"/>
        </w:rPr>
        <w:t> </w:t>
      </w:r>
      <w:r>
        <w:rPr>
          <w:vertAlign w:val="baseline"/>
        </w:rPr>
        <w:t>in</w:t>
      </w:r>
      <w:r>
        <w:rPr>
          <w:spacing w:val="-1"/>
          <w:vertAlign w:val="baseline"/>
        </w:rPr>
        <w:t> </w:t>
      </w:r>
      <w:r>
        <w:rPr>
          <w:vertAlign w:val="baseline"/>
        </w:rPr>
        <w:t>which</w:t>
      </w:r>
      <w:r>
        <w:rPr>
          <w:spacing w:val="-1"/>
          <w:vertAlign w:val="baseline"/>
        </w:rPr>
        <w:t> </w:t>
      </w:r>
      <w:r>
        <w:rPr>
          <w:vertAlign w:val="baseline"/>
        </w:rPr>
        <w:t>it</w:t>
      </w:r>
      <w:r>
        <w:rPr>
          <w:spacing w:val="-1"/>
          <w:vertAlign w:val="baseline"/>
        </w:rPr>
        <w:t> </w:t>
      </w:r>
      <w:r>
        <w:rPr>
          <w:vertAlign w:val="baseline"/>
        </w:rPr>
        <w:t>would</w:t>
      </w:r>
      <w:r>
        <w:rPr>
          <w:spacing w:val="-1"/>
          <w:vertAlign w:val="baseline"/>
        </w:rPr>
        <w:t> </w:t>
      </w:r>
      <w:r>
        <w:rPr>
          <w:vertAlign w:val="baseline"/>
        </w:rPr>
        <w:t>be held that he was not (having regard to all the circumstances) negligent. Nevertheless, for explanatory purposes it is sufficient to equate liability under s.2(1) of the Act with liability for negligence, and the statutory liability is referred to in this chapter, for the sake of convenience, as a liability for negligence.</w:t>
      </w:r>
    </w:p>
    <w:p>
      <w:pPr>
        <w:pStyle w:val="BodyText"/>
      </w:pPr>
    </w:p>
    <w:p>
      <w:pPr>
        <w:pStyle w:val="BodyText"/>
        <w:spacing w:before="35"/>
      </w:pPr>
    </w:p>
    <w:p>
      <w:pPr>
        <w:spacing w:before="0"/>
        <w:ind w:left="165" w:right="0" w:firstLine="0"/>
        <w:jc w:val="left"/>
        <w:rPr>
          <w:rFonts w:ascii="Arial"/>
          <w:b/>
          <w:sz w:val="18"/>
        </w:rPr>
      </w:pPr>
      <w:r>
        <w:rPr>
          <w:rFonts w:ascii="Arial"/>
          <w:b/>
          <w:sz w:val="18"/>
        </w:rPr>
        <w:t>Effect of </w:t>
      </w:r>
      <w:r>
        <w:rPr>
          <w:rFonts w:ascii="Arial"/>
          <w:b/>
          <w:spacing w:val="-2"/>
          <w:sz w:val="18"/>
        </w:rPr>
        <w:t>s.2(1)</w:t>
      </w:r>
    </w:p>
    <w:p>
      <w:pPr>
        <w:pStyle w:val="BodyText"/>
        <w:spacing w:before="41"/>
        <w:rPr>
          <w:rFonts w:ascii="Arial"/>
          <w:b/>
          <w:sz w:val="18"/>
        </w:rPr>
      </w:pPr>
    </w:p>
    <w:p>
      <w:pPr>
        <w:pStyle w:val="Heading2"/>
      </w:pPr>
      <w:r>
        <w:rPr/>
        <w:t>7-</w:t>
      </w:r>
      <w:r>
        <w:rPr>
          <w:spacing w:val="-5"/>
        </w:rPr>
        <w:t>077</w:t>
      </w:r>
    </w:p>
    <w:p>
      <w:pPr>
        <w:pStyle w:val="BodyText"/>
        <w:spacing w:line="235" w:lineRule="auto" w:before="203"/>
        <w:ind w:left="164" w:right="167"/>
        <w:jc w:val="both"/>
      </w:pPr>
      <w:r>
        <w:rPr/>
        <w:t>It will be noted that the gist of the subsection is to confer a right to damages for negligent </w:t>
      </w:r>
      <w:bookmarkStart w:name="_bookmark663" w:id="665"/>
      <w:bookmarkEnd w:id="665"/>
      <w:r>
        <w:rPr/>
        <w:t>misrepresentation</w:t>
      </w:r>
      <w:r>
        <w:rPr/>
        <w:t> in circumstances in which such a right would exist if the misrepresentation has </w:t>
      </w:r>
      <w:bookmarkStart w:name="_bookmark664" w:id="666"/>
      <w:bookmarkEnd w:id="666"/>
      <w:r>
        <w:rPr/>
        <w:t>been</w:t>
      </w:r>
      <w:r>
        <w:rPr/>
        <w:t> fraudulent. </w:t>
      </w:r>
      <w:r>
        <w:rPr>
          <w:color w:val="005DA1"/>
          <w:u w:val="single" w:color="005DA1"/>
          <w:vertAlign w:val="superscript"/>
        </w:rPr>
        <w:t>357</w:t>
      </w:r>
      <w:r>
        <w:rPr>
          <w:color w:val="005DA1"/>
          <w:vertAlign w:val="baseline"/>
        </w:rPr>
        <w:t> </w:t>
      </w:r>
      <w:r>
        <w:rPr>
          <w:vertAlign w:val="baseline"/>
        </w:rPr>
        <w:t>A number of consequences seem to follow from this. First, the rules relating </w:t>
      </w:r>
      <w:r>
        <w:rPr>
          <w:vertAlign w:val="baseline"/>
        </w:rPr>
        <w:t>to </w:t>
      </w:r>
      <w:bookmarkStart w:name="_bookmark665" w:id="667"/>
      <w:bookmarkEnd w:id="667"/>
      <w:r>
        <w:rPr>
          <w:vertAlign w:val="baseline"/>
        </w:rPr>
        <w:t>what</w:t>
      </w:r>
      <w:r>
        <w:rPr>
          <w:spacing w:val="-4"/>
          <w:vertAlign w:val="baseline"/>
        </w:rPr>
        <w:t> </w:t>
      </w:r>
      <w:r>
        <w:rPr>
          <w:vertAlign w:val="baseline"/>
        </w:rPr>
        <w:t>constitutes</w:t>
      </w:r>
      <w:r>
        <w:rPr>
          <w:spacing w:val="-4"/>
          <w:vertAlign w:val="baseline"/>
        </w:rPr>
        <w:t> </w:t>
      </w:r>
      <w:r>
        <w:rPr>
          <w:vertAlign w:val="baseline"/>
        </w:rPr>
        <w:t>a</w:t>
      </w:r>
      <w:r>
        <w:rPr>
          <w:spacing w:val="-4"/>
          <w:vertAlign w:val="baseline"/>
        </w:rPr>
        <w:t> </w:t>
      </w:r>
      <w:r>
        <w:rPr>
          <w:vertAlign w:val="baseline"/>
        </w:rPr>
        <w:t>misrepresentation,</w:t>
      </w:r>
      <w:r>
        <w:rPr>
          <w:spacing w:val="-4"/>
          <w:vertAlign w:val="baseline"/>
        </w:rPr>
        <w:t> </w:t>
      </w:r>
      <w:r>
        <w:rPr>
          <w:color w:val="005DA1"/>
          <w:u w:val="single" w:color="005DA1"/>
          <w:vertAlign w:val="superscript"/>
        </w:rPr>
        <w:t>358</w:t>
      </w:r>
      <w:r>
        <w:rPr>
          <w:color w:val="005DA1"/>
          <w:spacing w:val="-4"/>
          <w:vertAlign w:val="baseline"/>
        </w:rPr>
        <w:t> </w:t>
      </w:r>
      <w:r>
        <w:rPr>
          <w:vertAlign w:val="baseline"/>
        </w:rPr>
        <w:t>and</w:t>
      </w:r>
      <w:r>
        <w:rPr>
          <w:spacing w:val="-4"/>
          <w:vertAlign w:val="baseline"/>
        </w:rPr>
        <w:t> </w:t>
      </w:r>
      <w:r>
        <w:rPr>
          <w:vertAlign w:val="baseline"/>
        </w:rPr>
        <w:t>the</w:t>
      </w:r>
      <w:r>
        <w:rPr>
          <w:spacing w:val="-4"/>
          <w:vertAlign w:val="baseline"/>
        </w:rPr>
        <w:t> </w:t>
      </w:r>
      <w:r>
        <w:rPr>
          <w:vertAlign w:val="baseline"/>
        </w:rPr>
        <w:t>principle</w:t>
      </w:r>
      <w:r>
        <w:rPr>
          <w:spacing w:val="-4"/>
          <w:vertAlign w:val="baseline"/>
        </w:rPr>
        <w:t> </w:t>
      </w:r>
      <w:r>
        <w:rPr>
          <w:vertAlign w:val="baseline"/>
        </w:rPr>
        <w:t>that</w:t>
      </w:r>
      <w:r>
        <w:rPr>
          <w:spacing w:val="-4"/>
          <w:vertAlign w:val="baseline"/>
        </w:rPr>
        <w:t> </w:t>
      </w:r>
      <w:r>
        <w:rPr>
          <w:vertAlign w:val="baseline"/>
        </w:rPr>
        <w:t>the</w:t>
      </w:r>
      <w:r>
        <w:rPr>
          <w:spacing w:val="-4"/>
          <w:vertAlign w:val="baseline"/>
        </w:rPr>
        <w:t> </w:t>
      </w:r>
      <w:r>
        <w:rPr>
          <w:vertAlign w:val="baseline"/>
        </w:rPr>
        <w:t>representation</w:t>
      </w:r>
      <w:r>
        <w:rPr>
          <w:spacing w:val="-4"/>
          <w:vertAlign w:val="baseline"/>
        </w:rPr>
        <w:t> </w:t>
      </w:r>
      <w:r>
        <w:rPr>
          <w:vertAlign w:val="baseline"/>
        </w:rPr>
        <w:t>must</w:t>
      </w:r>
      <w:r>
        <w:rPr>
          <w:spacing w:val="-4"/>
          <w:vertAlign w:val="baseline"/>
        </w:rPr>
        <w:t> </w:t>
      </w:r>
      <w:r>
        <w:rPr>
          <w:vertAlign w:val="baseline"/>
        </w:rPr>
        <w:t>have</w:t>
      </w:r>
      <w:r>
        <w:rPr>
          <w:spacing w:val="-4"/>
          <w:vertAlign w:val="baseline"/>
        </w:rPr>
        <w:t> </w:t>
      </w:r>
      <w:r>
        <w:rPr>
          <w:vertAlign w:val="baseline"/>
        </w:rPr>
        <w:t>been</w:t>
      </w:r>
      <w:r>
        <w:rPr>
          <w:spacing w:val="-4"/>
          <w:vertAlign w:val="baseline"/>
        </w:rPr>
        <w:t> </w:t>
      </w:r>
      <w:r>
        <w:rPr>
          <w:vertAlign w:val="baseline"/>
        </w:rPr>
        <w:t>one of the inducements influencing the mind of the representee, </w:t>
      </w:r>
      <w:r>
        <w:rPr>
          <w:color w:val="005DA1"/>
          <w:u w:val="single" w:color="005DA1"/>
          <w:vertAlign w:val="superscript"/>
        </w:rPr>
        <w:t>359</w:t>
      </w:r>
      <w:r>
        <w:rPr>
          <w:color w:val="005DA1"/>
          <w:vertAlign w:val="baseline"/>
        </w:rPr>
        <w:t> </w:t>
      </w:r>
      <w:r>
        <w:rPr>
          <w:vertAlign w:val="baseline"/>
        </w:rPr>
        <w:t>will apply to an action under the </w:t>
      </w:r>
      <w:bookmarkStart w:name="_bookmark666" w:id="668"/>
      <w:bookmarkEnd w:id="668"/>
      <w:r>
        <w:rPr>
          <w:vertAlign w:val="baseline"/>
        </w:rPr>
        <w:t>subsection</w:t>
      </w:r>
      <w:r>
        <w:rPr>
          <w:vertAlign w:val="baseline"/>
        </w:rPr>
        <w:t> as they apply to an action in fraud. Secondly, it is now settled that the basic measure of </w:t>
      </w:r>
      <w:bookmarkStart w:name="_bookmark667" w:id="669"/>
      <w:bookmarkEnd w:id="669"/>
      <w:r>
        <w:rPr>
          <w:vertAlign w:val="baseline"/>
        </w:rPr>
        <w:t>damages</w:t>
      </w:r>
      <w:r>
        <w:rPr>
          <w:vertAlign w:val="baseline"/>
        </w:rPr>
        <w:t> under the subsection is the same as the measure of damages for fraud. </w:t>
      </w:r>
      <w:r>
        <w:rPr>
          <w:color w:val="005DA1"/>
          <w:u w:val="single" w:color="005DA1"/>
          <w:vertAlign w:val="superscript"/>
        </w:rPr>
        <w:t>360</w:t>
      </w:r>
      <w:r>
        <w:rPr>
          <w:color w:val="005DA1"/>
          <w:vertAlign w:val="baseline"/>
        </w:rPr>
        <w:t> </w:t>
      </w:r>
      <w:r>
        <w:rPr>
          <w:vertAlign w:val="baseline"/>
        </w:rPr>
        <w:t>This follows</w:t>
      </w:r>
      <w:r>
        <w:rPr>
          <w:spacing w:val="40"/>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wording</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subsection.</w:t>
      </w:r>
      <w:r>
        <w:rPr>
          <w:spacing w:val="-2"/>
          <w:vertAlign w:val="baseline"/>
        </w:rPr>
        <w:t> </w:t>
      </w:r>
      <w:r>
        <w:rPr>
          <w:color w:val="005DA1"/>
          <w:u w:val="single" w:color="005DA1"/>
          <w:vertAlign w:val="superscript"/>
        </w:rPr>
        <w:t>361</w:t>
      </w:r>
      <w:r>
        <w:rPr>
          <w:color w:val="005DA1"/>
          <w:spacing w:val="-2"/>
          <w:vertAlign w:val="baseline"/>
        </w:rPr>
        <w:t> </w:t>
      </w:r>
      <w:r>
        <w:rPr>
          <w:vertAlign w:val="baseline"/>
        </w:rPr>
        <w:t>In</w:t>
      </w:r>
      <w:r>
        <w:rPr>
          <w:spacing w:val="-2"/>
          <w:vertAlign w:val="baseline"/>
        </w:rPr>
        <w:t> </w:t>
      </w:r>
      <w:r>
        <w:rPr>
          <w:vertAlign w:val="baseline"/>
        </w:rPr>
        <w:t>any</w:t>
      </w:r>
      <w:r>
        <w:rPr>
          <w:spacing w:val="-2"/>
          <w:vertAlign w:val="baseline"/>
        </w:rPr>
        <w:t> </w:t>
      </w:r>
      <w:r>
        <w:rPr>
          <w:vertAlign w:val="baseline"/>
        </w:rPr>
        <w:t>event</w:t>
      </w:r>
      <w:r>
        <w:rPr>
          <w:spacing w:val="-2"/>
          <w:vertAlign w:val="baseline"/>
        </w:rPr>
        <w:t> </w:t>
      </w:r>
      <w:r>
        <w:rPr>
          <w:vertAlign w:val="baseline"/>
        </w:rPr>
        <w:t>it</w:t>
      </w:r>
      <w:r>
        <w:rPr>
          <w:spacing w:val="-2"/>
          <w:vertAlign w:val="baseline"/>
        </w:rPr>
        <w:t> </w:t>
      </w:r>
      <w:r>
        <w:rPr>
          <w:vertAlign w:val="baseline"/>
        </w:rPr>
        <w:t>would</w:t>
      </w:r>
      <w:r>
        <w:rPr>
          <w:spacing w:val="-2"/>
          <w:vertAlign w:val="baseline"/>
        </w:rPr>
        <w:t> </w:t>
      </w:r>
      <w:r>
        <w:rPr>
          <w:vertAlign w:val="baseline"/>
        </w:rPr>
        <w:t>be</w:t>
      </w:r>
      <w:r>
        <w:rPr>
          <w:spacing w:val="-2"/>
          <w:vertAlign w:val="baseline"/>
        </w:rPr>
        <w:t> </w:t>
      </w:r>
      <w:r>
        <w:rPr>
          <w:vertAlign w:val="baseline"/>
        </w:rPr>
        <w:t>highly</w:t>
      </w:r>
      <w:r>
        <w:rPr>
          <w:spacing w:val="-2"/>
          <w:vertAlign w:val="baseline"/>
        </w:rPr>
        <w:t> </w:t>
      </w:r>
      <w:r>
        <w:rPr>
          <w:vertAlign w:val="baseline"/>
        </w:rPr>
        <w:t>anomalous</w:t>
      </w:r>
      <w:r>
        <w:rPr>
          <w:spacing w:val="-2"/>
          <w:vertAlign w:val="baseline"/>
        </w:rPr>
        <w:t> </w:t>
      </w:r>
      <w:r>
        <w:rPr>
          <w:vertAlign w:val="baseline"/>
        </w:rPr>
        <w:t>if</w:t>
      </w:r>
      <w:r>
        <w:rPr>
          <w:spacing w:val="-2"/>
          <w:vertAlign w:val="baseline"/>
        </w:rPr>
        <w:t> </w:t>
      </w:r>
      <w:r>
        <w:rPr>
          <w:vertAlign w:val="baseline"/>
        </w:rPr>
        <w:t>the</w:t>
      </w:r>
      <w:r>
        <w:rPr>
          <w:spacing w:val="-2"/>
          <w:vertAlign w:val="baseline"/>
        </w:rPr>
        <w:t> </w:t>
      </w:r>
      <w:r>
        <w:rPr>
          <w:vertAlign w:val="baseline"/>
        </w:rPr>
        <w:t>basic</w:t>
      </w:r>
      <w:r>
        <w:rPr>
          <w:spacing w:val="-2"/>
          <w:vertAlign w:val="baseline"/>
        </w:rPr>
        <w:t> </w:t>
      </w:r>
      <w:r>
        <w:rPr>
          <w:vertAlign w:val="baseline"/>
        </w:rPr>
        <w:t>measure of damages for negligent misrepresentation under the Act were different from the normal measure of damages for common law negligent misrepresentation. This means that generally damages will be awarded to put the representee in the position in which he would have been if he had never entered </w:t>
      </w:r>
      <w:bookmarkStart w:name="_bookmark668" w:id="670"/>
      <w:bookmarkEnd w:id="670"/>
      <w:r>
        <w:rPr>
          <w:vertAlign w:val="baseline"/>
        </w:rPr>
        <w:t>into</w:t>
      </w:r>
      <w:r>
        <w:rPr>
          <w:vertAlign w:val="baseline"/>
        </w:rPr>
        <w:t> the contract, and not to put him in the position in which he would have been if the misrepresentation had been true. </w:t>
      </w:r>
      <w:r>
        <w:rPr>
          <w:color w:val="005DA1"/>
          <w:u w:val="single" w:color="005DA1"/>
          <w:vertAlign w:val="superscript"/>
        </w:rPr>
        <w:t>362</w:t>
      </w:r>
    </w:p>
    <w:p>
      <w:pPr>
        <w:pStyle w:val="BodyText"/>
      </w:pPr>
    </w:p>
    <w:p>
      <w:pPr>
        <w:pStyle w:val="BodyText"/>
        <w:spacing w:before="33"/>
      </w:pPr>
    </w:p>
    <w:p>
      <w:pPr>
        <w:spacing w:before="0"/>
        <w:ind w:left="165" w:right="0" w:firstLine="0"/>
        <w:jc w:val="left"/>
        <w:rPr>
          <w:rFonts w:ascii="Arial"/>
          <w:b/>
          <w:sz w:val="18"/>
        </w:rPr>
      </w:pPr>
      <w:r>
        <w:rPr>
          <w:rFonts w:ascii="Arial"/>
          <w:b/>
          <w:sz w:val="18"/>
        </w:rPr>
        <w:t>Application of rules on damages for </w:t>
      </w:r>
      <w:r>
        <w:rPr>
          <w:rFonts w:ascii="Arial"/>
          <w:b/>
          <w:spacing w:val="-2"/>
          <w:sz w:val="18"/>
        </w:rPr>
        <w:t>fraud</w:t>
      </w:r>
    </w:p>
    <w:p>
      <w:pPr>
        <w:pStyle w:val="BodyText"/>
        <w:spacing w:before="42"/>
        <w:rPr>
          <w:rFonts w:ascii="Arial"/>
          <w:b/>
          <w:sz w:val="18"/>
        </w:rPr>
      </w:pPr>
    </w:p>
    <w:p>
      <w:pPr>
        <w:pStyle w:val="Heading2"/>
      </w:pPr>
      <w:r>
        <w:rPr/>
        <w:t>7-</w:t>
      </w:r>
      <w:r>
        <w:rPr>
          <w:spacing w:val="-5"/>
        </w:rPr>
        <w:t>078</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19"/>
        </w:rPr>
        <w:t> </w:t>
      </w:r>
      <w:r>
        <w:rPr/>
        <w:t>It has been shown that damages for fraud are governed by somewhat different rules to damages</w:t>
      </w:r>
      <w:r>
        <w:rPr>
          <w:spacing w:val="40"/>
        </w:rPr>
        <w:t> </w:t>
      </w:r>
      <w:bookmarkStart w:name="_bookmark669" w:id="671"/>
      <w:bookmarkEnd w:id="671"/>
      <w:r>
        <w:rPr/>
        <w:t>for</w:t>
      </w:r>
      <w:r>
        <w:rPr/>
        <w:t> negligent misrepresentation at common law: losses may be recoverable even though they </w:t>
      </w:r>
      <w:r>
        <w:rPr/>
        <w:t>were</w:t>
      </w:r>
      <w:r>
        <w:rPr>
          <w:spacing w:val="40"/>
        </w:rPr>
        <w:t> </w:t>
      </w:r>
      <w:r>
        <w:rPr/>
        <w:t>not of a foreseeable kind </w:t>
      </w:r>
      <w:r>
        <w:rPr>
          <w:color w:val="005DA1"/>
          <w:u w:val="single" w:color="005DA1"/>
          <w:vertAlign w:val="superscript"/>
        </w:rPr>
        <w:t>363</w:t>
      </w:r>
      <w:r>
        <w:rPr>
          <w:color w:val="005DA1"/>
          <w:vertAlign w:val="baseline"/>
        </w:rPr>
        <w:t> </w:t>
      </w:r>
      <w:r>
        <w:rPr>
          <w:vertAlign w:val="baseline"/>
        </w:rPr>
        <w:t>and, in some circumstances, consequential losses may include </w:t>
      </w:r>
      <w:bookmarkStart w:name="_bookmark670" w:id="672"/>
      <w:bookmarkEnd w:id="672"/>
      <w:r>
        <w:rPr>
          <w:vertAlign w:val="baseline"/>
        </w:rPr>
        <w:t>compensation</w:t>
      </w:r>
      <w:r>
        <w:rPr>
          <w:vertAlign w:val="baseline"/>
        </w:rPr>
        <w:t> for falls in the value of the property acquired which were unrelated to the fraudulent </w:t>
      </w:r>
      <w:bookmarkStart w:name="_bookmark671" w:id="673"/>
      <w:bookmarkEnd w:id="673"/>
      <w:r>
        <w:rPr>
          <w:vertAlign w:val="baseline"/>
        </w:rPr>
        <w:t>statement.</w:t>
      </w:r>
      <w:r>
        <w:rPr>
          <w:vertAlign w:val="baseline"/>
        </w:rPr>
        <w:t> </w:t>
      </w:r>
      <w:r>
        <w:rPr>
          <w:color w:val="005DA1"/>
          <w:u w:val="single" w:color="005DA1"/>
          <w:vertAlign w:val="superscript"/>
        </w:rPr>
        <w:t>364</w:t>
      </w:r>
      <w:r>
        <w:rPr>
          <w:color w:val="005DA1"/>
          <w:vertAlign w:val="baseline"/>
        </w:rPr>
        <w:t> </w:t>
      </w:r>
      <w:r>
        <w:rPr>
          <w:vertAlign w:val="baseline"/>
        </w:rPr>
        <w:t>It is not clear whether these rules, which appear to be justified by considerations of </w:t>
      </w:r>
      <w:bookmarkStart w:name="_bookmark672" w:id="674"/>
      <w:bookmarkEnd w:id="674"/>
      <w:r>
        <w:rPr>
          <w:vertAlign w:val="baseline"/>
        </w:rPr>
        <w:t>morality</w:t>
      </w:r>
      <w:r>
        <w:rPr>
          <w:vertAlign w:val="baseline"/>
        </w:rPr>
        <w:t> and deterrence, </w:t>
      </w:r>
      <w:r>
        <w:rPr>
          <w:color w:val="005DA1"/>
          <w:u w:val="single" w:color="005DA1"/>
          <w:vertAlign w:val="superscript"/>
        </w:rPr>
        <w:t>365</w:t>
      </w:r>
      <w:r>
        <w:rPr>
          <w:color w:val="005DA1"/>
          <w:vertAlign w:val="baseline"/>
        </w:rPr>
        <w:t> </w:t>
      </w:r>
      <w:r>
        <w:rPr>
          <w:vertAlign w:val="baseline"/>
        </w:rPr>
        <w:t>are applicable to damages claimed under s.2(1). In the 26th edn of this </w:t>
      </w:r>
      <w:bookmarkStart w:name="_bookmark673" w:id="675"/>
      <w:bookmarkEnd w:id="675"/>
      <w:r>
        <w:rPr>
          <w:vertAlign w:val="baseline"/>
        </w:rPr>
        <w:t>work</w:t>
      </w:r>
      <w:r>
        <w:rPr>
          <w:vertAlign w:val="baseline"/>
        </w:rPr>
        <w:t> it was suggested </w:t>
      </w:r>
      <w:r>
        <w:rPr>
          <w:color w:val="005DA1"/>
          <w:u w:val="single" w:color="005DA1"/>
          <w:vertAlign w:val="superscript"/>
        </w:rPr>
        <w:t>366</w:t>
      </w:r>
      <w:r>
        <w:rPr>
          <w:color w:val="005DA1"/>
          <w:vertAlign w:val="baseline"/>
        </w:rPr>
        <w:t> </w:t>
      </w:r>
      <w:r>
        <w:rPr>
          <w:vertAlign w:val="baseline"/>
        </w:rPr>
        <w:t>that the first rule did not apply, but this was rejected by the Court of Appeal </w:t>
      </w:r>
      <w:bookmarkStart w:name="_bookmark674" w:id="676"/>
      <w:bookmarkEnd w:id="676"/>
      <w:r>
        <w:rPr>
          <w:vertAlign w:val="baseline"/>
        </w:rPr>
        <w:t>in</w:t>
      </w:r>
      <w:r>
        <w:rPr>
          <w:vertAlign w:val="baseline"/>
        </w:rPr>
        <w:t> </w:t>
      </w:r>
      <w:r>
        <w:rPr>
          <w:rFonts w:ascii="Arial" w:hAnsi="Arial"/>
          <w:i/>
          <w:vertAlign w:val="baseline"/>
        </w:rPr>
        <w:t>Royscot Trust Ltd v Rogerson </w:t>
      </w:r>
      <w:r>
        <w:rPr>
          <w:color w:val="005DA1"/>
          <w:u w:val="single" w:color="005DA1"/>
          <w:vertAlign w:val="superscript"/>
        </w:rPr>
        <w:t>367</w:t>
      </w:r>
      <w:r>
        <w:rPr>
          <w:color w:val="005DA1"/>
          <w:vertAlign w:val="baseline"/>
        </w:rPr>
        <w:t> </w:t>
      </w:r>
      <w:r>
        <w:rPr>
          <w:vertAlign w:val="baseline"/>
        </w:rPr>
        <w:t>on the ground that this interpretation “is to ignore the plain words </w:t>
      </w:r>
      <w:bookmarkStart w:name="_bookmark675" w:id="677"/>
      <w:bookmarkEnd w:id="677"/>
      <w:r>
        <w:rPr>
          <w:vertAlign w:val="baseline"/>
        </w:rPr>
        <w:t>of</w:t>
      </w:r>
      <w:r>
        <w:rPr>
          <w:vertAlign w:val="baseline"/>
        </w:rPr>
        <w:t> the subsection”. </w:t>
      </w:r>
      <w:r>
        <w:rPr>
          <w:color w:val="005DA1"/>
          <w:u w:val="single" w:color="005DA1"/>
          <w:vertAlign w:val="superscript"/>
        </w:rPr>
        <w:t>368</w:t>
      </w:r>
      <w:r>
        <w:rPr>
          <w:color w:val="005DA1"/>
          <w:vertAlign w:val="baseline"/>
        </w:rPr>
        <w:t> </w:t>
      </w:r>
      <w:r>
        <w:rPr>
          <w:vertAlign w:val="baseline"/>
        </w:rPr>
        <w:t>In </w:t>
      </w:r>
      <w:r>
        <w:rPr>
          <w:rFonts w:ascii="Arial" w:hAnsi="Arial"/>
          <w:i/>
          <w:vertAlign w:val="baseline"/>
        </w:rPr>
        <w:t>Smith New Court Securities Ltd v Scrimgeour Vickers (Asset Management) Ltd </w:t>
      </w:r>
      <w:r>
        <w:rPr>
          <w:color w:val="005DA1"/>
          <w:u w:val="single" w:color="005DA1"/>
          <w:vertAlign w:val="superscript"/>
        </w:rPr>
        <w:t>369</w:t>
      </w:r>
      <w:r>
        <w:rPr>
          <w:color w:val="005DA1"/>
          <w:vertAlign w:val="baseline"/>
        </w:rPr>
        <w:t> </w:t>
      </w:r>
      <w:r>
        <w:rPr>
          <w:vertAlign w:val="baseline"/>
        </w:rPr>
        <w:t>both Lords Browne-Wilkinson and Steyn declined to comment on the correctness of the </w:t>
      </w:r>
      <w:r>
        <w:rPr>
          <w:rFonts w:ascii="Arial" w:hAnsi="Arial"/>
          <w:i/>
          <w:vertAlign w:val="baseline"/>
        </w:rPr>
        <w:t>Royscot </w:t>
      </w:r>
      <w:r>
        <w:rPr>
          <w:vertAlign w:val="baseline"/>
        </w:rPr>
        <w:t>case. If the interpretation of s.2(1) taken in </w:t>
      </w:r>
      <w:r>
        <w:rPr>
          <w:rFonts w:ascii="Arial" w:hAnsi="Arial"/>
          <w:i/>
          <w:vertAlign w:val="baseline"/>
        </w:rPr>
        <w:t>Royscot </w:t>
      </w:r>
      <w:r>
        <w:rPr>
          <w:vertAlign w:val="baseline"/>
        </w:rPr>
        <w:t>is correct, however, it would presumably </w:t>
      </w:r>
      <w:bookmarkStart w:name="_bookmark676" w:id="678"/>
      <w:bookmarkEnd w:id="678"/>
      <w:r>
        <w:rPr>
          <w:vertAlign w:val="baseline"/>
        </w:rPr>
        <w:t>follow</w:t>
      </w:r>
      <w:r>
        <w:rPr>
          <w:vertAlign w:val="baseline"/>
        </w:rPr>
        <w:t> that damages under s.2(1) can also include compensation for loss of value caused by a fall in the market, at least where the claimant has acquired an “already flawed asset”, </w:t>
      </w:r>
      <w:r>
        <w:rPr>
          <w:color w:val="005DA1"/>
          <w:u w:val="single" w:color="005DA1"/>
          <w:vertAlign w:val="superscript"/>
        </w:rPr>
        <w:t>370</w:t>
      </w:r>
      <w:r>
        <w:rPr>
          <w:color w:val="005DA1"/>
          <w:vertAlign w:val="baseline"/>
        </w:rPr>
        <w:t> </w:t>
      </w:r>
      <w:r>
        <w:rPr>
          <w:vertAlign w:val="baseline"/>
        </w:rPr>
        <w:t>and that </w:t>
      </w:r>
      <w:bookmarkStart w:name="_bookmark677" w:id="679"/>
      <w:bookmarkEnd w:id="679"/>
      <w:r>
        <w:rPr>
          <w:vertAlign w:val="baseline"/>
        </w:rPr>
        <w:t>contributory</w:t>
      </w:r>
      <w:r>
        <w:rPr>
          <w:vertAlign w:val="baseline"/>
        </w:rPr>
        <w:t> negligence will not necessarily be a defence or lead to a reduction in the claimant’s damages. </w:t>
      </w:r>
      <w:r>
        <w:rPr>
          <w:color w:val="005DA1"/>
          <w:u w:val="single" w:color="005DA1"/>
          <w:vertAlign w:val="superscript"/>
        </w:rPr>
        <w:t>371</w:t>
      </w:r>
      <w:r>
        <w:rPr>
          <w:color w:val="005DA1"/>
          <w:vertAlign w:val="baseline"/>
        </w:rPr>
        <w:t> </w:t>
      </w:r>
      <w:r>
        <w:rPr>
          <w:vertAlign w:val="baseline"/>
        </w:rPr>
        <w:t>Whether it is necessary to interpret s.2(1) in this way may, with respect, be doubted. </w:t>
      </w:r>
      <w:r>
        <w:rPr>
          <w:color w:val="005DA1"/>
          <w:u w:val="single" w:color="005DA1"/>
          <w:vertAlign w:val="superscript"/>
        </w:rPr>
        <w:t>372</w:t>
      </w:r>
      <w:r>
        <w:rPr>
          <w:color w:val="005DA1"/>
          <w:vertAlign w:val="baseline"/>
        </w:rPr>
        <w:t> </w:t>
      </w:r>
      <w:bookmarkStart w:name="_bookmark678" w:id="680"/>
      <w:bookmarkEnd w:id="680"/>
      <w:r>
        <w:rPr>
          <w:color w:val="005DA1"/>
          <w:w w:val="92"/>
          <w:vertAlign w:val="baseline"/>
        </w:rPr>
      </w:r>
      <w:r>
        <w:rPr>
          <w:vertAlign w:val="baseline"/>
        </w:rPr>
        <w:t>It does not seem appropriate to apply the special rules governing damages for fraud, which are </w:t>
      </w:r>
      <w:bookmarkStart w:name="_bookmark679" w:id="681"/>
      <w:bookmarkEnd w:id="681"/>
      <w:r>
        <w:rPr>
          <w:vertAlign w:val="baseline"/>
        </w:rPr>
        <w:t>justified</w:t>
      </w:r>
      <w:r>
        <w:rPr>
          <w:spacing w:val="-1"/>
          <w:vertAlign w:val="baseline"/>
        </w:rPr>
        <w:t> </w:t>
      </w:r>
      <w:r>
        <w:rPr>
          <w:vertAlign w:val="baseline"/>
        </w:rPr>
        <w:t>by considerations of morality and deterrence,</w:t>
      </w:r>
      <w:r>
        <w:rPr>
          <w:spacing w:val="-1"/>
          <w:vertAlign w:val="baseline"/>
        </w:rPr>
        <w:t> </w:t>
      </w:r>
      <w:r>
        <w:rPr>
          <w:color w:val="005DA1"/>
          <w:u w:val="single" w:color="005DA1"/>
          <w:vertAlign w:val="superscript"/>
        </w:rPr>
        <w:t>373</w:t>
      </w:r>
      <w:r>
        <w:rPr>
          <w:color w:val="005DA1"/>
          <w:vertAlign w:val="baseline"/>
        </w:rPr>
        <w:t> </w:t>
      </w:r>
      <w:r>
        <w:rPr>
          <w:vertAlign w:val="baseline"/>
        </w:rPr>
        <w:t>to cases in which there</w:t>
      </w:r>
      <w:r>
        <w:rPr>
          <w:spacing w:val="-1"/>
          <w:vertAlign w:val="baseline"/>
        </w:rPr>
        <w:t> </w:t>
      </w:r>
      <w:r>
        <w:rPr>
          <w:vertAlign w:val="baseline"/>
        </w:rPr>
        <w:t>was, by definition, </w:t>
      </w:r>
      <w:r>
        <w:rPr>
          <w:spacing w:val="-5"/>
          <w:vertAlign w:val="baseline"/>
        </w:rPr>
        <w:t>no</w:t>
      </w:r>
    </w:p>
    <w:p>
      <w:pPr>
        <w:pStyle w:val="BodyText"/>
        <w:spacing w:after="0" w:line="235" w:lineRule="auto"/>
        <w:jc w:val="both"/>
        <w:sectPr>
          <w:pgSz w:w="11900" w:h="16840"/>
          <w:pgMar w:header="971" w:footer="0" w:top="1160" w:bottom="280" w:left="1275" w:right="1275"/>
        </w:sectPr>
      </w:pPr>
    </w:p>
    <w:p>
      <w:pPr>
        <w:pStyle w:val="BodyText"/>
        <w:spacing w:before="185"/>
      </w:pPr>
    </w:p>
    <w:p>
      <w:pPr>
        <w:pStyle w:val="BodyText"/>
        <w:spacing w:line="169" w:lineRule="exact"/>
        <w:ind w:left="165"/>
        <w:rPr>
          <w:position w:val="-2"/>
          <w:sz w:val="16"/>
        </w:rPr>
      </w:pPr>
      <w:r>
        <w:rPr>
          <w:position w:val="-2"/>
          <w:sz w:val="16"/>
        </w:rPr>
        <w:drawing>
          <wp:inline distT="0" distB="0" distL="0" distR="0">
            <wp:extent cx="107727" cy="107727"/>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6" cstate="print"/>
                    <a:stretch>
                      <a:fillRect/>
                    </a:stretch>
                  </pic:blipFill>
                  <pic:spPr>
                    <a:xfrm>
                      <a:off x="0" y="0"/>
                      <a:ext cx="107727" cy="107727"/>
                    </a:xfrm>
                    <a:prstGeom prst="rect">
                      <a:avLst/>
                    </a:prstGeom>
                  </pic:spPr>
                </pic:pic>
              </a:graphicData>
            </a:graphic>
          </wp:inline>
        </w:drawing>
      </w:r>
      <w:r>
        <w:rPr>
          <w:position w:val="-2"/>
          <w:sz w:val="16"/>
        </w:rPr>
      </w:r>
    </w:p>
    <w:p>
      <w:pPr>
        <w:pStyle w:val="BodyText"/>
        <w:rPr>
          <w:sz w:val="18"/>
        </w:rPr>
      </w:pPr>
    </w:p>
    <w:p>
      <w:pPr>
        <w:pStyle w:val="BodyText"/>
        <w:spacing w:before="100"/>
        <w:rPr>
          <w:sz w:val="18"/>
        </w:rPr>
      </w:pPr>
    </w:p>
    <w:p>
      <w:pPr>
        <w:spacing w:before="0"/>
        <w:ind w:left="165" w:right="0" w:firstLine="0"/>
        <w:jc w:val="left"/>
        <w:rPr>
          <w:rFonts w:ascii="Arial"/>
          <w:b/>
          <w:sz w:val="18"/>
        </w:rPr>
      </w:pPr>
      <w:r>
        <w:rPr>
          <w:rFonts w:ascii="Arial"/>
          <w:b/>
          <w:sz w:val="18"/>
        </w:rPr>
        <w:t>Fraud rules on </w:t>
      </w:r>
      <w:r>
        <w:rPr>
          <w:rFonts w:ascii="Arial"/>
          <w:b/>
          <w:spacing w:val="-2"/>
          <w:sz w:val="18"/>
        </w:rPr>
        <w:t>knowledge</w:t>
      </w:r>
    </w:p>
    <w:p>
      <w:pPr>
        <w:pStyle w:val="BodyText"/>
        <w:spacing w:before="41"/>
        <w:rPr>
          <w:rFonts w:ascii="Arial"/>
          <w:b/>
          <w:sz w:val="18"/>
        </w:rPr>
      </w:pPr>
    </w:p>
    <w:p>
      <w:pPr>
        <w:pStyle w:val="Heading2"/>
      </w:pPr>
      <w:r>
        <w:rPr/>
        <w:t>7-</w:t>
      </w:r>
      <w:r>
        <w:rPr>
          <w:spacing w:val="-5"/>
        </w:rPr>
        <w:t>079</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680" w:id="682"/>
      <w:bookmarkEnd w:id="682"/>
      <w:r>
        <w:rPr>
          <w:rFonts w:ascii="Times New Roman" w:hAnsi="Times New Roman"/>
          <w:spacing w:val="-18"/>
        </w:rPr>
      </w:r>
      <w:r>
        <w:rPr/>
        <w:t>Further, a possible consequence of the decision in </w:t>
      </w:r>
      <w:r>
        <w:rPr>
          <w:rFonts w:ascii="Arial" w:hAnsi="Arial"/>
          <w:i/>
        </w:rPr>
        <w:t>Royscot Trust Ltd v Rogerson </w:t>
      </w:r>
      <w:r>
        <w:rPr>
          <w:color w:val="005DA1"/>
          <w:u w:val="single" w:color="005DA1"/>
          <w:vertAlign w:val="superscript"/>
        </w:rPr>
        <w:t>375</w:t>
      </w:r>
      <w:r>
        <w:rPr>
          <w:color w:val="005DA1"/>
          <w:vertAlign w:val="baseline"/>
        </w:rPr>
        <w:t> </w:t>
      </w:r>
      <w:r>
        <w:rPr>
          <w:vertAlign w:val="baseline"/>
        </w:rPr>
        <w:t>is that the difficulties which arise in cases of fraud where the misrepresentation is made by one person, but </w:t>
      </w:r>
      <w:r>
        <w:rPr>
          <w:vertAlign w:val="baseline"/>
        </w:rPr>
        <w:t>the </w:t>
      </w:r>
      <w:bookmarkStart w:name="_bookmark681" w:id="683"/>
      <w:bookmarkEnd w:id="683"/>
      <w:r>
        <w:rPr>
          <w:vertAlign w:val="baseline"/>
        </w:rPr>
        <w:t>guilty</w:t>
      </w:r>
      <w:r>
        <w:rPr>
          <w:vertAlign w:val="baseline"/>
        </w:rPr>
        <w:t> knowledge is that of another, seem to apply equally to an action for negligence under the subsection. </w:t>
      </w:r>
      <w:r>
        <w:rPr>
          <w:color w:val="005DA1"/>
          <w:u w:val="single" w:color="005DA1"/>
          <w:vertAlign w:val="superscript"/>
        </w:rPr>
        <w:t>376</w:t>
      </w:r>
      <w:r>
        <w:rPr>
          <w:color w:val="005DA1"/>
          <w:vertAlign w:val="baseline"/>
        </w:rPr>
        <w:t> </w:t>
      </w:r>
      <w:r>
        <w:rPr>
          <w:vertAlign w:val="baseline"/>
        </w:rPr>
        <w:t>If, for example, the representee contracts with a company as a result of a misrepresentation made to him by one of the company’s employees or agents, and that employee or agent did have reasonable grounds for believing the statement to be true, the representee will have</w:t>
      </w:r>
      <w:r>
        <w:rPr>
          <w:spacing w:val="40"/>
          <w:vertAlign w:val="baseline"/>
        </w:rPr>
        <w:t> </w:t>
      </w:r>
      <w:r>
        <w:rPr>
          <w:vertAlign w:val="baseline"/>
        </w:rPr>
        <w:t>no action under the subsection merely because another employee or agent of the company knew that </w:t>
      </w:r>
      <w:bookmarkStart w:name="_bookmark682" w:id="684"/>
      <w:bookmarkEnd w:id="684"/>
      <w:r>
        <w:rPr>
          <w:vertAlign w:val="baseline"/>
        </w:rPr>
        <w:t>the</w:t>
      </w:r>
      <w:r>
        <w:rPr>
          <w:vertAlign w:val="baseline"/>
        </w:rPr>
        <w:t> representation was untrue, or knew that there were no reasonable grounds for believing it to be true. </w:t>
      </w:r>
      <w:r>
        <w:rPr>
          <w:color w:val="005DA1"/>
          <w:u w:val="single" w:color="005DA1"/>
          <w:vertAlign w:val="superscript"/>
        </w:rPr>
        <w:t>377</w:t>
      </w:r>
      <w:r>
        <w:rPr>
          <w:color w:val="005DA1"/>
          <w:vertAlign w:val="baseline"/>
        </w:rPr>
        <w:t> </w:t>
      </w:r>
      <w:r>
        <w:rPr>
          <w:vertAlign w:val="baseline"/>
        </w:rPr>
        <w:t>However, in practice this type of case may not prove so troublesome in cases of negligence as it has been in cases of fraud. Although a court will not impute fraud to an employee or agent</w:t>
      </w:r>
      <w:r>
        <w:rPr>
          <w:spacing w:val="40"/>
          <w:vertAlign w:val="baseline"/>
        </w:rPr>
        <w:t> </w:t>
      </w:r>
      <w:r>
        <w:rPr>
          <w:vertAlign w:val="baseline"/>
        </w:rPr>
        <w:t>merely because his principal (or another employee or agent) knows that the statement he has made</w:t>
      </w:r>
      <w:r>
        <w:rPr>
          <w:spacing w:val="40"/>
          <w:vertAlign w:val="baseline"/>
        </w:rPr>
        <w:t> </w:t>
      </w:r>
      <w:bookmarkStart w:name="_bookmark683" w:id="685"/>
      <w:bookmarkEnd w:id="685"/>
      <w:r>
        <w:rPr>
          <w:vertAlign w:val="baseline"/>
        </w:rPr>
        <w:t>is</w:t>
      </w:r>
      <w:r>
        <w:rPr>
          <w:spacing w:val="17"/>
          <w:vertAlign w:val="baseline"/>
        </w:rPr>
        <w:t> </w:t>
      </w:r>
      <w:r>
        <w:rPr>
          <w:vertAlign w:val="baseline"/>
        </w:rPr>
        <w:t>untrue,</w:t>
      </w:r>
      <w:r>
        <w:rPr>
          <w:spacing w:val="17"/>
          <w:vertAlign w:val="baseline"/>
        </w:rPr>
        <w:t> </w:t>
      </w:r>
      <w:r>
        <w:rPr>
          <w:vertAlign w:val="baseline"/>
        </w:rPr>
        <w:t>a</w:t>
      </w:r>
      <w:r>
        <w:rPr>
          <w:spacing w:val="17"/>
          <w:vertAlign w:val="baseline"/>
        </w:rPr>
        <w:t> </w:t>
      </w:r>
      <w:r>
        <w:rPr>
          <w:vertAlign w:val="baseline"/>
        </w:rPr>
        <w:t>court</w:t>
      </w:r>
      <w:r>
        <w:rPr>
          <w:spacing w:val="17"/>
          <w:vertAlign w:val="baseline"/>
        </w:rPr>
        <w:t> </w:t>
      </w:r>
      <w:r>
        <w:rPr>
          <w:vertAlign w:val="baseline"/>
        </w:rPr>
        <w:t>might</w:t>
      </w:r>
      <w:r>
        <w:rPr>
          <w:spacing w:val="17"/>
          <w:vertAlign w:val="baseline"/>
        </w:rPr>
        <w:t> </w:t>
      </w:r>
      <w:r>
        <w:rPr>
          <w:vertAlign w:val="baseline"/>
        </w:rPr>
        <w:t>be</w:t>
      </w:r>
      <w:r>
        <w:rPr>
          <w:spacing w:val="17"/>
          <w:vertAlign w:val="baseline"/>
        </w:rPr>
        <w:t> </w:t>
      </w:r>
      <w:r>
        <w:rPr>
          <w:vertAlign w:val="baseline"/>
        </w:rPr>
        <w:t>much</w:t>
      </w:r>
      <w:r>
        <w:rPr>
          <w:spacing w:val="17"/>
          <w:vertAlign w:val="baseline"/>
        </w:rPr>
        <w:t> </w:t>
      </w:r>
      <w:r>
        <w:rPr>
          <w:vertAlign w:val="baseline"/>
        </w:rPr>
        <w:t>more</w:t>
      </w:r>
      <w:r>
        <w:rPr>
          <w:spacing w:val="17"/>
          <w:vertAlign w:val="baseline"/>
        </w:rPr>
        <w:t> </w:t>
      </w:r>
      <w:r>
        <w:rPr>
          <w:vertAlign w:val="baseline"/>
        </w:rPr>
        <w:t>ready</w:t>
      </w:r>
      <w:r>
        <w:rPr>
          <w:spacing w:val="17"/>
          <w:vertAlign w:val="baseline"/>
        </w:rPr>
        <w:t> </w:t>
      </w:r>
      <w:r>
        <w:rPr>
          <w:vertAlign w:val="baseline"/>
        </w:rPr>
        <w:t>to</w:t>
      </w:r>
      <w:r>
        <w:rPr>
          <w:spacing w:val="17"/>
          <w:vertAlign w:val="baseline"/>
        </w:rPr>
        <w:t> </w:t>
      </w:r>
      <w:r>
        <w:rPr>
          <w:vertAlign w:val="baseline"/>
        </w:rPr>
        <w:t>hold</w:t>
      </w:r>
      <w:r>
        <w:rPr>
          <w:spacing w:val="17"/>
          <w:vertAlign w:val="baseline"/>
        </w:rPr>
        <w:t> </w:t>
      </w:r>
      <w:r>
        <w:rPr>
          <w:vertAlign w:val="baseline"/>
        </w:rPr>
        <w:t>that</w:t>
      </w:r>
      <w:r>
        <w:rPr>
          <w:spacing w:val="17"/>
          <w:vertAlign w:val="baseline"/>
        </w:rPr>
        <w:t> </w:t>
      </w:r>
      <w:r>
        <w:rPr>
          <w:vertAlign w:val="baseline"/>
        </w:rPr>
        <w:t>the</w:t>
      </w:r>
      <w:r>
        <w:rPr>
          <w:spacing w:val="17"/>
          <w:vertAlign w:val="baseline"/>
        </w:rPr>
        <w:t> </w:t>
      </w:r>
      <w:r>
        <w:rPr>
          <w:vertAlign w:val="baseline"/>
        </w:rPr>
        <w:t>person</w:t>
      </w:r>
      <w:r>
        <w:rPr>
          <w:spacing w:val="17"/>
          <w:vertAlign w:val="baseline"/>
        </w:rPr>
        <w:t> </w:t>
      </w:r>
      <w:r>
        <w:rPr>
          <w:vertAlign w:val="baseline"/>
        </w:rPr>
        <w:t>making</w:t>
      </w:r>
      <w:r>
        <w:rPr>
          <w:spacing w:val="17"/>
          <w:vertAlign w:val="baseline"/>
        </w:rPr>
        <w:t> </w:t>
      </w:r>
      <w:r>
        <w:rPr>
          <w:vertAlign w:val="baseline"/>
        </w:rPr>
        <w:t>the</w:t>
      </w:r>
      <w:r>
        <w:rPr>
          <w:spacing w:val="17"/>
          <w:vertAlign w:val="baseline"/>
        </w:rPr>
        <w:t> </w:t>
      </w:r>
      <w:r>
        <w:rPr>
          <w:vertAlign w:val="baseline"/>
        </w:rPr>
        <w:t>statement</w:t>
      </w:r>
      <w:r>
        <w:rPr>
          <w:spacing w:val="17"/>
          <w:vertAlign w:val="baseline"/>
        </w:rPr>
        <w:t> </w:t>
      </w:r>
      <w:r>
        <w:rPr>
          <w:vertAlign w:val="baseline"/>
        </w:rPr>
        <w:t>in</w:t>
      </w:r>
      <w:r>
        <w:rPr>
          <w:spacing w:val="17"/>
          <w:vertAlign w:val="baseline"/>
        </w:rPr>
        <w:t> </w:t>
      </w:r>
      <w:r>
        <w:rPr>
          <w:spacing w:val="-2"/>
          <w:vertAlign w:val="baseline"/>
        </w:rPr>
        <w:t>these</w:t>
      </w:r>
    </w:p>
    <w:p>
      <w:pPr>
        <w:pStyle w:val="BodyText"/>
        <w:spacing w:line="235" w:lineRule="auto" w:before="115"/>
        <w:ind w:left="164" w:right="167"/>
        <w:jc w:val="both"/>
      </w:pPr>
      <w:r>
        <w:rPr/>
        <w:t>circumstances did not have reasonable grounds for believing that the facts stated were true </w:t>
      </w:r>
      <w:r>
        <w:rPr>
          <w:color w:val="005DA1"/>
          <w:u w:val="single" w:color="005DA1"/>
          <w:vertAlign w:val="superscript"/>
        </w:rPr>
        <w:t>378</w:t>
      </w:r>
      <w:r>
        <w:rPr>
          <w:color w:val="005DA1"/>
          <w:spacing w:val="80"/>
          <w:w w:val="150"/>
          <w:vertAlign w:val="baseline"/>
        </w:rPr>
        <w:t> </w:t>
      </w:r>
      <w:r>
        <w:rPr>
          <w:color w:val="005DA1"/>
          <w:spacing w:val="-4"/>
          <w:position w:val="-2"/>
          <w:vertAlign w:val="baseline"/>
        </w:rPr>
        <w:drawing>
          <wp:inline distT="0" distB="0" distL="0" distR="0">
            <wp:extent cx="107988" cy="107988"/>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vertAlign w:val="baseline"/>
        </w:rPr>
        <w:t>; </w:t>
      </w:r>
      <w:bookmarkStart w:name="_bookmark684" w:id="686"/>
      <w:bookmarkEnd w:id="686"/>
      <w:r>
        <w:rPr>
          <w:vertAlign w:val="baseline"/>
        </w:rPr>
        <w:t>and</w:t>
      </w:r>
      <w:r>
        <w:rPr>
          <w:vertAlign w:val="baseline"/>
        </w:rPr>
        <w:t> it would also be possible to find negligence at common law as a result of a failure of one </w:t>
      </w:r>
      <w:bookmarkStart w:name="_bookmark685" w:id="687"/>
      <w:bookmarkEnd w:id="687"/>
      <w:r>
        <w:rPr>
          <w:vertAlign w:val="baseline"/>
        </w:rPr>
        <w:t>employee</w:t>
      </w:r>
      <w:r>
        <w:rPr>
          <w:vertAlign w:val="baseline"/>
        </w:rPr>
        <w:t> to inform another of the true facts. </w:t>
      </w:r>
      <w:r>
        <w:rPr>
          <w:color w:val="005DA1"/>
          <w:u w:val="single" w:color="005DA1"/>
          <w:vertAlign w:val="superscript"/>
        </w:rPr>
        <w:t>379</w:t>
      </w:r>
      <w:r>
        <w:rPr>
          <w:color w:val="005DA1"/>
          <w:vertAlign w:val="baseline"/>
        </w:rPr>
        <w:t> </w:t>
      </w:r>
      <w:r>
        <w:rPr>
          <w:vertAlign w:val="baseline"/>
        </w:rPr>
        <w:t>Damages have been awarded under this </w:t>
      </w:r>
      <w:r>
        <w:rPr>
          <w:vertAlign w:val="baseline"/>
        </w:rPr>
        <w:t>subsection against a vendor of land because of the misrepresentations of his estate agent. </w:t>
      </w:r>
      <w:r>
        <w:rPr>
          <w:color w:val="005DA1"/>
          <w:u w:val="single" w:color="005DA1"/>
          <w:vertAlign w:val="superscript"/>
        </w:rPr>
        <w:t>380</w:t>
      </w:r>
    </w:p>
    <w:p>
      <w:pPr>
        <w:pStyle w:val="BodyText"/>
      </w:pPr>
    </w:p>
    <w:p>
      <w:pPr>
        <w:pStyle w:val="BodyText"/>
        <w:spacing w:before="37"/>
      </w:pPr>
    </w:p>
    <w:p>
      <w:pPr>
        <w:spacing w:before="1"/>
        <w:ind w:left="165" w:right="0" w:firstLine="0"/>
        <w:jc w:val="both"/>
        <w:rPr>
          <w:rFonts w:ascii="Arial"/>
          <w:b/>
          <w:sz w:val="18"/>
        </w:rPr>
      </w:pPr>
      <w:r>
        <w:rPr>
          <w:rFonts w:ascii="Arial"/>
          <w:b/>
          <w:sz w:val="18"/>
        </w:rPr>
        <w:t>Rescission and </w:t>
      </w:r>
      <w:r>
        <w:rPr>
          <w:rFonts w:ascii="Arial"/>
          <w:b/>
          <w:spacing w:val="-2"/>
          <w:sz w:val="18"/>
        </w:rPr>
        <w:t>damages</w:t>
      </w:r>
    </w:p>
    <w:p>
      <w:pPr>
        <w:pStyle w:val="BodyText"/>
        <w:spacing w:before="41"/>
        <w:rPr>
          <w:rFonts w:ascii="Arial"/>
          <w:b/>
          <w:sz w:val="18"/>
        </w:rPr>
      </w:pPr>
    </w:p>
    <w:p>
      <w:pPr>
        <w:pStyle w:val="Heading2"/>
      </w:pPr>
      <w:r>
        <w:rPr/>
        <w:t>7-</w:t>
      </w:r>
      <w:r>
        <w:rPr>
          <w:spacing w:val="-5"/>
        </w:rPr>
        <w:t>080</w:t>
      </w:r>
    </w:p>
    <w:p>
      <w:pPr>
        <w:pStyle w:val="BodyText"/>
        <w:spacing w:line="235" w:lineRule="auto" w:before="203"/>
        <w:ind w:left="165" w:right="167"/>
        <w:jc w:val="both"/>
      </w:pPr>
      <w:bookmarkStart w:name="_bookmark686" w:id="688"/>
      <w:bookmarkEnd w:id="688"/>
      <w:r>
        <w:rPr/>
      </w:r>
      <w:r>
        <w:rPr/>
        <w:t>There is nothing in the subsection to prevent the representee from both rescinding the contract and claiming damages, </w:t>
      </w:r>
      <w:r>
        <w:rPr>
          <w:color w:val="005DA1"/>
          <w:u w:val="single" w:color="005DA1"/>
          <w:vertAlign w:val="superscript"/>
        </w:rPr>
        <w:t>381</w:t>
      </w:r>
      <w:r>
        <w:rPr>
          <w:color w:val="005DA1"/>
          <w:vertAlign w:val="baseline"/>
        </w:rPr>
        <w:t> </w:t>
      </w:r>
      <w:r>
        <w:rPr>
          <w:vertAlign w:val="baseline"/>
        </w:rPr>
        <w:t>though (as will be seen below) </w:t>
      </w:r>
      <w:r>
        <w:rPr>
          <w:color w:val="005DA1"/>
          <w:u w:val="single" w:color="005DA1"/>
          <w:vertAlign w:val="superscript"/>
        </w:rPr>
        <w:t>382</w:t>
      </w:r>
      <w:r>
        <w:rPr>
          <w:color w:val="005DA1"/>
          <w:vertAlign w:val="baseline"/>
        </w:rPr>
        <w:t> </w:t>
      </w:r>
      <w:r>
        <w:rPr>
          <w:vertAlign w:val="baseline"/>
        </w:rPr>
        <w:t>the court now has a discretion to refuse to </w:t>
      </w:r>
      <w:bookmarkStart w:name="_bookmark687" w:id="689"/>
      <w:bookmarkEnd w:id="689"/>
      <w:r>
        <w:rPr>
          <w:vertAlign w:val="baseline"/>
        </w:rPr>
        <w:t>allow</w:t>
      </w:r>
      <w:r>
        <w:rPr>
          <w:vertAlign w:val="baseline"/>
        </w:rPr>
        <w:t> rescission, except in cases of fraud, under s.2(2) of the Act. If the representee does rescind </w:t>
      </w:r>
      <w:r>
        <w:rPr>
          <w:vertAlign w:val="baseline"/>
        </w:rPr>
        <w:t>he was, even before the passing of the Act, entitled to an “indemnity” </w:t>
      </w:r>
      <w:r>
        <w:rPr>
          <w:color w:val="005DA1"/>
          <w:u w:val="single" w:color="005DA1"/>
          <w:vertAlign w:val="superscript"/>
        </w:rPr>
        <w:t>383</w:t>
      </w:r>
      <w:r>
        <w:rPr>
          <w:color w:val="005DA1"/>
          <w:vertAlign w:val="baseline"/>
        </w:rPr>
        <w:t> </w:t>
      </w:r>
      <w:r>
        <w:rPr>
          <w:vertAlign w:val="baseline"/>
        </w:rPr>
        <w:t>against liabilities incurred as a result of the contract, and it seems clear that he cannot claim both an indemnity and damages under s.2(1) in respect of the same loss.</w:t>
      </w:r>
    </w:p>
    <w:p>
      <w:pPr>
        <w:pStyle w:val="BodyText"/>
        <w:spacing w:before="79"/>
      </w:pPr>
    </w:p>
    <w:p>
      <w:pPr>
        <w:pStyle w:val="Heading2"/>
      </w:pPr>
      <w:r>
        <w:rPr/>
        <w:t>7-</w:t>
      </w:r>
      <w:r>
        <w:rPr>
          <w:spacing w:val="-5"/>
        </w:rPr>
        <w:t>081</w:t>
      </w:r>
    </w:p>
    <w:p>
      <w:pPr>
        <w:pStyle w:val="BodyText"/>
        <w:spacing w:line="235" w:lineRule="auto" w:before="202"/>
        <w:ind w:left="165" w:right="167"/>
        <w:jc w:val="both"/>
      </w:pPr>
      <w:bookmarkStart w:name="_bookmark688" w:id="690"/>
      <w:bookmarkEnd w:id="690"/>
      <w:r>
        <w:rPr/>
      </w:r>
      <w:r>
        <w:rPr/>
        <w:t>The section does not give rise to liability in damages for failure to disclose, even when there is a duty to disclose material facts. </w:t>
      </w:r>
      <w:r>
        <w:rPr>
          <w:color w:val="005DA1"/>
          <w:u w:val="single" w:color="005DA1"/>
          <w:vertAlign w:val="superscript"/>
        </w:rPr>
        <w:t>384</w:t>
      </w:r>
      <w:r>
        <w:rPr>
          <w:color w:val="005DA1"/>
          <w:vertAlign w:val="baseline"/>
        </w:rPr>
        <w:t> </w:t>
      </w:r>
      <w:r>
        <w:rPr>
          <w:vertAlign w:val="baseline"/>
        </w:rPr>
        <w:t>Silence as to material facts which should be disclosed is not an </w:t>
      </w:r>
      <w:r>
        <w:rPr>
          <w:vertAlign w:val="baseline"/>
        </w:rPr>
        <w:t>implicit </w:t>
      </w:r>
      <w:bookmarkStart w:name="_bookmark689" w:id="691"/>
      <w:bookmarkEnd w:id="691"/>
      <w:r>
        <w:rPr>
          <w:vertAlign w:val="baseline"/>
        </w:rPr>
        <w:t>representation</w:t>
      </w:r>
      <w:r>
        <w:rPr>
          <w:vertAlign w:val="baseline"/>
        </w:rPr>
        <w:t> that there is nothing to be disclosed, nor does it constitute a “misrepresentation made” within s.2(1). </w:t>
      </w:r>
      <w:r>
        <w:rPr>
          <w:color w:val="005DA1"/>
          <w:u w:val="single" w:color="005DA1"/>
          <w:vertAlign w:val="superscript"/>
        </w:rPr>
        <w:t>385</w:t>
      </w:r>
    </w:p>
    <w:p>
      <w:pPr>
        <w:pStyle w:val="BodyText"/>
      </w:pPr>
    </w:p>
    <w:p>
      <w:pPr>
        <w:pStyle w:val="BodyText"/>
        <w:spacing w:before="37"/>
      </w:pPr>
    </w:p>
    <w:p>
      <w:pPr>
        <w:spacing w:before="0"/>
        <w:ind w:left="165" w:right="0" w:firstLine="0"/>
        <w:jc w:val="left"/>
        <w:rPr>
          <w:rFonts w:ascii="Arial"/>
          <w:b/>
          <w:sz w:val="18"/>
        </w:rPr>
      </w:pPr>
      <w:r>
        <w:rPr>
          <w:rFonts w:ascii="Arial"/>
          <w:b/>
          <w:sz w:val="18"/>
        </w:rPr>
        <w:t>Contributory </w:t>
      </w:r>
      <w:r>
        <w:rPr>
          <w:rFonts w:ascii="Arial"/>
          <w:b/>
          <w:spacing w:val="-2"/>
          <w:sz w:val="18"/>
        </w:rPr>
        <w:t>negligence</w:t>
      </w:r>
    </w:p>
    <w:p>
      <w:pPr>
        <w:pStyle w:val="BodyText"/>
        <w:spacing w:before="42"/>
        <w:rPr>
          <w:rFonts w:ascii="Arial"/>
          <w:b/>
          <w:sz w:val="18"/>
        </w:rPr>
      </w:pPr>
    </w:p>
    <w:p>
      <w:pPr>
        <w:pStyle w:val="Heading2"/>
      </w:pPr>
      <w:r>
        <w:rPr/>
        <w:t>7-</w:t>
      </w:r>
      <w:r>
        <w:rPr>
          <w:spacing w:val="-5"/>
        </w:rPr>
        <w:t>082</w:t>
      </w:r>
    </w:p>
    <w:p>
      <w:pPr>
        <w:pStyle w:val="BodyText"/>
        <w:spacing w:before="92"/>
        <w:rPr>
          <w:rFonts w:ascii="Arial"/>
          <w:b/>
        </w:rPr>
      </w:pPr>
    </w:p>
    <w:p>
      <w:pPr>
        <w:pStyle w:val="BodyText"/>
        <w:spacing w:line="235" w:lineRule="auto"/>
        <w:ind w:left="165" w:right="166"/>
        <w:jc w:val="both"/>
      </w:pPr>
      <w:r>
        <w:rPr>
          <w:position w:val="-2"/>
        </w:rPr>
        <w:drawing>
          <wp:inline distT="0" distB="0" distL="0" distR="0">
            <wp:extent cx="107988" cy="107988"/>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690" w:id="692"/>
      <w:bookmarkEnd w:id="692"/>
      <w:r>
        <w:rPr>
          <w:rFonts w:ascii="Times New Roman" w:hAnsi="Times New Roman"/>
          <w:spacing w:val="-3"/>
        </w:rPr>
      </w:r>
      <w:r>
        <w:rPr/>
        <w:t>It was held in </w:t>
      </w:r>
      <w:r>
        <w:rPr>
          <w:rFonts w:ascii="Arial" w:hAnsi="Arial"/>
          <w:i/>
        </w:rPr>
        <w:t>Gran Gelato Ltd v Richcliff (Group) Ltd </w:t>
      </w:r>
      <w:r>
        <w:rPr>
          <w:color w:val="005DA1"/>
          <w:u w:val="single" w:color="005DA1"/>
          <w:vertAlign w:val="superscript"/>
        </w:rPr>
        <w:t>386</w:t>
      </w:r>
      <w:r>
        <w:rPr>
          <w:color w:val="005DA1"/>
          <w:vertAlign w:val="baseline"/>
        </w:rPr>
        <w:t> </w:t>
      </w:r>
      <w:r>
        <w:rPr>
          <w:vertAlign w:val="baseline"/>
        </w:rPr>
        <w:t>that damages for </w:t>
      </w:r>
      <w:r>
        <w:rPr>
          <w:vertAlign w:val="baseline"/>
        </w:rPr>
        <w:t>negligent </w:t>
      </w:r>
      <w:bookmarkStart w:name="_bookmark691" w:id="693"/>
      <w:bookmarkEnd w:id="693"/>
      <w:r>
        <w:rPr>
          <w:vertAlign w:val="baseline"/>
        </w:rPr>
        <w:t>misrepresentation</w:t>
      </w:r>
      <w:r>
        <w:rPr>
          <w:vertAlign w:val="baseline"/>
        </w:rPr>
        <w:t> under s.2(1) of the Misrepresentation Act 1967 may be reduced under s.1 of the Law Reform (Contributory Negligence) Act 1945 </w:t>
      </w:r>
      <w:r>
        <w:rPr>
          <w:color w:val="005DA1"/>
          <w:u w:val="single" w:color="005DA1"/>
          <w:vertAlign w:val="superscript"/>
        </w:rPr>
        <w:t>387</w:t>
      </w:r>
      <w:r>
        <w:rPr>
          <w:color w:val="005DA1"/>
          <w:vertAlign w:val="baseline"/>
        </w:rPr>
        <w:t> </w:t>
      </w:r>
      <w:r>
        <w:rPr>
          <w:vertAlign w:val="baseline"/>
        </w:rPr>
        <w:t>if the loss was partly the fault of the representee. Liability under s.2(1) applies unless the representor “had reasonable grounds to believe and did believe … that the facts represented were true” and thus is “essentially founded on negligence”. However, it would not be just and equitable to reduce the damages when the representor had </w:t>
      </w:r>
      <w:bookmarkStart w:name="_bookmark692" w:id="694"/>
      <w:bookmarkEnd w:id="694"/>
      <w:r>
        <w:rPr>
          <w:vertAlign w:val="baseline"/>
        </w:rPr>
        <w:t>intended,</w:t>
      </w:r>
      <w:r>
        <w:rPr>
          <w:spacing w:val="19"/>
          <w:vertAlign w:val="baseline"/>
        </w:rPr>
        <w:t> </w:t>
      </w:r>
      <w:r>
        <w:rPr>
          <w:vertAlign w:val="baseline"/>
        </w:rPr>
        <w:t>or</w:t>
      </w:r>
      <w:r>
        <w:rPr>
          <w:spacing w:val="19"/>
          <w:vertAlign w:val="baseline"/>
        </w:rPr>
        <w:t> </w:t>
      </w:r>
      <w:r>
        <w:rPr>
          <w:vertAlign w:val="baseline"/>
        </w:rPr>
        <w:t>should</w:t>
      </w:r>
      <w:r>
        <w:rPr>
          <w:spacing w:val="19"/>
          <w:vertAlign w:val="baseline"/>
        </w:rPr>
        <w:t> </w:t>
      </w:r>
      <w:r>
        <w:rPr>
          <w:vertAlign w:val="baseline"/>
        </w:rPr>
        <w:t>be</w:t>
      </w:r>
      <w:r>
        <w:rPr>
          <w:spacing w:val="19"/>
          <w:vertAlign w:val="baseline"/>
        </w:rPr>
        <w:t> </w:t>
      </w:r>
      <w:r>
        <w:rPr>
          <w:vertAlign w:val="baseline"/>
        </w:rPr>
        <w:t>taken</w:t>
      </w:r>
      <w:r>
        <w:rPr>
          <w:spacing w:val="19"/>
          <w:vertAlign w:val="baseline"/>
        </w:rPr>
        <w:t> </w:t>
      </w:r>
      <w:r>
        <w:rPr>
          <w:vertAlign w:val="baseline"/>
        </w:rPr>
        <w:t>as</w:t>
      </w:r>
      <w:r>
        <w:rPr>
          <w:spacing w:val="19"/>
          <w:vertAlign w:val="baseline"/>
        </w:rPr>
        <w:t> </w:t>
      </w:r>
      <w:r>
        <w:rPr>
          <w:vertAlign w:val="baseline"/>
        </w:rPr>
        <w:t>having</w:t>
      </w:r>
      <w:r>
        <w:rPr>
          <w:spacing w:val="19"/>
          <w:vertAlign w:val="baseline"/>
        </w:rPr>
        <w:t> </w:t>
      </w:r>
      <w:r>
        <w:rPr>
          <w:vertAlign w:val="baseline"/>
        </w:rPr>
        <w:t>intended,</w:t>
      </w:r>
      <w:r>
        <w:rPr>
          <w:spacing w:val="19"/>
          <w:vertAlign w:val="baseline"/>
        </w:rPr>
        <w:t> </w:t>
      </w:r>
      <w:r>
        <w:rPr>
          <w:vertAlign w:val="baseline"/>
        </w:rPr>
        <w:t>that</w:t>
      </w:r>
      <w:r>
        <w:rPr>
          <w:spacing w:val="19"/>
          <w:vertAlign w:val="baseline"/>
        </w:rPr>
        <w:t> </w:t>
      </w:r>
      <w:r>
        <w:rPr>
          <w:vertAlign w:val="baseline"/>
        </w:rPr>
        <w:t>the</w:t>
      </w:r>
      <w:r>
        <w:rPr>
          <w:spacing w:val="19"/>
          <w:vertAlign w:val="baseline"/>
        </w:rPr>
        <w:t> </w:t>
      </w:r>
      <w:r>
        <w:rPr>
          <w:vertAlign w:val="baseline"/>
        </w:rPr>
        <w:t>representee</w:t>
      </w:r>
      <w:r>
        <w:rPr>
          <w:spacing w:val="19"/>
          <w:vertAlign w:val="baseline"/>
        </w:rPr>
        <w:t> </w:t>
      </w:r>
      <w:r>
        <w:rPr>
          <w:vertAlign w:val="baseline"/>
        </w:rPr>
        <w:t>should</w:t>
      </w:r>
      <w:r>
        <w:rPr>
          <w:spacing w:val="19"/>
          <w:vertAlign w:val="baseline"/>
        </w:rPr>
        <w:t> </w:t>
      </w:r>
      <w:r>
        <w:rPr>
          <w:vertAlign w:val="baseline"/>
        </w:rPr>
        <w:t>act</w:t>
      </w:r>
      <w:r>
        <w:rPr>
          <w:spacing w:val="19"/>
          <w:vertAlign w:val="baseline"/>
        </w:rPr>
        <w:t> </w:t>
      </w:r>
      <w:r>
        <w:rPr>
          <w:vertAlign w:val="baseline"/>
        </w:rPr>
        <w:t>in</w:t>
      </w:r>
      <w:r>
        <w:rPr>
          <w:spacing w:val="19"/>
          <w:vertAlign w:val="baseline"/>
        </w:rPr>
        <w:t> </w:t>
      </w:r>
      <w:r>
        <w:rPr>
          <w:vertAlign w:val="baseline"/>
        </w:rPr>
        <w:t>reliance</w:t>
      </w:r>
      <w:r>
        <w:rPr>
          <w:spacing w:val="19"/>
          <w:vertAlign w:val="baseline"/>
        </w:rPr>
        <w:t> </w:t>
      </w:r>
      <w:r>
        <w:rPr>
          <w:vertAlign w:val="baseline"/>
        </w:rPr>
        <w:t>on</w:t>
      </w:r>
      <w:r>
        <w:rPr>
          <w:spacing w:val="19"/>
          <w:vertAlign w:val="baseline"/>
        </w:rPr>
        <w:t> </w:t>
      </w:r>
      <w:r>
        <w:rPr>
          <w:spacing w:val="-5"/>
          <w:vertAlign w:val="baseline"/>
        </w:rPr>
        <w:t>the</w:t>
      </w:r>
    </w:p>
    <w:p>
      <w:pPr>
        <w:pStyle w:val="BodyText"/>
        <w:spacing w:line="235" w:lineRule="auto" w:before="118"/>
        <w:ind w:left="164" w:right="167"/>
        <w:jc w:val="both"/>
      </w:pPr>
      <w:r>
        <w:rPr/>
        <w:t>answers which had been given to his questions. </w:t>
      </w:r>
      <w:r>
        <w:rPr>
          <w:color w:val="005DA1"/>
          <w:u w:val="single" w:color="005DA1"/>
          <w:vertAlign w:val="superscript"/>
        </w:rPr>
        <w:t>388</w:t>
      </w:r>
      <w:r>
        <w:rPr>
          <w:color w:val="005DA1"/>
          <w:spacing w:val="80"/>
          <w:vertAlign w:val="baseline"/>
        </w:rPr>
        <w:t> </w:t>
      </w:r>
      <w:r>
        <w:rPr>
          <w:color w:val="005DA1"/>
          <w:spacing w:val="14"/>
          <w:position w:val="-2"/>
          <w:vertAlign w:val="baseline"/>
        </w:rPr>
        <w:drawing>
          <wp:inline distT="0" distB="0" distL="0" distR="0">
            <wp:extent cx="107988" cy="107988"/>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color w:val="005DA1"/>
          <w:spacing w:val="-6"/>
          <w:vertAlign w:val="baseline"/>
        </w:rPr>
        <w:t> </w:t>
      </w:r>
      <w:r>
        <w:rPr>
          <w:vertAlign w:val="baseline"/>
        </w:rPr>
        <w:t>The decision was based on the fact that there was</w:t>
      </w:r>
      <w:r>
        <w:rPr>
          <w:spacing w:val="14"/>
          <w:vertAlign w:val="baseline"/>
        </w:rPr>
        <w:t> </w:t>
      </w:r>
      <w:r>
        <w:rPr>
          <w:vertAlign w:val="baseline"/>
        </w:rPr>
        <w:t>concurrent</w:t>
      </w:r>
      <w:r>
        <w:rPr>
          <w:spacing w:val="14"/>
          <w:vertAlign w:val="baseline"/>
        </w:rPr>
        <w:t> </w:t>
      </w:r>
      <w:r>
        <w:rPr>
          <w:vertAlign w:val="baseline"/>
        </w:rPr>
        <w:t>liability</w:t>
      </w:r>
      <w:r>
        <w:rPr>
          <w:spacing w:val="14"/>
          <w:vertAlign w:val="baseline"/>
        </w:rPr>
        <w:t> </w:t>
      </w:r>
      <w:r>
        <w:rPr>
          <w:vertAlign w:val="baseline"/>
        </w:rPr>
        <w:t>under</w:t>
      </w:r>
      <w:r>
        <w:rPr>
          <w:spacing w:val="14"/>
          <w:vertAlign w:val="baseline"/>
        </w:rPr>
        <w:t> </w:t>
      </w:r>
      <w:r>
        <w:rPr>
          <w:vertAlign w:val="baseline"/>
        </w:rPr>
        <w:t>s.2(1)</w:t>
      </w:r>
      <w:r>
        <w:rPr>
          <w:spacing w:val="14"/>
          <w:vertAlign w:val="baseline"/>
        </w:rPr>
        <w:t> </w:t>
      </w:r>
      <w:r>
        <w:rPr>
          <w:vertAlign w:val="baseline"/>
        </w:rPr>
        <w:t>and</w:t>
      </w:r>
      <w:r>
        <w:rPr>
          <w:spacing w:val="14"/>
          <w:vertAlign w:val="baseline"/>
        </w:rPr>
        <w:t> </w:t>
      </w:r>
      <w:r>
        <w:rPr>
          <w:vertAlign w:val="baseline"/>
        </w:rPr>
        <w:t>in</w:t>
      </w:r>
      <w:r>
        <w:rPr>
          <w:spacing w:val="14"/>
          <w:vertAlign w:val="baseline"/>
        </w:rPr>
        <w:t> </w:t>
      </w:r>
      <w:r>
        <w:rPr>
          <w:vertAlign w:val="baseline"/>
        </w:rPr>
        <w:t>tort</w:t>
      </w:r>
      <w:r>
        <w:rPr>
          <w:spacing w:val="14"/>
          <w:vertAlign w:val="baseline"/>
        </w:rPr>
        <w:t> </w:t>
      </w:r>
      <w:r>
        <w:rPr>
          <w:vertAlign w:val="baseline"/>
        </w:rPr>
        <w:t>for</w:t>
      </w:r>
      <w:r>
        <w:rPr>
          <w:spacing w:val="14"/>
          <w:vertAlign w:val="baseline"/>
        </w:rPr>
        <w:t> </w:t>
      </w:r>
      <w:r>
        <w:rPr>
          <w:vertAlign w:val="baseline"/>
        </w:rPr>
        <w:t>negligent</w:t>
      </w:r>
      <w:r>
        <w:rPr>
          <w:spacing w:val="14"/>
          <w:vertAlign w:val="baseline"/>
        </w:rPr>
        <w:t> </w:t>
      </w:r>
      <w:r>
        <w:rPr>
          <w:vertAlign w:val="baseline"/>
        </w:rPr>
        <w:t>misrepresentation</w:t>
      </w:r>
      <w:r>
        <w:rPr>
          <w:spacing w:val="14"/>
          <w:vertAlign w:val="baseline"/>
        </w:rPr>
        <w:t> </w:t>
      </w:r>
      <w:r>
        <w:rPr>
          <w:vertAlign w:val="baseline"/>
        </w:rPr>
        <w:t>under</w:t>
      </w:r>
      <w:r>
        <w:rPr>
          <w:spacing w:val="14"/>
          <w:vertAlign w:val="baseline"/>
        </w:rPr>
        <w:t> </w:t>
      </w:r>
      <w:r>
        <w:rPr>
          <w:vertAlign w:val="baseline"/>
        </w:rPr>
        <w:t>the</w:t>
      </w:r>
      <w:r>
        <w:rPr>
          <w:spacing w:val="14"/>
          <w:vertAlign w:val="baseline"/>
        </w:rPr>
        <w:t> </w:t>
      </w:r>
      <w:r>
        <w:rPr>
          <w:vertAlign w:val="baseline"/>
        </w:rPr>
        <w:t>principle</w:t>
      </w:r>
      <w:r>
        <w:rPr>
          <w:spacing w:val="14"/>
          <w:vertAlign w:val="baseline"/>
        </w:rPr>
        <w:t> </w:t>
      </w:r>
      <w:r>
        <w:rPr>
          <w:spacing w:val="-5"/>
          <w:vertAlign w:val="baseline"/>
        </w:rPr>
        <w:t>of</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bookmarkStart w:name="_bookmark693" w:id="695"/>
      <w:bookmarkEnd w:id="695"/>
      <w:r>
        <w:rPr/>
      </w:r>
      <w:r>
        <w:rPr>
          <w:rFonts w:ascii="Arial"/>
          <w:i/>
        </w:rPr>
        <w:t>Hedley Byrne &amp; Co Ltd v Heller &amp; Partners Ltd</w:t>
      </w:r>
      <w:r>
        <w:rPr/>
        <w:t>. </w:t>
      </w:r>
      <w:r>
        <w:rPr>
          <w:color w:val="005DA1"/>
          <w:u w:val="single" w:color="005DA1"/>
          <w:vertAlign w:val="superscript"/>
        </w:rPr>
        <w:t>389</w:t>
      </w:r>
      <w:r>
        <w:rPr>
          <w:color w:val="005DA1"/>
          <w:vertAlign w:val="baseline"/>
        </w:rPr>
        <w:t> </w:t>
      </w:r>
      <w:r>
        <w:rPr>
          <w:vertAlign w:val="baseline"/>
        </w:rPr>
        <w:t>It may happen that a defendant is liable under </w:t>
      </w:r>
      <w:bookmarkStart w:name="_bookmark694" w:id="696"/>
      <w:bookmarkEnd w:id="696"/>
      <w:r>
        <w:rPr>
          <w:vertAlign w:val="baseline"/>
        </w:rPr>
        <w:t>s.2(1)</w:t>
      </w:r>
      <w:r>
        <w:rPr>
          <w:vertAlign w:val="baseline"/>
        </w:rPr>
        <w:t> without being concurrently liable in tort for negligent misrepresentation, for instance </w:t>
      </w:r>
      <w:r>
        <w:rPr>
          <w:vertAlign w:val="baseline"/>
        </w:rPr>
        <w:t>because the</w:t>
      </w:r>
      <w:r>
        <w:rPr>
          <w:spacing w:val="9"/>
          <w:vertAlign w:val="baseline"/>
        </w:rPr>
        <w:t> </w:t>
      </w:r>
      <w:r>
        <w:rPr>
          <w:vertAlign w:val="baseline"/>
        </w:rPr>
        <w:t>court</w:t>
      </w:r>
      <w:r>
        <w:rPr>
          <w:spacing w:val="11"/>
          <w:vertAlign w:val="baseline"/>
        </w:rPr>
        <w:t> </w:t>
      </w:r>
      <w:r>
        <w:rPr>
          <w:vertAlign w:val="baseline"/>
        </w:rPr>
        <w:t>considers</w:t>
      </w:r>
      <w:r>
        <w:rPr>
          <w:spacing w:val="11"/>
          <w:vertAlign w:val="baseline"/>
        </w:rPr>
        <w:t> </w:t>
      </w:r>
      <w:r>
        <w:rPr>
          <w:vertAlign w:val="baseline"/>
        </w:rPr>
        <w:t>that</w:t>
      </w:r>
      <w:r>
        <w:rPr>
          <w:spacing w:val="11"/>
          <w:vertAlign w:val="baseline"/>
        </w:rPr>
        <w:t> </w:t>
      </w:r>
      <w:r>
        <w:rPr>
          <w:vertAlign w:val="baseline"/>
        </w:rPr>
        <w:t>there</w:t>
      </w:r>
      <w:r>
        <w:rPr>
          <w:spacing w:val="11"/>
          <w:vertAlign w:val="baseline"/>
        </w:rPr>
        <w:t> </w:t>
      </w:r>
      <w:r>
        <w:rPr>
          <w:vertAlign w:val="baseline"/>
        </w:rPr>
        <w:t>was</w:t>
      </w:r>
      <w:r>
        <w:rPr>
          <w:spacing w:val="11"/>
          <w:vertAlign w:val="baseline"/>
        </w:rPr>
        <w:t> </w:t>
      </w:r>
      <w:r>
        <w:rPr>
          <w:vertAlign w:val="baseline"/>
        </w:rPr>
        <w:t>on</w:t>
      </w:r>
      <w:r>
        <w:rPr>
          <w:spacing w:val="11"/>
          <w:vertAlign w:val="baseline"/>
        </w:rPr>
        <w:t> </w:t>
      </w:r>
      <w:r>
        <w:rPr>
          <w:vertAlign w:val="baseline"/>
        </w:rPr>
        <w:t>the</w:t>
      </w:r>
      <w:r>
        <w:rPr>
          <w:spacing w:val="11"/>
          <w:vertAlign w:val="baseline"/>
        </w:rPr>
        <w:t> </w:t>
      </w:r>
      <w:r>
        <w:rPr>
          <w:vertAlign w:val="baseline"/>
        </w:rPr>
        <w:t>facts</w:t>
      </w:r>
      <w:r>
        <w:rPr>
          <w:spacing w:val="11"/>
          <w:vertAlign w:val="baseline"/>
        </w:rPr>
        <w:t> </w:t>
      </w:r>
      <w:r>
        <w:rPr>
          <w:vertAlign w:val="baseline"/>
        </w:rPr>
        <w:t>no</w:t>
      </w:r>
      <w:r>
        <w:rPr>
          <w:spacing w:val="11"/>
          <w:vertAlign w:val="baseline"/>
        </w:rPr>
        <w:t> </w:t>
      </w:r>
      <w:r>
        <w:rPr>
          <w:vertAlign w:val="baseline"/>
        </w:rPr>
        <w:t>undertaking</w:t>
      </w:r>
      <w:r>
        <w:rPr>
          <w:spacing w:val="11"/>
          <w:vertAlign w:val="baseline"/>
        </w:rPr>
        <w:t> </w:t>
      </w:r>
      <w:r>
        <w:rPr>
          <w:vertAlign w:val="baseline"/>
        </w:rPr>
        <w:t>of</w:t>
      </w:r>
      <w:r>
        <w:rPr>
          <w:spacing w:val="11"/>
          <w:vertAlign w:val="baseline"/>
        </w:rPr>
        <w:t> </w:t>
      </w:r>
      <w:r>
        <w:rPr>
          <w:vertAlign w:val="baseline"/>
        </w:rPr>
        <w:t>responsibility</w:t>
      </w:r>
      <w:r>
        <w:rPr>
          <w:spacing w:val="11"/>
          <w:vertAlign w:val="baseline"/>
        </w:rPr>
        <w:t> </w:t>
      </w:r>
      <w:r>
        <w:rPr>
          <w:vertAlign w:val="baseline"/>
        </w:rPr>
        <w:t>towards</w:t>
      </w:r>
      <w:r>
        <w:rPr>
          <w:spacing w:val="11"/>
          <w:vertAlign w:val="baseline"/>
        </w:rPr>
        <w:t> </w:t>
      </w:r>
      <w:r>
        <w:rPr>
          <w:vertAlign w:val="baseline"/>
        </w:rPr>
        <w:t>the</w:t>
      </w:r>
      <w:r>
        <w:rPr>
          <w:spacing w:val="11"/>
          <w:vertAlign w:val="baseline"/>
        </w:rPr>
        <w:t> </w:t>
      </w:r>
      <w:r>
        <w:rPr>
          <w:spacing w:val="-2"/>
          <w:vertAlign w:val="baseline"/>
        </w:rPr>
        <w:t>claimant.</w:t>
      </w:r>
    </w:p>
    <w:p>
      <w:pPr>
        <w:pStyle w:val="BodyText"/>
        <w:spacing w:line="235" w:lineRule="auto"/>
        <w:ind w:left="165" w:right="167"/>
        <w:jc w:val="both"/>
      </w:pPr>
      <w:r>
        <w:rPr>
          <w:color w:val="005DA1"/>
          <w:u w:val="single" w:color="005DA1"/>
          <w:vertAlign w:val="superscript"/>
        </w:rPr>
        <w:t>390</w:t>
      </w:r>
      <w:r>
        <w:rPr>
          <w:color w:val="005DA1"/>
          <w:vertAlign w:val="baseline"/>
        </w:rPr>
        <w:t> </w:t>
      </w:r>
      <w:r>
        <w:rPr>
          <w:vertAlign w:val="baseline"/>
        </w:rPr>
        <w:t>In such a case it seems that the claimant’s damages could not be reduced on account of any contributory negligence. This is because s.2(1) makes the misrepresentor who cannot </w:t>
      </w:r>
      <w:r>
        <w:rPr>
          <w:vertAlign w:val="baseline"/>
        </w:rPr>
        <w:t>prove reasonable grounds liable as if the statement had been fraudulent. It has been held that at common </w:t>
      </w:r>
      <w:bookmarkStart w:name="_bookmark695" w:id="697"/>
      <w:bookmarkEnd w:id="697"/>
      <w:r>
        <w:rPr>
          <w:vertAlign w:val="baseline"/>
        </w:rPr>
        <w:t>law</w:t>
      </w:r>
      <w:r>
        <w:rPr>
          <w:vertAlign w:val="baseline"/>
        </w:rPr>
        <w:t> contributory negligence is not a defence to fraud and that therefore the Law Reform (Contributory </w:t>
      </w:r>
      <w:bookmarkStart w:name="_bookmark696" w:id="698"/>
      <w:bookmarkEnd w:id="698"/>
      <w:r>
        <w:rPr>
          <w:vertAlign w:val="baseline"/>
        </w:rPr>
        <w:t>Negligence)</w:t>
      </w:r>
      <w:r>
        <w:rPr>
          <w:vertAlign w:val="baseline"/>
        </w:rPr>
        <w:t> Act does not apply to fraud. </w:t>
      </w:r>
      <w:r>
        <w:rPr>
          <w:color w:val="005DA1"/>
          <w:u w:val="single" w:color="005DA1"/>
          <w:vertAlign w:val="superscript"/>
        </w:rPr>
        <w:t>391</w:t>
      </w:r>
      <w:r>
        <w:rPr>
          <w:color w:val="005DA1"/>
          <w:vertAlign w:val="baseline"/>
        </w:rPr>
        <w:t> </w:t>
      </w:r>
      <w:r>
        <w:rPr>
          <w:vertAlign w:val="baseline"/>
        </w:rPr>
        <w:t>Because the misrepresentor is to be liable under the Misrepresentation Act 1967 s.2(1), “as if the representation had been fraudulent”, </w:t>
      </w:r>
      <w:r>
        <w:rPr>
          <w:color w:val="005DA1"/>
          <w:u w:val="single" w:color="005DA1"/>
          <w:vertAlign w:val="superscript"/>
        </w:rPr>
        <w:t>392</w:t>
      </w:r>
      <w:r>
        <w:rPr>
          <w:color w:val="005DA1"/>
          <w:vertAlign w:val="baseline"/>
        </w:rPr>
        <w:t> </w:t>
      </w:r>
      <w:r>
        <w:rPr>
          <w:vertAlign w:val="baseline"/>
        </w:rPr>
        <w:t>the Law Reform (Contributory Negligence) Act seems not to apply to claims under s.2(1) where there is no concurrent liability in tort for negligent misrepresentation.</w:t>
      </w:r>
    </w:p>
    <w:p>
      <w:pPr>
        <w:pStyle w:val="BodyText"/>
      </w:pPr>
    </w:p>
    <w:p>
      <w:pPr>
        <w:pStyle w:val="BodyText"/>
        <w:spacing w:before="34"/>
      </w:pPr>
    </w:p>
    <w:p>
      <w:pPr>
        <w:spacing w:before="0"/>
        <w:ind w:left="165" w:right="0" w:firstLine="0"/>
        <w:jc w:val="left"/>
        <w:rPr>
          <w:rFonts w:ascii="Arial"/>
          <w:b/>
          <w:sz w:val="18"/>
        </w:rPr>
      </w:pPr>
      <w:r>
        <w:rPr>
          <w:rFonts w:ascii="Arial"/>
          <w:b/>
          <w:sz w:val="18"/>
        </w:rPr>
        <w:t>Burden of </w:t>
      </w:r>
      <w:r>
        <w:rPr>
          <w:rFonts w:ascii="Arial"/>
          <w:b/>
          <w:spacing w:val="-2"/>
          <w:sz w:val="18"/>
        </w:rPr>
        <w:t>proof</w:t>
      </w:r>
    </w:p>
    <w:p>
      <w:pPr>
        <w:pStyle w:val="BodyText"/>
        <w:spacing w:before="41"/>
        <w:rPr>
          <w:rFonts w:ascii="Arial"/>
          <w:b/>
          <w:sz w:val="18"/>
        </w:rPr>
      </w:pPr>
    </w:p>
    <w:p>
      <w:pPr>
        <w:pStyle w:val="Heading2"/>
        <w:spacing w:before="1"/>
      </w:pPr>
      <w:r>
        <w:rPr/>
        <w:t>7-</w:t>
      </w:r>
      <w:r>
        <w:rPr>
          <w:spacing w:val="-5"/>
        </w:rPr>
        <w:t>083</w:t>
      </w:r>
    </w:p>
    <w:p>
      <w:pPr>
        <w:pStyle w:val="BodyText"/>
        <w:spacing w:line="235" w:lineRule="auto" w:before="202"/>
        <w:ind w:left="165" w:right="167"/>
        <w:jc w:val="both"/>
      </w:pPr>
      <w:r>
        <w:rPr/>
        <w:t>Once the representee proves that the statement was in fact false, the burden under the subsection shifts to the representor to prove that he had reasonable ground to believe and did believe up to the time the contract was made that the facts represented were true. Where the negotiations for </w:t>
      </w:r>
      <w:r>
        <w:rPr/>
        <w:t>a</w:t>
      </w:r>
      <w:r>
        <w:rPr>
          <w:spacing w:val="40"/>
        </w:rPr>
        <w:t> </w:t>
      </w:r>
      <w:r>
        <w:rPr/>
        <w:t>contract have continued over a substantial time, and the misrepresentation was made some while before the contract was finally entered into, this burden may indeed prove a heavy one. It will not be sufficient for the representor to prove that he had reasonable grounds to believe the statement was </w:t>
      </w:r>
      <w:bookmarkStart w:name="_bookmark697" w:id="699"/>
      <w:bookmarkEnd w:id="699"/>
      <w:r>
        <w:rPr/>
        <w:t>true</w:t>
      </w:r>
      <w:r>
        <w:rPr/>
        <w:t> when made; he will have to go on to prove that he had reasonable grounds to believe and did believe the statement was true when the contract was made. </w:t>
      </w:r>
      <w:r>
        <w:rPr>
          <w:color w:val="005DA1"/>
          <w:u w:val="single" w:color="005DA1"/>
          <w:vertAlign w:val="superscript"/>
        </w:rPr>
        <w:t>393</w:t>
      </w:r>
    </w:p>
    <w:p>
      <w:pPr>
        <w:pStyle w:val="BodyText"/>
      </w:pPr>
    </w:p>
    <w:p>
      <w:pPr>
        <w:pStyle w:val="BodyText"/>
        <w:spacing w:before="36"/>
      </w:pPr>
    </w:p>
    <w:p>
      <w:pPr>
        <w:spacing w:before="0"/>
        <w:ind w:left="165" w:right="0" w:firstLine="0"/>
        <w:jc w:val="left"/>
        <w:rPr>
          <w:rFonts w:ascii="Arial"/>
          <w:b/>
          <w:sz w:val="18"/>
        </w:rPr>
      </w:pPr>
      <w:r>
        <w:rPr>
          <w:rFonts w:ascii="Arial"/>
          <w:b/>
          <w:sz w:val="18"/>
        </w:rPr>
        <w:t>Parties liable under the </w:t>
      </w:r>
      <w:r>
        <w:rPr>
          <w:rFonts w:ascii="Arial"/>
          <w:b/>
          <w:spacing w:val="-2"/>
          <w:sz w:val="18"/>
        </w:rPr>
        <w:t>subsection</w:t>
      </w:r>
    </w:p>
    <w:p>
      <w:pPr>
        <w:pStyle w:val="BodyText"/>
        <w:spacing w:before="41"/>
        <w:rPr>
          <w:rFonts w:ascii="Arial"/>
          <w:b/>
          <w:sz w:val="18"/>
        </w:rPr>
      </w:pPr>
    </w:p>
    <w:p>
      <w:pPr>
        <w:pStyle w:val="Heading2"/>
      </w:pPr>
      <w:r>
        <w:rPr/>
        <w:t>7-</w:t>
      </w:r>
      <w:r>
        <w:rPr>
          <w:spacing w:val="-5"/>
        </w:rPr>
        <w:t>084</w:t>
      </w:r>
    </w:p>
    <w:p>
      <w:pPr>
        <w:pStyle w:val="BodyText"/>
        <w:spacing w:line="235" w:lineRule="auto" w:before="203"/>
        <w:ind w:left="165" w:right="167"/>
        <w:jc w:val="both"/>
      </w:pPr>
      <w:bookmarkStart w:name="_bookmark698" w:id="700"/>
      <w:bookmarkEnd w:id="700"/>
      <w:r>
        <w:rPr/>
      </w:r>
      <w:r>
        <w:rPr/>
        <w:t>The subsection only applies where the representee has entered into a contract after a misrepresentation was made to him by another party to the contract. </w:t>
      </w:r>
      <w:r>
        <w:rPr>
          <w:color w:val="005DA1"/>
          <w:u w:val="single" w:color="005DA1"/>
          <w:vertAlign w:val="superscript"/>
        </w:rPr>
        <w:t>394</w:t>
      </w:r>
      <w:r>
        <w:rPr>
          <w:color w:val="005DA1"/>
          <w:vertAlign w:val="baseline"/>
        </w:rPr>
        <w:t> </w:t>
      </w:r>
      <w:r>
        <w:rPr>
          <w:vertAlign w:val="baseline"/>
        </w:rPr>
        <w:t>Presumably, </w:t>
      </w:r>
      <w:r>
        <w:rPr>
          <w:vertAlign w:val="baseline"/>
        </w:rPr>
        <w:t>ordinary principles of agency will still apply, so that an action will lie under the subsection where the </w:t>
      </w:r>
      <w:bookmarkStart w:name="_bookmark699" w:id="701"/>
      <w:bookmarkEnd w:id="701"/>
      <w:r>
        <w:rPr>
          <w:vertAlign w:val="baseline"/>
        </w:rPr>
        <w:t>misrepresentation</w:t>
      </w:r>
      <w:r>
        <w:rPr>
          <w:vertAlign w:val="baseline"/>
        </w:rPr>
        <w:t> has been made by an agent of the other contracting party, acting within the scope of his authority. </w:t>
      </w:r>
      <w:r>
        <w:rPr>
          <w:color w:val="005DA1"/>
          <w:u w:val="single" w:color="005DA1"/>
          <w:vertAlign w:val="superscript"/>
        </w:rPr>
        <w:t>395</w:t>
      </w:r>
      <w:r>
        <w:rPr>
          <w:color w:val="005DA1"/>
          <w:vertAlign w:val="baseline"/>
        </w:rPr>
        <w:t> </w:t>
      </w:r>
      <w:r>
        <w:rPr>
          <w:vertAlign w:val="baseline"/>
        </w:rPr>
        <w:t>But an agent who makes a misrepresentation which is within his actual or ostensible authority is not personally liable under the subsection, despite the fact that the subsection, </w:t>
      </w:r>
      <w:bookmarkStart w:name="_bookmark700" w:id="702"/>
      <w:bookmarkEnd w:id="702"/>
      <w:r>
        <w:rPr>
          <w:vertAlign w:val="baseline"/>
        </w:rPr>
        <w:t>having</w:t>
      </w:r>
      <w:r>
        <w:rPr>
          <w:vertAlign w:val="baseline"/>
        </w:rPr>
        <w:t> referred to a misrepresentation having been made by a </w:t>
      </w:r>
      <w:r>
        <w:rPr>
          <w:rFonts w:ascii="Arial"/>
          <w:i/>
          <w:vertAlign w:val="baseline"/>
        </w:rPr>
        <w:t>party </w:t>
      </w:r>
      <w:r>
        <w:rPr>
          <w:vertAlign w:val="baseline"/>
        </w:rPr>
        <w:t>to the contract (i.e. the principal via the agent) then goes on to refer to the liability of the </w:t>
      </w:r>
      <w:r>
        <w:rPr>
          <w:rFonts w:ascii="Arial"/>
          <w:i/>
          <w:vertAlign w:val="baseline"/>
        </w:rPr>
        <w:t>person </w:t>
      </w:r>
      <w:r>
        <w:rPr>
          <w:vertAlign w:val="baseline"/>
        </w:rPr>
        <w:t>making the representation. </w:t>
      </w:r>
      <w:r>
        <w:rPr>
          <w:color w:val="005DA1"/>
          <w:u w:val="single" w:color="005DA1"/>
          <w:vertAlign w:val="superscript"/>
        </w:rPr>
        <w:t>396</w:t>
      </w:r>
      <w:r>
        <w:rPr>
          <w:color w:val="005DA1"/>
          <w:vertAlign w:val="baseline"/>
        </w:rPr>
        <w:t> </w:t>
      </w:r>
      <w:r>
        <w:rPr>
          <w:vertAlign w:val="baseline"/>
        </w:rPr>
        <w:t>The </w:t>
      </w:r>
      <w:bookmarkStart w:name="_bookmark701" w:id="703"/>
      <w:bookmarkEnd w:id="703"/>
      <w:r>
        <w:rPr>
          <w:vertAlign w:val="baseline"/>
        </w:rPr>
        <w:t>agent</w:t>
      </w:r>
      <w:r>
        <w:rPr>
          <w:vertAlign w:val="baseline"/>
        </w:rPr>
        <w:t> may, of course, be liable for negligence at common law but only if he has assumed personal responsibility towards the claimant. </w:t>
      </w:r>
      <w:r>
        <w:rPr>
          <w:color w:val="005DA1"/>
          <w:u w:val="single" w:color="005DA1"/>
          <w:vertAlign w:val="superscript"/>
        </w:rPr>
        <w:t>397</w:t>
      </w:r>
      <w:r>
        <w:rPr>
          <w:color w:val="005DA1"/>
          <w:vertAlign w:val="baseline"/>
        </w:rPr>
        <w:t> </w:t>
      </w:r>
      <w:r>
        <w:rPr>
          <w:vertAlign w:val="baseline"/>
        </w:rPr>
        <w:t>If the agent seeks to enforce the contract in his own name, the </w:t>
      </w:r>
      <w:bookmarkStart w:name="_bookmark702" w:id="704"/>
      <w:bookmarkEnd w:id="704"/>
      <w:r>
        <w:rPr>
          <w:vertAlign w:val="baseline"/>
        </w:rPr>
        <w:t>misrepresentation</w:t>
      </w:r>
      <w:r>
        <w:rPr>
          <w:vertAlign w:val="baseline"/>
        </w:rPr>
        <w:t> may be set up as a defence against him whether or not it is attributable to him rather than his principal. </w:t>
      </w:r>
      <w:r>
        <w:rPr>
          <w:color w:val="005DA1"/>
          <w:u w:val="single" w:color="005DA1"/>
          <w:vertAlign w:val="superscript"/>
        </w:rPr>
        <w:t>398</w:t>
      </w:r>
    </w:p>
    <w:p>
      <w:pPr>
        <w:pStyle w:val="BodyText"/>
      </w:pPr>
    </w:p>
    <w:p>
      <w:pPr>
        <w:pStyle w:val="BodyText"/>
        <w:spacing w:before="34"/>
      </w:pPr>
    </w:p>
    <w:p>
      <w:pPr>
        <w:spacing w:before="0"/>
        <w:ind w:left="165" w:right="0" w:firstLine="0"/>
        <w:jc w:val="left"/>
        <w:rPr>
          <w:rFonts w:ascii="Arial"/>
          <w:b/>
          <w:sz w:val="18"/>
        </w:rPr>
      </w:pPr>
      <w:r>
        <w:rPr>
          <w:rFonts w:ascii="Arial"/>
          <w:b/>
          <w:sz w:val="18"/>
        </w:rPr>
        <w:t>Misrepresentation by third </w:t>
      </w:r>
      <w:r>
        <w:rPr>
          <w:rFonts w:ascii="Arial"/>
          <w:b/>
          <w:spacing w:val="-2"/>
          <w:sz w:val="18"/>
        </w:rPr>
        <w:t>person</w:t>
      </w:r>
    </w:p>
    <w:p>
      <w:pPr>
        <w:pStyle w:val="BodyText"/>
        <w:spacing w:before="41"/>
        <w:rPr>
          <w:rFonts w:ascii="Arial"/>
          <w:b/>
          <w:sz w:val="18"/>
        </w:rPr>
      </w:pPr>
    </w:p>
    <w:p>
      <w:pPr>
        <w:pStyle w:val="Heading2"/>
      </w:pPr>
      <w:r>
        <w:rPr/>
        <w:t>7-</w:t>
      </w:r>
      <w:r>
        <w:rPr>
          <w:spacing w:val="-5"/>
        </w:rPr>
        <w:t>085</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subsection has no application where the representor is neither himself the other contracting </w:t>
      </w:r>
      <w:bookmarkStart w:name="_bookmark703" w:id="705"/>
      <w:bookmarkEnd w:id="705"/>
      <w:r>
        <w:rPr/>
        <w:t>party</w:t>
      </w:r>
      <w:r>
        <w:rPr/>
        <w:t> nor the agent of the other contracting party. Thus where B is induced to enter into a contract</w:t>
      </w:r>
      <w:r>
        <w:rPr>
          <w:spacing w:val="40"/>
        </w:rPr>
        <w:t> </w:t>
      </w:r>
      <w:bookmarkStart w:name="_bookmark704" w:id="706"/>
      <w:bookmarkEnd w:id="706"/>
      <w:r>
        <w:rPr/>
        <w:t>with</w:t>
      </w:r>
      <w:r>
        <w:rPr>
          <w:spacing w:val="3"/>
        </w:rPr>
        <w:t> </w:t>
      </w:r>
      <w:r>
        <w:rPr/>
        <w:t>C</w:t>
      </w:r>
      <w:r>
        <w:rPr>
          <w:spacing w:val="3"/>
        </w:rPr>
        <w:t> </w:t>
      </w:r>
      <w:r>
        <w:rPr/>
        <w:t>as</w:t>
      </w:r>
      <w:r>
        <w:rPr>
          <w:spacing w:val="3"/>
        </w:rPr>
        <w:t> </w:t>
      </w:r>
      <w:r>
        <w:rPr/>
        <w:t>a</w:t>
      </w:r>
      <w:r>
        <w:rPr>
          <w:spacing w:val="3"/>
        </w:rPr>
        <w:t> </w:t>
      </w:r>
      <w:r>
        <w:rPr/>
        <w:t>result</w:t>
      </w:r>
      <w:r>
        <w:rPr>
          <w:spacing w:val="4"/>
        </w:rPr>
        <w:t> </w:t>
      </w:r>
      <w:r>
        <w:rPr/>
        <w:t>of</w:t>
      </w:r>
      <w:r>
        <w:rPr>
          <w:spacing w:val="3"/>
        </w:rPr>
        <w:t> </w:t>
      </w:r>
      <w:r>
        <w:rPr/>
        <w:t>a</w:t>
      </w:r>
      <w:r>
        <w:rPr>
          <w:spacing w:val="3"/>
        </w:rPr>
        <w:t> </w:t>
      </w:r>
      <w:r>
        <w:rPr/>
        <w:t>misrepresentation</w:t>
      </w:r>
      <w:r>
        <w:rPr>
          <w:spacing w:val="3"/>
        </w:rPr>
        <w:t> </w:t>
      </w:r>
      <w:r>
        <w:rPr/>
        <w:t>made</w:t>
      </w:r>
      <w:r>
        <w:rPr>
          <w:spacing w:val="4"/>
        </w:rPr>
        <w:t> </w:t>
      </w:r>
      <w:r>
        <w:rPr/>
        <w:t>by</w:t>
      </w:r>
      <w:r>
        <w:rPr>
          <w:spacing w:val="3"/>
        </w:rPr>
        <w:t> </w:t>
      </w:r>
      <w:r>
        <w:rPr/>
        <w:t>A,</w:t>
      </w:r>
      <w:r>
        <w:rPr>
          <w:spacing w:val="3"/>
        </w:rPr>
        <w:t> </w:t>
      </w:r>
      <w:r>
        <w:rPr/>
        <w:t>and</w:t>
      </w:r>
      <w:r>
        <w:rPr>
          <w:spacing w:val="3"/>
        </w:rPr>
        <w:t> </w:t>
      </w:r>
      <w:r>
        <w:rPr/>
        <w:t>A</w:t>
      </w:r>
      <w:r>
        <w:rPr>
          <w:spacing w:val="4"/>
        </w:rPr>
        <w:t> </w:t>
      </w:r>
      <w:r>
        <w:rPr/>
        <w:t>is</w:t>
      </w:r>
      <w:r>
        <w:rPr>
          <w:spacing w:val="3"/>
        </w:rPr>
        <w:t> </w:t>
      </w:r>
      <w:r>
        <w:rPr/>
        <w:t>not</w:t>
      </w:r>
      <w:r>
        <w:rPr>
          <w:spacing w:val="3"/>
        </w:rPr>
        <w:t> </w:t>
      </w:r>
      <w:r>
        <w:rPr/>
        <w:t>C’s</w:t>
      </w:r>
      <w:r>
        <w:rPr>
          <w:spacing w:val="3"/>
        </w:rPr>
        <w:t> </w:t>
      </w:r>
      <w:r>
        <w:rPr/>
        <w:t>agent,</w:t>
      </w:r>
      <w:r>
        <w:rPr>
          <w:spacing w:val="3"/>
        </w:rPr>
        <w:t> </w:t>
      </w:r>
      <w:r>
        <w:rPr>
          <w:color w:val="005DA1"/>
          <w:u w:val="single" w:color="005DA1"/>
          <w:vertAlign w:val="superscript"/>
        </w:rPr>
        <w:t>399</w:t>
      </w:r>
      <w:r>
        <w:rPr>
          <w:color w:val="005DA1"/>
          <w:spacing w:val="3"/>
          <w:vertAlign w:val="baseline"/>
        </w:rPr>
        <w:t> </w:t>
      </w:r>
      <w:r>
        <w:rPr>
          <w:vertAlign w:val="baseline"/>
        </w:rPr>
        <w:t>B</w:t>
      </w:r>
      <w:r>
        <w:rPr>
          <w:spacing w:val="3"/>
          <w:vertAlign w:val="baseline"/>
        </w:rPr>
        <w:t> </w:t>
      </w:r>
      <w:r>
        <w:rPr>
          <w:vertAlign w:val="baseline"/>
        </w:rPr>
        <w:t>will</w:t>
      </w:r>
      <w:r>
        <w:rPr>
          <w:spacing w:val="3"/>
          <w:vertAlign w:val="baseline"/>
        </w:rPr>
        <w:t> </w:t>
      </w:r>
      <w:r>
        <w:rPr>
          <w:vertAlign w:val="baseline"/>
        </w:rPr>
        <w:t>have</w:t>
      </w:r>
      <w:r>
        <w:rPr>
          <w:spacing w:val="4"/>
          <w:vertAlign w:val="baseline"/>
        </w:rPr>
        <w:t> </w:t>
      </w:r>
      <w:r>
        <w:rPr>
          <w:vertAlign w:val="baseline"/>
        </w:rPr>
        <w:t>no</w:t>
      </w:r>
      <w:r>
        <w:rPr>
          <w:spacing w:val="3"/>
          <w:vertAlign w:val="baseline"/>
        </w:rPr>
        <w:t> </w:t>
      </w:r>
      <w:r>
        <w:rPr>
          <w:vertAlign w:val="baseline"/>
        </w:rPr>
        <w:t>right</w:t>
      </w:r>
      <w:r>
        <w:rPr>
          <w:spacing w:val="3"/>
          <w:vertAlign w:val="baseline"/>
        </w:rPr>
        <w:t> </w:t>
      </w:r>
      <w:r>
        <w:rPr>
          <w:spacing w:val="-7"/>
          <w:vertAlign w:val="baseline"/>
        </w:rPr>
        <w:t>of</w:t>
      </w:r>
    </w:p>
    <w:p>
      <w:pPr>
        <w:pStyle w:val="BodyText"/>
        <w:spacing w:line="235" w:lineRule="auto" w:before="119"/>
        <w:ind w:left="164" w:right="167"/>
        <w:jc w:val="both"/>
      </w:pPr>
      <w:r>
        <w:rPr/>
        <w:t>action</w:t>
      </w:r>
      <w:r>
        <w:rPr>
          <w:spacing w:val="-3"/>
        </w:rPr>
        <w:t> </w:t>
      </w:r>
      <w:r>
        <w:rPr/>
        <w:t>against</w:t>
      </w:r>
      <w:r>
        <w:rPr>
          <w:spacing w:val="-3"/>
        </w:rPr>
        <w:t> </w:t>
      </w:r>
      <w:r>
        <w:rPr/>
        <w:t>A</w:t>
      </w:r>
      <w:r>
        <w:rPr>
          <w:spacing w:val="-3"/>
        </w:rPr>
        <w:t> </w:t>
      </w:r>
      <w:r>
        <w:rPr/>
        <w:t>under</w:t>
      </w:r>
      <w:r>
        <w:rPr>
          <w:spacing w:val="-3"/>
        </w:rPr>
        <w:t> </w:t>
      </w:r>
      <w:r>
        <w:rPr/>
        <w:t>the</w:t>
      </w:r>
      <w:r>
        <w:rPr>
          <w:spacing w:val="-3"/>
        </w:rPr>
        <w:t> </w:t>
      </w:r>
      <w:r>
        <w:rPr/>
        <w:t>subsection.</w:t>
      </w:r>
      <w:r>
        <w:rPr>
          <w:spacing w:val="-4"/>
        </w:rPr>
        <w:t> </w:t>
      </w:r>
      <w:r>
        <w:rPr>
          <w:color w:val="005DA1"/>
          <w:u w:val="single" w:color="005DA1"/>
          <w:vertAlign w:val="superscript"/>
        </w:rPr>
        <w:t>400</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color w:val="005DA1"/>
          <w:spacing w:val="1"/>
          <w:vertAlign w:val="baseline"/>
        </w:rPr>
        <w:t> </w:t>
      </w:r>
      <w:r>
        <w:rPr>
          <w:vertAlign w:val="baseline"/>
        </w:rPr>
        <w:t>He</w:t>
      </w:r>
      <w:r>
        <w:rPr>
          <w:spacing w:val="-3"/>
          <w:vertAlign w:val="baseline"/>
        </w:rPr>
        <w:t> </w:t>
      </w:r>
      <w:r>
        <w:rPr>
          <w:vertAlign w:val="baseline"/>
        </w:rPr>
        <w:t>may,</w:t>
      </w:r>
      <w:r>
        <w:rPr>
          <w:spacing w:val="-3"/>
          <w:vertAlign w:val="baseline"/>
        </w:rPr>
        <w:t> </w:t>
      </w:r>
      <w:r>
        <w:rPr>
          <w:vertAlign w:val="baseline"/>
        </w:rPr>
        <w:t>however,</w:t>
      </w:r>
      <w:r>
        <w:rPr>
          <w:spacing w:val="-3"/>
          <w:vertAlign w:val="baseline"/>
        </w:rPr>
        <w:t> </w:t>
      </w:r>
      <w:r>
        <w:rPr>
          <w:vertAlign w:val="baseline"/>
        </w:rPr>
        <w:t>have</w:t>
      </w:r>
      <w:r>
        <w:rPr>
          <w:spacing w:val="-3"/>
          <w:vertAlign w:val="baseline"/>
        </w:rPr>
        <w:t> </w:t>
      </w:r>
      <w:r>
        <w:rPr>
          <w:vertAlign w:val="baseline"/>
        </w:rPr>
        <w:t>a</w:t>
      </w:r>
      <w:r>
        <w:rPr>
          <w:spacing w:val="-3"/>
          <w:vertAlign w:val="baseline"/>
        </w:rPr>
        <w:t> </w:t>
      </w:r>
      <w:r>
        <w:rPr>
          <w:vertAlign w:val="baseline"/>
        </w:rPr>
        <w:t>remedy</w:t>
      </w:r>
      <w:r>
        <w:rPr>
          <w:spacing w:val="-3"/>
          <w:vertAlign w:val="baseline"/>
        </w:rPr>
        <w:t> </w:t>
      </w:r>
      <w:r>
        <w:rPr>
          <w:vertAlign w:val="baseline"/>
        </w:rPr>
        <w:t>in</w:t>
      </w:r>
      <w:r>
        <w:rPr>
          <w:spacing w:val="-3"/>
          <w:vertAlign w:val="baseline"/>
        </w:rPr>
        <w:t> </w:t>
      </w:r>
      <w:r>
        <w:rPr>
          <w:vertAlign w:val="baseline"/>
        </w:rPr>
        <w:t>damages</w:t>
      </w:r>
      <w:r>
        <w:rPr>
          <w:spacing w:val="-3"/>
          <w:vertAlign w:val="baseline"/>
        </w:rPr>
        <w:t> </w:t>
      </w:r>
      <w:r>
        <w:rPr>
          <w:vertAlign w:val="baseline"/>
        </w:rPr>
        <w:t>against</w:t>
      </w:r>
      <w:r>
        <w:rPr>
          <w:spacing w:val="-3"/>
          <w:vertAlign w:val="baseline"/>
        </w:rPr>
        <w:t> </w:t>
      </w:r>
      <w:r>
        <w:rPr>
          <w:vertAlign w:val="baseline"/>
        </w:rPr>
        <w:t>A on</w:t>
      </w:r>
      <w:r>
        <w:rPr>
          <w:spacing w:val="-2"/>
          <w:vertAlign w:val="baseline"/>
        </w:rPr>
        <w:t> </w:t>
      </w:r>
      <w:r>
        <w:rPr>
          <w:vertAlign w:val="baseline"/>
        </w:rPr>
        <w:t>some</w:t>
      </w:r>
      <w:r>
        <w:rPr>
          <w:spacing w:val="-2"/>
          <w:vertAlign w:val="baseline"/>
        </w:rPr>
        <w:t> </w:t>
      </w:r>
      <w:r>
        <w:rPr>
          <w:vertAlign w:val="baseline"/>
        </w:rPr>
        <w:t>other</w:t>
      </w:r>
      <w:r>
        <w:rPr>
          <w:spacing w:val="-2"/>
          <w:vertAlign w:val="baseline"/>
        </w:rPr>
        <w:t> </w:t>
      </w:r>
      <w:r>
        <w:rPr>
          <w:vertAlign w:val="baseline"/>
        </w:rPr>
        <w:t>ground.</w:t>
      </w:r>
      <w:r>
        <w:rPr>
          <w:spacing w:val="-2"/>
          <w:vertAlign w:val="baseline"/>
        </w:rPr>
        <w:t> </w:t>
      </w:r>
      <w:r>
        <w:rPr>
          <w:vertAlign w:val="baseline"/>
        </w:rPr>
        <w:t>There</w:t>
      </w:r>
      <w:r>
        <w:rPr>
          <w:spacing w:val="-2"/>
          <w:vertAlign w:val="baseline"/>
        </w:rPr>
        <w:t> </w:t>
      </w:r>
      <w:r>
        <w:rPr>
          <w:vertAlign w:val="baseline"/>
        </w:rPr>
        <w:t>is,</w:t>
      </w:r>
      <w:r>
        <w:rPr>
          <w:spacing w:val="-2"/>
          <w:vertAlign w:val="baseline"/>
        </w:rPr>
        <w:t> </w:t>
      </w:r>
      <w:r>
        <w:rPr>
          <w:vertAlign w:val="baseline"/>
        </w:rPr>
        <w:t>of</w:t>
      </w:r>
      <w:r>
        <w:rPr>
          <w:spacing w:val="-2"/>
          <w:vertAlign w:val="baseline"/>
        </w:rPr>
        <w:t> </w:t>
      </w:r>
      <w:r>
        <w:rPr>
          <w:vertAlign w:val="baseline"/>
        </w:rPr>
        <w:t>course,</w:t>
      </w:r>
      <w:r>
        <w:rPr>
          <w:spacing w:val="-2"/>
          <w:vertAlign w:val="baseline"/>
        </w:rPr>
        <w:t> </w:t>
      </w:r>
      <w:r>
        <w:rPr>
          <w:vertAlign w:val="baseline"/>
        </w:rPr>
        <w:t>no</w:t>
      </w:r>
      <w:r>
        <w:rPr>
          <w:spacing w:val="-2"/>
          <w:vertAlign w:val="baseline"/>
        </w:rPr>
        <w:t> </w:t>
      </w:r>
      <w:r>
        <w:rPr>
          <w:vertAlign w:val="baseline"/>
        </w:rPr>
        <w:t>doubt</w:t>
      </w:r>
      <w:r>
        <w:rPr>
          <w:spacing w:val="-2"/>
          <w:vertAlign w:val="baseline"/>
        </w:rPr>
        <w:t> </w:t>
      </w:r>
      <w:r>
        <w:rPr>
          <w:vertAlign w:val="baseline"/>
        </w:rPr>
        <w:t>that</w:t>
      </w:r>
      <w:r>
        <w:rPr>
          <w:spacing w:val="-2"/>
          <w:vertAlign w:val="baseline"/>
        </w:rPr>
        <w:t> </w:t>
      </w:r>
      <w:r>
        <w:rPr>
          <w:vertAlign w:val="baseline"/>
        </w:rPr>
        <w:t>A</w:t>
      </w:r>
      <w:r>
        <w:rPr>
          <w:spacing w:val="-2"/>
          <w:vertAlign w:val="baseline"/>
        </w:rPr>
        <w:t> </w:t>
      </w:r>
      <w:r>
        <w:rPr>
          <w:vertAlign w:val="baseline"/>
        </w:rPr>
        <w:t>would</w:t>
      </w:r>
      <w:r>
        <w:rPr>
          <w:spacing w:val="-2"/>
          <w:vertAlign w:val="baseline"/>
        </w:rPr>
        <w:t> </w:t>
      </w:r>
      <w:r>
        <w:rPr>
          <w:vertAlign w:val="baseline"/>
        </w:rPr>
        <w:t>be</w:t>
      </w:r>
      <w:r>
        <w:rPr>
          <w:spacing w:val="-2"/>
          <w:vertAlign w:val="baseline"/>
        </w:rPr>
        <w:t> </w:t>
      </w:r>
      <w:r>
        <w:rPr>
          <w:vertAlign w:val="baseline"/>
        </w:rPr>
        <w:t>liable</w:t>
      </w:r>
      <w:r>
        <w:rPr>
          <w:spacing w:val="-2"/>
          <w:vertAlign w:val="baseline"/>
        </w:rPr>
        <w:t> </w:t>
      </w:r>
      <w:r>
        <w:rPr>
          <w:vertAlign w:val="baseline"/>
        </w:rPr>
        <w:t>to</w:t>
      </w:r>
      <w:r>
        <w:rPr>
          <w:spacing w:val="-2"/>
          <w:vertAlign w:val="baseline"/>
        </w:rPr>
        <w:t> </w:t>
      </w:r>
      <w:r>
        <w:rPr>
          <w:vertAlign w:val="baseline"/>
        </w:rPr>
        <w:t>B</w:t>
      </w:r>
      <w:r>
        <w:rPr>
          <w:spacing w:val="-2"/>
          <w:vertAlign w:val="baseline"/>
        </w:rPr>
        <w:t> </w:t>
      </w:r>
      <w:r>
        <w:rPr>
          <w:vertAlign w:val="baseline"/>
        </w:rPr>
        <w:t>in</w:t>
      </w:r>
      <w:r>
        <w:rPr>
          <w:spacing w:val="-2"/>
          <w:vertAlign w:val="baseline"/>
        </w:rPr>
        <w:t> </w:t>
      </w:r>
      <w:r>
        <w:rPr>
          <w:vertAlign w:val="baseline"/>
        </w:rPr>
        <w:t>tort</w:t>
      </w:r>
      <w:r>
        <w:rPr>
          <w:spacing w:val="-2"/>
          <w:vertAlign w:val="baseline"/>
        </w:rPr>
        <w:t> </w:t>
      </w:r>
      <w:r>
        <w:rPr>
          <w:vertAlign w:val="baseline"/>
        </w:rPr>
        <w:t>for</w:t>
      </w:r>
      <w:r>
        <w:rPr>
          <w:spacing w:val="-2"/>
          <w:vertAlign w:val="baseline"/>
        </w:rPr>
        <w:t> </w:t>
      </w:r>
      <w:r>
        <w:rPr>
          <w:vertAlign w:val="baseline"/>
        </w:rPr>
        <w:t>fraud</w:t>
      </w:r>
      <w:r>
        <w:rPr>
          <w:spacing w:val="-2"/>
          <w:vertAlign w:val="baseline"/>
        </w:rPr>
        <w:t> </w:t>
      </w:r>
      <w:r>
        <w:rPr>
          <w:vertAlign w:val="baseline"/>
        </w:rPr>
        <w:t>if</w:t>
      </w:r>
      <w:r>
        <w:rPr>
          <w:spacing w:val="-2"/>
          <w:vertAlign w:val="baseline"/>
        </w:rPr>
        <w:t> </w:t>
      </w:r>
      <w:r>
        <w:rPr>
          <w:vertAlign w:val="baseline"/>
        </w:rPr>
        <w:t>fraud </w:t>
      </w:r>
      <w:bookmarkStart w:name="_bookmark705" w:id="707"/>
      <w:bookmarkEnd w:id="707"/>
      <w:r>
        <w:rPr>
          <w:vertAlign w:val="baseline"/>
        </w:rPr>
        <w:t>were</w:t>
      </w:r>
      <w:r>
        <w:rPr>
          <w:vertAlign w:val="baseline"/>
        </w:rPr>
        <w:t> proved, and in these circumstances, he might also be liable on the ground of a collateral</w:t>
      </w:r>
      <w:r>
        <w:rPr>
          <w:spacing w:val="40"/>
          <w:vertAlign w:val="baseline"/>
        </w:rPr>
        <w:t> </w:t>
      </w:r>
      <w:r>
        <w:rPr>
          <w:vertAlign w:val="baseline"/>
        </w:rPr>
        <w:t>contract or warranty (which requires neither fraud nor negligence to support it). </w:t>
      </w:r>
      <w:r>
        <w:rPr>
          <w:color w:val="005DA1"/>
          <w:u w:val="single" w:color="005DA1"/>
          <w:vertAlign w:val="superscript"/>
        </w:rPr>
        <w:t>401</w:t>
      </w:r>
      <w:r>
        <w:rPr>
          <w:color w:val="005DA1"/>
          <w:vertAlign w:val="baseline"/>
        </w:rPr>
        <w:t> </w:t>
      </w:r>
      <w:r>
        <w:rPr>
          <w:vertAlign w:val="baseline"/>
        </w:rPr>
        <w:t>Further, an action may lie for negligent misrepresentation quite apart from s.2(1) of the Misrepresentation Act.</w:t>
      </w:r>
    </w:p>
    <w:p>
      <w:pPr>
        <w:pStyle w:val="BodyText"/>
        <w:spacing w:after="0" w:line="235" w:lineRule="auto"/>
        <w:jc w:val="both"/>
        <w:sectPr>
          <w:pgSz w:w="11900" w:h="16840"/>
          <w:pgMar w:header="971" w:footer="0" w:top="1160" w:bottom="280" w:left="1275" w:right="1275"/>
        </w:sectPr>
      </w:pPr>
    </w:p>
    <w:p>
      <w:pPr>
        <w:pStyle w:val="BodyText"/>
        <w:spacing w:before="146"/>
        <w:rPr>
          <w:sz w:val="18"/>
        </w:rPr>
      </w:pPr>
    </w:p>
    <w:p>
      <w:pPr>
        <w:spacing w:before="0"/>
        <w:ind w:left="165" w:right="0" w:firstLine="0"/>
        <w:jc w:val="left"/>
        <w:rPr>
          <w:rFonts w:ascii="Arial"/>
          <w:b/>
          <w:sz w:val="18"/>
        </w:rPr>
      </w:pPr>
      <w:r>
        <w:rPr>
          <w:rFonts w:ascii="Arial"/>
          <w:b/>
          <w:sz w:val="18"/>
        </w:rPr>
        <w:t>Liability for negligence at common </w:t>
      </w:r>
      <w:r>
        <w:rPr>
          <w:rFonts w:ascii="Arial"/>
          <w:b/>
          <w:spacing w:val="-5"/>
          <w:sz w:val="18"/>
        </w:rPr>
        <w:t>law</w:t>
      </w:r>
    </w:p>
    <w:p>
      <w:pPr>
        <w:pStyle w:val="BodyText"/>
        <w:spacing w:before="41"/>
        <w:rPr>
          <w:rFonts w:ascii="Arial"/>
          <w:b/>
          <w:sz w:val="18"/>
        </w:rPr>
      </w:pPr>
    </w:p>
    <w:p>
      <w:pPr>
        <w:pStyle w:val="Heading2"/>
        <w:spacing w:before="1"/>
      </w:pPr>
      <w:r>
        <w:rPr/>
        <w:t>7-</w:t>
      </w:r>
      <w:r>
        <w:rPr>
          <w:spacing w:val="-5"/>
        </w:rPr>
        <w:t>086</w:t>
      </w:r>
    </w:p>
    <w:p>
      <w:pPr>
        <w:pStyle w:val="BodyText"/>
        <w:spacing w:before="21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706" w:id="708"/>
      <w:bookmarkEnd w:id="708"/>
      <w:r>
        <w:rPr>
          <w:rFonts w:ascii="Times New Roman"/>
          <w:spacing w:val="14"/>
        </w:rPr>
      </w:r>
      <w:r>
        <w:rPr/>
        <w:t>It would be beyond the scope of this work to examine this kind of liability in detail </w:t>
      </w:r>
      <w:r>
        <w:rPr>
          <w:color w:val="005DA1"/>
          <w:u w:val="single" w:color="005DA1"/>
          <w:vertAlign w:val="superscript"/>
        </w:rPr>
        <w:t>402</w:t>
      </w:r>
      <w:r>
        <w:rPr>
          <w:color w:val="005DA1"/>
          <w:spacing w:val="80"/>
          <w:w w:val="150"/>
          <w:vertAlign w:val="baseline"/>
        </w:rPr>
        <w:t> </w:t>
      </w:r>
      <w:r>
        <w:rPr>
          <w:color w:val="005DA1"/>
          <w:spacing w:val="25"/>
          <w:position w:val="-2"/>
          <w:vertAlign w:val="baseline"/>
        </w:rPr>
        <w:drawing>
          <wp:inline distT="0" distB="0" distL="0" distR="0">
            <wp:extent cx="107988" cy="107988"/>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color w:val="005DA1"/>
          <w:spacing w:val="-12"/>
          <w:vertAlign w:val="baseline"/>
        </w:rPr>
        <w:t> </w:t>
      </w:r>
      <w:r>
        <w:rPr>
          <w:vertAlign w:val="baseline"/>
        </w:rPr>
        <w:t>since it is </w:t>
      </w:r>
      <w:bookmarkStart w:name="_bookmark707" w:id="709"/>
      <w:bookmarkEnd w:id="709"/>
      <w:r>
        <w:rPr>
          <w:vertAlign w:val="baseline"/>
        </w:rPr>
        <w:t>not</w:t>
      </w:r>
      <w:r>
        <w:rPr>
          <w:vertAlign w:val="baseline"/>
        </w:rPr>
        <w:t> strictly contractual in its nature, and in any event, its importance has been greatly diminished </w:t>
      </w:r>
      <w:r>
        <w:rPr>
          <w:vertAlign w:val="baseline"/>
        </w:rPr>
        <w:t>by s.2(1) of the Misrepresentation Act which has been discussed in the preceding paragraphs. </w:t>
      </w:r>
      <w:r>
        <w:rPr>
          <w:color w:val="005DA1"/>
          <w:u w:val="single" w:color="005DA1"/>
          <w:vertAlign w:val="superscript"/>
        </w:rPr>
        <w:t>403</w:t>
      </w:r>
      <w:r>
        <w:rPr>
          <w:color w:val="005DA1"/>
          <w:vertAlign w:val="baseline"/>
        </w:rPr>
        <w:t> </w:t>
      </w:r>
      <w:r>
        <w:rPr>
          <w:vertAlign w:val="baseline"/>
        </w:rPr>
        <w:t>But some account of this kind of liability is not out of place even in a work on the law of contract, since cases may arise in which a person is induced to enter into a contract as a result of a misrepresentation</w:t>
      </w:r>
      <w:r>
        <w:rPr>
          <w:spacing w:val="-1"/>
          <w:vertAlign w:val="baseline"/>
        </w:rPr>
        <w:t> </w:t>
      </w:r>
      <w:r>
        <w:rPr>
          <w:vertAlign w:val="baseline"/>
        </w:rPr>
        <w:t>by</w:t>
      </w:r>
      <w:r>
        <w:rPr>
          <w:spacing w:val="-1"/>
          <w:vertAlign w:val="baseline"/>
        </w:rPr>
        <w:t> </w:t>
      </w:r>
      <w:r>
        <w:rPr>
          <w:vertAlign w:val="baseline"/>
        </w:rPr>
        <w:t>a</w:t>
      </w:r>
      <w:r>
        <w:rPr>
          <w:spacing w:val="-1"/>
          <w:vertAlign w:val="baseline"/>
        </w:rPr>
        <w:t> </w:t>
      </w:r>
      <w:r>
        <w:rPr>
          <w:vertAlign w:val="baseline"/>
        </w:rPr>
        <w:t>third</w:t>
      </w:r>
      <w:r>
        <w:rPr>
          <w:spacing w:val="-1"/>
          <w:vertAlign w:val="baseline"/>
        </w:rPr>
        <w:t> </w:t>
      </w:r>
      <w:r>
        <w:rPr>
          <w:vertAlign w:val="baseline"/>
        </w:rPr>
        <w:t>party,</w:t>
      </w:r>
      <w:r>
        <w:rPr>
          <w:spacing w:val="-1"/>
          <w:vertAlign w:val="baseline"/>
        </w:rPr>
        <w:t> </w:t>
      </w:r>
      <w:r>
        <w:rPr>
          <w:vertAlign w:val="baseline"/>
        </w:rPr>
        <w:t>and</w:t>
      </w:r>
      <w:r>
        <w:rPr>
          <w:spacing w:val="-1"/>
          <w:vertAlign w:val="baseline"/>
        </w:rPr>
        <w:t> </w:t>
      </w:r>
      <w:r>
        <w:rPr>
          <w:vertAlign w:val="baseline"/>
        </w:rPr>
        <w:t>in</w:t>
      </w:r>
      <w:r>
        <w:rPr>
          <w:spacing w:val="-1"/>
          <w:vertAlign w:val="baseline"/>
        </w:rPr>
        <w:t> </w:t>
      </w:r>
      <w:r>
        <w:rPr>
          <w:vertAlign w:val="baseline"/>
        </w:rPr>
        <w:t>these</w:t>
      </w:r>
      <w:r>
        <w:rPr>
          <w:spacing w:val="-1"/>
          <w:vertAlign w:val="baseline"/>
        </w:rPr>
        <w:t> </w:t>
      </w:r>
      <w:r>
        <w:rPr>
          <w:vertAlign w:val="baseline"/>
        </w:rPr>
        <w:t>circumstances</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obviously</w:t>
      </w:r>
      <w:r>
        <w:rPr>
          <w:spacing w:val="-1"/>
          <w:vertAlign w:val="baseline"/>
        </w:rPr>
        <w:t> </w:t>
      </w:r>
      <w:r>
        <w:rPr>
          <w:vertAlign w:val="baseline"/>
        </w:rPr>
        <w:t>desirable</w:t>
      </w:r>
      <w:r>
        <w:rPr>
          <w:spacing w:val="-1"/>
          <w:vertAlign w:val="baseline"/>
        </w:rPr>
        <w:t> </w:t>
      </w:r>
      <w:r>
        <w:rPr>
          <w:vertAlign w:val="baseline"/>
        </w:rPr>
        <w:t>to</w:t>
      </w:r>
      <w:r>
        <w:rPr>
          <w:spacing w:val="-1"/>
          <w:vertAlign w:val="baseline"/>
        </w:rPr>
        <w:t> </w:t>
      </w:r>
      <w:r>
        <w:rPr>
          <w:vertAlign w:val="baseline"/>
        </w:rPr>
        <w:t>consider</w:t>
      </w:r>
      <w:r>
        <w:rPr>
          <w:spacing w:val="-1"/>
          <w:vertAlign w:val="baseline"/>
        </w:rPr>
        <w:t> </w:t>
      </w:r>
      <w:r>
        <w:rPr>
          <w:vertAlign w:val="baseline"/>
        </w:rPr>
        <w:t>the remedies available to the representee as a whole. This kind of liability may sometimes also arise </w:t>
      </w:r>
      <w:bookmarkStart w:name="_bookmark708" w:id="710"/>
      <w:bookmarkEnd w:id="710"/>
      <w:r>
        <w:rPr>
          <w:vertAlign w:val="baseline"/>
        </w:rPr>
        <w:t>where</w:t>
      </w:r>
      <w:r>
        <w:rPr>
          <w:vertAlign w:val="baseline"/>
        </w:rPr>
        <w:t> parties are negotiating for a contract but no contract is ever concluded, and loss is caused to </w:t>
      </w:r>
      <w:bookmarkStart w:name="_bookmark709" w:id="711"/>
      <w:bookmarkEnd w:id="711"/>
      <w:r>
        <w:rPr>
          <w:vertAlign w:val="baseline"/>
        </w:rPr>
        <w:t>one</w:t>
      </w:r>
      <w:r>
        <w:rPr>
          <w:vertAlign w:val="baseline"/>
        </w:rPr>
        <w:t> party as a result of a negligent statement by the other. </w:t>
      </w:r>
      <w:r>
        <w:rPr>
          <w:color w:val="005DA1"/>
          <w:u w:val="single" w:color="005DA1"/>
          <w:vertAlign w:val="superscript"/>
        </w:rPr>
        <w:t>404</w:t>
      </w:r>
      <w:r>
        <w:rPr>
          <w:color w:val="005DA1"/>
          <w:vertAlign w:val="baseline"/>
        </w:rPr>
        <w:t> </w:t>
      </w:r>
      <w:r>
        <w:rPr>
          <w:vertAlign w:val="baseline"/>
        </w:rPr>
        <w:t>Since the decisions in </w:t>
      </w:r>
      <w:r>
        <w:rPr>
          <w:rFonts w:ascii="Arial"/>
          <w:i/>
          <w:vertAlign w:val="baseline"/>
        </w:rPr>
        <w:t>Nocton v Ashburton </w:t>
      </w:r>
      <w:r>
        <w:rPr>
          <w:color w:val="005DA1"/>
          <w:u w:val="single" w:color="005DA1"/>
          <w:vertAlign w:val="superscript"/>
        </w:rPr>
        <w:t>405</w:t>
      </w:r>
      <w:r>
        <w:rPr>
          <w:color w:val="005DA1"/>
          <w:vertAlign w:val="baseline"/>
        </w:rPr>
        <w:t> </w:t>
      </w:r>
      <w:r>
        <w:rPr>
          <w:vertAlign w:val="baseline"/>
        </w:rPr>
        <w:t>and </w:t>
      </w:r>
      <w:r>
        <w:rPr>
          <w:rFonts w:ascii="Arial"/>
          <w:i/>
          <w:vertAlign w:val="baseline"/>
        </w:rPr>
        <w:t>Hedley Byrne &amp; Co Ltd v Heller &amp; Partners Ltd </w:t>
      </w:r>
      <w:r>
        <w:rPr>
          <w:color w:val="005DA1"/>
          <w:u w:val="single" w:color="005DA1"/>
          <w:vertAlign w:val="superscript"/>
        </w:rPr>
        <w:t>406</w:t>
      </w:r>
      <w:r>
        <w:rPr>
          <w:color w:val="005DA1"/>
          <w:vertAlign w:val="baseline"/>
        </w:rPr>
        <w:t> </w:t>
      </w:r>
      <w:r>
        <w:rPr>
          <w:vertAlign w:val="baseline"/>
        </w:rPr>
        <w:t>it is clear that an action will lie in tort for negligent misrepresentation causing loss to the representee where the relationship of the parties is such as to give rise to a duty of care. The former case establishes that such a duty may arise (even apart from contract) out of a fiduciary relationship, such as that of solicitor and client, </w:t>
      </w:r>
      <w:bookmarkStart w:name="_bookmark710" w:id="712"/>
      <w:bookmarkEnd w:id="712"/>
      <w:r>
        <w:rPr>
          <w:vertAlign w:val="baseline"/>
        </w:rPr>
        <w:t>principal</w:t>
      </w:r>
      <w:r>
        <w:rPr>
          <w:vertAlign w:val="baseline"/>
        </w:rPr>
        <w:t> and agent, or trustee and beneficiary; the latter case establishes that such a duty may also arise in other circumstances. </w:t>
      </w:r>
      <w:r>
        <w:rPr>
          <w:color w:val="005DA1"/>
          <w:u w:val="single" w:color="005DA1"/>
          <w:vertAlign w:val="superscript"/>
        </w:rPr>
        <w:t>407</w:t>
      </w:r>
    </w:p>
    <w:p>
      <w:pPr>
        <w:pStyle w:val="BodyText"/>
      </w:pPr>
    </w:p>
    <w:p>
      <w:pPr>
        <w:pStyle w:val="BodyText"/>
        <w:spacing w:before="33"/>
      </w:pPr>
    </w:p>
    <w:p>
      <w:pPr>
        <w:spacing w:before="0"/>
        <w:ind w:left="165" w:right="0" w:firstLine="0"/>
        <w:jc w:val="both"/>
        <w:rPr>
          <w:rFonts w:ascii="Arial"/>
          <w:b/>
          <w:sz w:val="18"/>
        </w:rPr>
      </w:pPr>
      <w:r>
        <w:rPr>
          <w:rFonts w:ascii="Arial"/>
          <w:b/>
          <w:sz w:val="18"/>
        </w:rPr>
        <w:t>Nocton v </w:t>
      </w:r>
      <w:r>
        <w:rPr>
          <w:rFonts w:ascii="Arial"/>
          <w:b/>
          <w:spacing w:val="-2"/>
          <w:sz w:val="18"/>
        </w:rPr>
        <w:t>Ashburton</w:t>
      </w:r>
    </w:p>
    <w:p>
      <w:pPr>
        <w:pStyle w:val="BodyText"/>
        <w:spacing w:before="41"/>
        <w:rPr>
          <w:rFonts w:ascii="Arial"/>
          <w:b/>
          <w:sz w:val="18"/>
        </w:rPr>
      </w:pPr>
    </w:p>
    <w:p>
      <w:pPr>
        <w:pStyle w:val="Heading2"/>
        <w:spacing w:before="1"/>
      </w:pPr>
      <w:r>
        <w:rPr/>
        <w:t>7-</w:t>
      </w:r>
      <w:r>
        <w:rPr>
          <w:spacing w:val="-5"/>
        </w:rPr>
        <w:t>087</w:t>
      </w:r>
    </w:p>
    <w:p>
      <w:pPr>
        <w:pStyle w:val="BodyText"/>
        <w:spacing w:line="235" w:lineRule="auto" w:before="202"/>
        <w:ind w:left="165" w:right="167"/>
        <w:jc w:val="both"/>
      </w:pPr>
      <w:r>
        <w:rPr/>
        <w:t>In this case a mortgagee sued his solicitor, alleging that by improper advice the latter had induced</w:t>
      </w:r>
      <w:r>
        <w:rPr>
          <w:spacing w:val="80"/>
        </w:rPr>
        <w:t> </w:t>
      </w:r>
      <w:r>
        <w:rPr/>
        <w:t>him</w:t>
      </w:r>
      <w:r>
        <w:rPr>
          <w:spacing w:val="-1"/>
        </w:rPr>
        <w:t> </w:t>
      </w:r>
      <w:r>
        <w:rPr/>
        <w:t>to</w:t>
      </w:r>
      <w:r>
        <w:rPr>
          <w:spacing w:val="-1"/>
        </w:rPr>
        <w:t> </w:t>
      </w:r>
      <w:r>
        <w:rPr/>
        <w:t>release</w:t>
      </w:r>
      <w:r>
        <w:rPr>
          <w:spacing w:val="-1"/>
        </w:rPr>
        <w:t> </w:t>
      </w:r>
      <w:r>
        <w:rPr/>
        <w:t>part</w:t>
      </w:r>
      <w:r>
        <w:rPr>
          <w:spacing w:val="-1"/>
        </w:rPr>
        <w:t> </w:t>
      </w:r>
      <w:r>
        <w:rPr/>
        <w:t>of</w:t>
      </w:r>
      <w:r>
        <w:rPr>
          <w:spacing w:val="-1"/>
        </w:rPr>
        <w:t> </w:t>
      </w:r>
      <w:r>
        <w:rPr/>
        <w:t>his</w:t>
      </w:r>
      <w:r>
        <w:rPr>
          <w:spacing w:val="-1"/>
        </w:rPr>
        <w:t> </w:t>
      </w:r>
      <w:r>
        <w:rPr/>
        <w:t>security,</w:t>
      </w:r>
      <w:r>
        <w:rPr>
          <w:spacing w:val="-1"/>
        </w:rPr>
        <w:t> </w:t>
      </w:r>
      <w:r>
        <w:rPr/>
        <w:t>whereby</w:t>
      </w:r>
      <w:r>
        <w:rPr>
          <w:spacing w:val="-1"/>
        </w:rPr>
        <w:t> </w:t>
      </w:r>
      <w:r>
        <w:rPr/>
        <w:t>the</w:t>
      </w:r>
      <w:r>
        <w:rPr>
          <w:spacing w:val="-1"/>
        </w:rPr>
        <w:t> </w:t>
      </w:r>
      <w:r>
        <w:rPr/>
        <w:t>security</w:t>
      </w:r>
      <w:r>
        <w:rPr>
          <w:spacing w:val="-1"/>
        </w:rPr>
        <w:t> </w:t>
      </w:r>
      <w:r>
        <w:rPr/>
        <w:t>had</w:t>
      </w:r>
      <w:r>
        <w:rPr>
          <w:spacing w:val="-1"/>
        </w:rPr>
        <w:t> </w:t>
      </w:r>
      <w:r>
        <w:rPr/>
        <w:t>become</w:t>
      </w:r>
      <w:r>
        <w:rPr>
          <w:spacing w:val="-1"/>
        </w:rPr>
        <w:t> </w:t>
      </w:r>
      <w:r>
        <w:rPr/>
        <w:t>insufficient;</w:t>
      </w:r>
      <w:r>
        <w:rPr>
          <w:spacing w:val="-1"/>
        </w:rPr>
        <w:t> </w:t>
      </w:r>
      <w:r>
        <w:rPr/>
        <w:t>it</w:t>
      </w:r>
      <w:r>
        <w:rPr>
          <w:spacing w:val="-1"/>
        </w:rPr>
        <w:t> </w:t>
      </w:r>
      <w:r>
        <w:rPr/>
        <w:t>was</w:t>
      </w:r>
      <w:r>
        <w:rPr>
          <w:spacing w:val="-1"/>
        </w:rPr>
        <w:t> </w:t>
      </w:r>
      <w:r>
        <w:rPr/>
        <w:t>further</w:t>
      </w:r>
      <w:r>
        <w:rPr>
          <w:spacing w:val="-1"/>
        </w:rPr>
        <w:t> </w:t>
      </w:r>
      <w:r>
        <w:rPr/>
        <w:t>alleged </w:t>
      </w:r>
      <w:bookmarkStart w:name="_bookmark711" w:id="713"/>
      <w:bookmarkEnd w:id="713"/>
      <w:r>
        <w:rPr/>
        <w:t>that</w:t>
      </w:r>
      <w:r>
        <w:rPr/>
        <w:t> the solicitor knew that the security would be rendered insufficient, and that his advice was given</w:t>
      </w:r>
      <w:r>
        <w:rPr>
          <w:spacing w:val="40"/>
        </w:rPr>
        <w:t> </w:t>
      </w:r>
      <w:r>
        <w:rPr/>
        <w:t>in</w:t>
      </w:r>
      <w:r>
        <w:rPr>
          <w:spacing w:val="-2"/>
        </w:rPr>
        <w:t> </w:t>
      </w:r>
      <w:r>
        <w:rPr/>
        <w:t>order</w:t>
      </w:r>
      <w:r>
        <w:rPr>
          <w:spacing w:val="-2"/>
        </w:rPr>
        <w:t> </w:t>
      </w:r>
      <w:r>
        <w:rPr/>
        <w:t>that</w:t>
      </w:r>
      <w:r>
        <w:rPr>
          <w:spacing w:val="-2"/>
        </w:rPr>
        <w:t> </w:t>
      </w:r>
      <w:r>
        <w:rPr/>
        <w:t>he</w:t>
      </w:r>
      <w:r>
        <w:rPr>
          <w:spacing w:val="-2"/>
        </w:rPr>
        <w:t> </w:t>
      </w:r>
      <w:r>
        <w:rPr/>
        <w:t>himself</w:t>
      </w:r>
      <w:r>
        <w:rPr>
          <w:spacing w:val="-2"/>
        </w:rPr>
        <w:t> </w:t>
      </w:r>
      <w:r>
        <w:rPr/>
        <w:t>might</w:t>
      </w:r>
      <w:r>
        <w:rPr>
          <w:spacing w:val="-2"/>
        </w:rPr>
        <w:t> </w:t>
      </w:r>
      <w:r>
        <w:rPr/>
        <w:t>benefit.</w:t>
      </w:r>
      <w:r>
        <w:rPr>
          <w:spacing w:val="-2"/>
        </w:rPr>
        <w:t> </w:t>
      </w:r>
      <w:r>
        <w:rPr/>
        <w:t>The</w:t>
      </w:r>
      <w:r>
        <w:rPr>
          <w:spacing w:val="-2"/>
        </w:rPr>
        <w:t> </w:t>
      </w:r>
      <w:r>
        <w:rPr/>
        <w:t>House</w:t>
      </w:r>
      <w:r>
        <w:rPr>
          <w:spacing w:val="-2"/>
        </w:rPr>
        <w:t> </w:t>
      </w:r>
      <w:r>
        <w:rPr/>
        <w:t>of</w:t>
      </w:r>
      <w:r>
        <w:rPr>
          <w:spacing w:val="-2"/>
        </w:rPr>
        <w:t> </w:t>
      </w:r>
      <w:r>
        <w:rPr/>
        <w:t>Lords</w:t>
      </w:r>
      <w:r>
        <w:rPr>
          <w:spacing w:val="-2"/>
        </w:rPr>
        <w:t> </w:t>
      </w:r>
      <w:r>
        <w:rPr/>
        <w:t>held</w:t>
      </w:r>
      <w:r>
        <w:rPr>
          <w:spacing w:val="-2"/>
        </w:rPr>
        <w:t> </w:t>
      </w:r>
      <w:r>
        <w:rPr/>
        <w:t>that</w:t>
      </w:r>
      <w:r>
        <w:rPr>
          <w:spacing w:val="-2"/>
        </w:rPr>
        <w:t> </w:t>
      </w:r>
      <w:r>
        <w:rPr/>
        <w:t>fraud</w:t>
      </w:r>
      <w:r>
        <w:rPr>
          <w:spacing w:val="-2"/>
        </w:rPr>
        <w:t> </w:t>
      </w:r>
      <w:r>
        <w:rPr/>
        <w:t>in</w:t>
      </w:r>
      <w:r>
        <w:rPr>
          <w:spacing w:val="-2"/>
        </w:rPr>
        <w:t> </w:t>
      </w:r>
      <w:r>
        <w:rPr/>
        <w:t>the</w:t>
      </w:r>
      <w:r>
        <w:rPr>
          <w:spacing w:val="-2"/>
        </w:rPr>
        <w:t> </w:t>
      </w:r>
      <w:r>
        <w:rPr/>
        <w:t>sense</w:t>
      </w:r>
      <w:r>
        <w:rPr>
          <w:spacing w:val="-2"/>
        </w:rPr>
        <w:t> </w:t>
      </w:r>
      <w:r>
        <w:rPr/>
        <w:t>of</w:t>
      </w:r>
      <w:r>
        <w:rPr>
          <w:spacing w:val="-3"/>
        </w:rPr>
        <w:t> </w:t>
      </w:r>
      <w:r>
        <w:rPr>
          <w:rFonts w:ascii="Arial"/>
          <w:i/>
        </w:rPr>
        <w:t>Derry</w:t>
      </w:r>
      <w:r>
        <w:rPr>
          <w:rFonts w:ascii="Arial"/>
          <w:i/>
          <w:spacing w:val="-2"/>
        </w:rPr>
        <w:t> </w:t>
      </w:r>
      <w:r>
        <w:rPr>
          <w:rFonts w:ascii="Arial"/>
          <w:i/>
        </w:rPr>
        <w:t>v</w:t>
      </w:r>
      <w:r>
        <w:rPr>
          <w:rFonts w:ascii="Arial"/>
          <w:i/>
          <w:spacing w:val="-2"/>
        </w:rPr>
        <w:t> </w:t>
      </w:r>
      <w:r>
        <w:rPr>
          <w:rFonts w:ascii="Arial"/>
          <w:i/>
        </w:rPr>
        <w:t>Peek </w:t>
      </w:r>
      <w:r>
        <w:rPr>
          <w:color w:val="005DA1"/>
          <w:u w:val="single" w:color="005DA1"/>
          <w:vertAlign w:val="superscript"/>
        </w:rPr>
        <w:t>408</w:t>
      </w:r>
      <w:r>
        <w:rPr>
          <w:color w:val="005DA1"/>
          <w:spacing w:val="-1"/>
          <w:vertAlign w:val="baseline"/>
        </w:rPr>
        <w:t> </w:t>
      </w:r>
      <w:r>
        <w:rPr>
          <w:vertAlign w:val="baseline"/>
        </w:rPr>
        <w:t>had</w:t>
      </w:r>
      <w:r>
        <w:rPr>
          <w:spacing w:val="-1"/>
          <w:vertAlign w:val="baseline"/>
        </w:rPr>
        <w:t> </w:t>
      </w:r>
      <w:r>
        <w:rPr>
          <w:vertAlign w:val="baseline"/>
        </w:rPr>
        <w:t>not</w:t>
      </w:r>
      <w:r>
        <w:rPr>
          <w:spacing w:val="-1"/>
          <w:vertAlign w:val="baseline"/>
        </w:rPr>
        <w:t> </w:t>
      </w:r>
      <w:r>
        <w:rPr>
          <w:vertAlign w:val="baseline"/>
        </w:rPr>
        <w:t>been</w:t>
      </w:r>
      <w:r>
        <w:rPr>
          <w:spacing w:val="-1"/>
          <w:vertAlign w:val="baseline"/>
        </w:rPr>
        <w:t> </w:t>
      </w:r>
      <w:r>
        <w:rPr>
          <w:vertAlign w:val="baseline"/>
        </w:rPr>
        <w:t>proved,</w:t>
      </w:r>
      <w:r>
        <w:rPr>
          <w:spacing w:val="-1"/>
          <w:vertAlign w:val="baseline"/>
        </w:rPr>
        <w:t> </w:t>
      </w:r>
      <w:r>
        <w:rPr>
          <w:vertAlign w:val="baseline"/>
        </w:rPr>
        <w:t>but</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mortgagee</w:t>
      </w:r>
      <w:r>
        <w:rPr>
          <w:spacing w:val="-1"/>
          <w:vertAlign w:val="baseline"/>
        </w:rPr>
        <w:t> </w:t>
      </w:r>
      <w:r>
        <w:rPr>
          <w:vertAlign w:val="baseline"/>
        </w:rPr>
        <w:t>was</w:t>
      </w:r>
      <w:r>
        <w:rPr>
          <w:spacing w:val="-1"/>
          <w:vertAlign w:val="baseline"/>
        </w:rPr>
        <w:t> </w:t>
      </w:r>
      <w:r>
        <w:rPr>
          <w:vertAlign w:val="baseline"/>
        </w:rPr>
        <w:t>entitled</w:t>
      </w:r>
      <w:r>
        <w:rPr>
          <w:spacing w:val="-1"/>
          <w:vertAlign w:val="baseline"/>
        </w:rPr>
        <w:t> </w:t>
      </w:r>
      <w:r>
        <w:rPr>
          <w:vertAlign w:val="baseline"/>
        </w:rPr>
        <w:t>to</w:t>
      </w:r>
      <w:r>
        <w:rPr>
          <w:spacing w:val="-1"/>
          <w:vertAlign w:val="baseline"/>
        </w:rPr>
        <w:t> </w:t>
      </w:r>
      <w:r>
        <w:rPr>
          <w:vertAlign w:val="baseline"/>
        </w:rPr>
        <w:t>relief</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breach</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duty</w:t>
      </w:r>
      <w:r>
        <w:rPr>
          <w:spacing w:val="-1"/>
          <w:vertAlign w:val="baseline"/>
        </w:rPr>
        <w:t> </w:t>
      </w:r>
      <w:r>
        <w:rPr>
          <w:vertAlign w:val="baseline"/>
        </w:rPr>
        <w:t>imposed on the solicitor by the relationship in which he stood to his client.</w:t>
      </w:r>
    </w:p>
    <w:p>
      <w:pPr>
        <w:pStyle w:val="BodyText"/>
      </w:pPr>
    </w:p>
    <w:p>
      <w:pPr>
        <w:pStyle w:val="BodyText"/>
        <w:spacing w:before="36"/>
      </w:pPr>
    </w:p>
    <w:p>
      <w:pPr>
        <w:spacing w:before="1"/>
        <w:ind w:left="165" w:right="0" w:firstLine="0"/>
        <w:jc w:val="left"/>
        <w:rPr>
          <w:rFonts w:ascii="Arial"/>
          <w:b/>
          <w:sz w:val="18"/>
        </w:rPr>
      </w:pPr>
      <w:r>
        <w:rPr>
          <w:rFonts w:ascii="Arial"/>
          <w:b/>
          <w:sz w:val="18"/>
        </w:rPr>
        <w:t>What is a fiduciary </w:t>
      </w:r>
      <w:r>
        <w:rPr>
          <w:rFonts w:ascii="Arial"/>
          <w:b/>
          <w:spacing w:val="-2"/>
          <w:sz w:val="18"/>
        </w:rPr>
        <w:t>relationship</w:t>
      </w:r>
    </w:p>
    <w:p>
      <w:pPr>
        <w:pStyle w:val="BodyText"/>
        <w:spacing w:before="41"/>
        <w:rPr>
          <w:rFonts w:ascii="Arial"/>
          <w:b/>
          <w:sz w:val="18"/>
        </w:rPr>
      </w:pPr>
    </w:p>
    <w:p>
      <w:pPr>
        <w:pStyle w:val="Heading2"/>
      </w:pPr>
      <w:r>
        <w:rPr/>
        <w:t>7-</w:t>
      </w:r>
      <w:r>
        <w:rPr>
          <w:spacing w:val="-5"/>
        </w:rPr>
        <w:t>088</w:t>
      </w:r>
    </w:p>
    <w:p>
      <w:pPr>
        <w:pStyle w:val="BodyText"/>
        <w:spacing w:line="235" w:lineRule="auto" w:before="202"/>
        <w:ind w:left="165" w:right="167"/>
        <w:jc w:val="both"/>
      </w:pPr>
      <w:r>
        <w:rPr/>
        <w:t>The fiduciary or confidential relationship necessary to bring this doctrine into operation extends to certain obvious ties, such as those between trustee and cestui que trust, solicitor and client, and parent and child. But the courts have not fettered their jurisdiction by defining its limits, and are ready </w:t>
      </w:r>
      <w:bookmarkStart w:name="_bookmark712" w:id="714"/>
      <w:bookmarkEnd w:id="714"/>
      <w:r>
        <w:rPr/>
        <w:t>to</w:t>
      </w:r>
      <w:r>
        <w:rPr/>
        <w:t> interfere in order to protect the person who is under the influence of another. The principle was stated in </w:t>
      </w:r>
      <w:r>
        <w:rPr>
          <w:rFonts w:ascii="Arial"/>
          <w:i/>
        </w:rPr>
        <w:t>Tate v Williamson </w:t>
      </w:r>
      <w:r>
        <w:rPr>
          <w:color w:val="005DA1"/>
          <w:u w:val="single" w:color="005DA1"/>
          <w:vertAlign w:val="superscript"/>
        </w:rPr>
        <w:t>409</w:t>
      </w:r>
      <w:r>
        <w:rPr>
          <w:vertAlign w:val="baseline"/>
        </w:rPr>
        <w:t>:</w:t>
      </w:r>
    </w:p>
    <w:p>
      <w:pPr>
        <w:pStyle w:val="BodyText"/>
      </w:pPr>
    </w:p>
    <w:p>
      <w:pPr>
        <w:pStyle w:val="BodyText"/>
        <w:spacing w:before="125"/>
      </w:pPr>
    </w:p>
    <w:p>
      <w:pPr>
        <w:pStyle w:val="BodyText"/>
        <w:spacing w:line="235" w:lineRule="auto"/>
        <w:ind w:left="1245" w:right="167"/>
        <w:jc w:val="both"/>
      </w:pPr>
      <w:r>
        <w:rPr/>
        <w:t>“Wherever two persons stand in such a relation that, while it continues, confidence </w:t>
      </w:r>
      <w:r>
        <w:rPr/>
        <w:t>is necessarily reposed by one, and the influence which naturally grows out of that confidence is possessed by the other, and this confidence is abused, or the influence is exerted to obtain an advantage at the expense of the confiding party, the person so </w:t>
      </w:r>
      <w:bookmarkStart w:name="_bookmark713" w:id="715"/>
      <w:bookmarkEnd w:id="715"/>
      <w:r>
        <w:rPr/>
        <w:t>availing</w:t>
      </w:r>
      <w:r>
        <w:rPr/>
        <w:t> himself of his position will not be permitted to retain the advantage, although the transaction</w:t>
      </w:r>
      <w:r>
        <w:rPr>
          <w:spacing w:val="14"/>
        </w:rPr>
        <w:t> </w:t>
      </w:r>
      <w:r>
        <w:rPr/>
        <w:t>could</w:t>
      </w:r>
      <w:r>
        <w:rPr>
          <w:spacing w:val="14"/>
        </w:rPr>
        <w:t> </w:t>
      </w:r>
      <w:r>
        <w:rPr/>
        <w:t>not</w:t>
      </w:r>
      <w:r>
        <w:rPr>
          <w:spacing w:val="14"/>
        </w:rPr>
        <w:t> </w:t>
      </w:r>
      <w:r>
        <w:rPr/>
        <w:t>have</w:t>
      </w:r>
      <w:r>
        <w:rPr>
          <w:spacing w:val="14"/>
        </w:rPr>
        <w:t> </w:t>
      </w:r>
      <w:r>
        <w:rPr/>
        <w:t>been</w:t>
      </w:r>
      <w:r>
        <w:rPr>
          <w:spacing w:val="14"/>
        </w:rPr>
        <w:t> </w:t>
      </w:r>
      <w:r>
        <w:rPr/>
        <w:t>impeached</w:t>
      </w:r>
      <w:r>
        <w:rPr>
          <w:spacing w:val="14"/>
        </w:rPr>
        <w:t> </w:t>
      </w:r>
      <w:r>
        <w:rPr/>
        <w:t>if</w:t>
      </w:r>
      <w:r>
        <w:rPr>
          <w:spacing w:val="14"/>
        </w:rPr>
        <w:t> </w:t>
      </w:r>
      <w:r>
        <w:rPr/>
        <w:t>no</w:t>
      </w:r>
      <w:r>
        <w:rPr>
          <w:spacing w:val="14"/>
        </w:rPr>
        <w:t> </w:t>
      </w:r>
      <w:r>
        <w:rPr/>
        <w:t>such</w:t>
      </w:r>
      <w:r>
        <w:rPr>
          <w:spacing w:val="14"/>
        </w:rPr>
        <w:t> </w:t>
      </w:r>
      <w:r>
        <w:rPr/>
        <w:t>confidential</w:t>
      </w:r>
      <w:r>
        <w:rPr>
          <w:spacing w:val="14"/>
        </w:rPr>
        <w:t> </w:t>
      </w:r>
      <w:r>
        <w:rPr/>
        <w:t>relation</w:t>
      </w:r>
      <w:r>
        <w:rPr>
          <w:spacing w:val="14"/>
        </w:rPr>
        <w:t> </w:t>
      </w:r>
      <w:r>
        <w:rPr/>
        <w:t>had</w:t>
      </w:r>
      <w:r>
        <w:rPr>
          <w:spacing w:val="14"/>
        </w:rPr>
        <w:t> </w:t>
      </w:r>
      <w:r>
        <w:rPr>
          <w:spacing w:val="-2"/>
        </w:rPr>
        <w:t>existed.”</w:t>
      </w:r>
    </w:p>
    <w:p>
      <w:pPr>
        <w:spacing w:line="111" w:lineRule="exact" w:before="0"/>
        <w:ind w:left="1245" w:right="0" w:firstLine="0"/>
        <w:jc w:val="left"/>
        <w:rPr>
          <w:sz w:val="12"/>
        </w:rPr>
      </w:pPr>
      <w:r>
        <w:rPr>
          <w:color w:val="005DA1"/>
          <w:spacing w:val="-5"/>
          <w:sz w:val="12"/>
          <w:u w:val="single" w:color="005DA1"/>
        </w:rPr>
        <w:t>410</w:t>
      </w:r>
    </w:p>
    <w:p>
      <w:pPr>
        <w:pStyle w:val="BodyText"/>
        <w:rPr>
          <w:sz w:val="12"/>
        </w:rPr>
      </w:pPr>
    </w:p>
    <w:p>
      <w:pPr>
        <w:pStyle w:val="BodyText"/>
        <w:rPr>
          <w:sz w:val="12"/>
        </w:rPr>
      </w:pPr>
    </w:p>
    <w:p>
      <w:pPr>
        <w:pStyle w:val="BodyText"/>
        <w:spacing w:before="44"/>
        <w:rPr>
          <w:sz w:val="12"/>
        </w:rPr>
      </w:pPr>
    </w:p>
    <w:p>
      <w:pPr>
        <w:pStyle w:val="BodyText"/>
        <w:spacing w:line="235" w:lineRule="auto" w:before="1"/>
        <w:ind w:left="165" w:right="167"/>
        <w:jc w:val="both"/>
      </w:pPr>
      <w:bookmarkStart w:name="_bookmark714" w:id="716"/>
      <w:bookmarkEnd w:id="716"/>
      <w:r>
        <w:rPr/>
      </w:r>
      <w:r>
        <w:rPr/>
        <w:t>Cases relating to fiduciary relationships are generally dealt with as part of the doctrine of “undue influence”, </w:t>
      </w:r>
      <w:r>
        <w:rPr>
          <w:color w:val="005DA1"/>
          <w:u w:val="single" w:color="005DA1"/>
          <w:vertAlign w:val="superscript"/>
        </w:rPr>
        <w:t>411</w:t>
      </w:r>
      <w:r>
        <w:rPr>
          <w:color w:val="005DA1"/>
          <w:vertAlign w:val="baseline"/>
        </w:rPr>
        <w:t> </w:t>
      </w:r>
      <w:r>
        <w:rPr>
          <w:vertAlign w:val="baseline"/>
        </w:rPr>
        <w:t>but it is not wholly clear whether every relationship which would justify rescission of </w:t>
      </w:r>
      <w:r>
        <w:rPr>
          <w:vertAlign w:val="baseline"/>
        </w:rPr>
        <w:t>a </w:t>
      </w:r>
      <w:bookmarkStart w:name="_bookmark715" w:id="717"/>
      <w:bookmarkEnd w:id="717"/>
      <w:r>
        <w:rPr>
          <w:vertAlign w:val="baseline"/>
        </w:rPr>
        <w:t>contract</w:t>
      </w:r>
      <w:r>
        <w:rPr>
          <w:vertAlign w:val="baseline"/>
        </w:rPr>
        <w:t> for undue influence would also give rise to a duty of care which would support an action for damages for negligence. </w:t>
      </w:r>
      <w:r>
        <w:rPr>
          <w:color w:val="005DA1"/>
          <w:u w:val="single" w:color="005DA1"/>
          <w:vertAlign w:val="superscript"/>
        </w:rPr>
        <w:t>412</w:t>
      </w:r>
    </w:p>
    <w:p>
      <w:pPr>
        <w:pStyle w:val="BodyText"/>
        <w:spacing w:after="0" w:line="235" w:lineRule="auto"/>
        <w:jc w:val="both"/>
        <w:sectPr>
          <w:pgSz w:w="11900" w:h="16840"/>
          <w:pgMar w:header="971" w:footer="0" w:top="1160" w:bottom="280" w:left="1275" w:right="1275"/>
        </w:sectPr>
      </w:pPr>
    </w:p>
    <w:p>
      <w:pPr>
        <w:pStyle w:val="BodyText"/>
        <w:spacing w:before="146"/>
        <w:rPr>
          <w:sz w:val="18"/>
        </w:rPr>
      </w:pPr>
    </w:p>
    <w:p>
      <w:pPr>
        <w:spacing w:before="0"/>
        <w:ind w:left="165" w:right="0" w:firstLine="0"/>
        <w:jc w:val="left"/>
        <w:rPr>
          <w:rFonts w:ascii="Arial"/>
          <w:b/>
          <w:sz w:val="18"/>
        </w:rPr>
      </w:pPr>
      <w:r>
        <w:rPr>
          <w:rFonts w:ascii="Arial"/>
          <w:b/>
          <w:sz w:val="18"/>
        </w:rPr>
        <w:t>Hedley Byrne &amp; Co Ltd v Heller &amp; Partners </w:t>
      </w:r>
      <w:r>
        <w:rPr>
          <w:rFonts w:ascii="Arial"/>
          <w:b/>
          <w:spacing w:val="-5"/>
          <w:sz w:val="18"/>
        </w:rPr>
        <w:t>Ltd</w:t>
      </w:r>
    </w:p>
    <w:p>
      <w:pPr>
        <w:pStyle w:val="BodyText"/>
        <w:spacing w:before="41"/>
        <w:rPr>
          <w:rFonts w:ascii="Arial"/>
          <w:b/>
          <w:sz w:val="18"/>
        </w:rPr>
      </w:pPr>
    </w:p>
    <w:p>
      <w:pPr>
        <w:pStyle w:val="Heading2"/>
        <w:spacing w:before="1"/>
      </w:pPr>
      <w:r>
        <w:rPr/>
        <w:t>7-</w:t>
      </w:r>
      <w:r>
        <w:rPr>
          <w:spacing w:val="-5"/>
        </w:rPr>
        <w:t>089</w:t>
      </w:r>
    </w:p>
    <w:p>
      <w:pPr>
        <w:pStyle w:val="BodyText"/>
        <w:spacing w:before="21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20"/>
        </w:rPr>
        <w:t> </w:t>
      </w:r>
      <w:bookmarkStart w:name="_bookmark716" w:id="718"/>
      <w:bookmarkEnd w:id="718"/>
      <w:r>
        <w:rPr>
          <w:rFonts w:ascii="Times New Roman" w:hAnsi="Times New Roman"/>
          <w:spacing w:val="22"/>
        </w:rPr>
      </w:r>
      <w:r>
        <w:rPr/>
        <w:t>Until the decision of the House of Lords in the </w:t>
      </w:r>
      <w:r>
        <w:rPr>
          <w:rFonts w:ascii="Arial" w:hAnsi="Arial"/>
          <w:i/>
        </w:rPr>
        <w:t>Hedley Byrne </w:t>
      </w:r>
      <w:r>
        <w:rPr>
          <w:color w:val="005DA1"/>
          <w:u w:val="single" w:color="005DA1"/>
          <w:vertAlign w:val="superscript"/>
        </w:rPr>
        <w:t>413</w:t>
      </w:r>
      <w:r>
        <w:rPr>
          <w:color w:val="005DA1"/>
          <w:spacing w:val="80"/>
          <w:w w:val="150"/>
          <w:vertAlign w:val="baseline"/>
        </w:rPr>
        <w:t> </w:t>
      </w:r>
      <w:r>
        <w:rPr>
          <w:color w:val="005DA1"/>
          <w:spacing w:val="-6"/>
          <w:position w:val="-2"/>
          <w:vertAlign w:val="baseline"/>
        </w:rPr>
        <w:drawing>
          <wp:inline distT="0" distB="0" distL="0" distR="0">
            <wp:extent cx="107988" cy="107988"/>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spacing w:val="25"/>
          <w:vertAlign w:val="baseline"/>
        </w:rPr>
        <w:t> </w:t>
      </w:r>
      <w:r>
        <w:rPr>
          <w:vertAlign w:val="baseline"/>
        </w:rPr>
        <w:t>case in 1964, it was thought that a duty to take care in the making of statements could only arise in the case of fiduciary (or, of course, contractual) relationships, but that decision has shown that the law is very much wider than this. Although the House made it clear that misrepresentations made in the course of a mere </w:t>
      </w:r>
      <w:r>
        <w:rPr>
          <w:vertAlign w:val="baseline"/>
        </w:rPr>
        <w:t>social relationship would not ground liability in tort, they also made it clear that many “special relationships” would suffice. In particular, it is clear that professional relationships, even where there is no contract </w:t>
      </w:r>
      <w:bookmarkStart w:name="_bookmark717" w:id="719"/>
      <w:bookmarkEnd w:id="719"/>
      <w:r>
        <w:rPr>
          <w:vertAlign w:val="baseline"/>
        </w:rPr>
        <w:t>between</w:t>
      </w:r>
      <w:r>
        <w:rPr>
          <w:vertAlign w:val="baseline"/>
        </w:rPr>
        <w:t> the parties, will often give rise to a duty of care if it can be said that the representor knew or ought reasonably to have known that the representee was likely to act on the representation. </w:t>
      </w:r>
      <w:r>
        <w:rPr>
          <w:color w:val="005DA1"/>
          <w:u w:val="single" w:color="005DA1"/>
          <w:vertAlign w:val="superscript"/>
        </w:rPr>
        <w:t>414</w:t>
      </w:r>
      <w:r>
        <w:rPr>
          <w:color w:val="005DA1"/>
          <w:vertAlign w:val="baseline"/>
        </w:rPr>
        <w:t> </w:t>
      </w:r>
      <w:r>
        <w:rPr>
          <w:vertAlign w:val="baseline"/>
        </w:rPr>
        <w:t>So, for example, if a company’s auditor gives negligent advice to a person who invests money in the company on the strength of the advice, and it can be shown that the auditor ought to have realised </w:t>
      </w:r>
      <w:bookmarkStart w:name="_bookmark718" w:id="720"/>
      <w:bookmarkEnd w:id="720"/>
      <w:r>
        <w:rPr>
          <w:vertAlign w:val="baseline"/>
        </w:rPr>
        <w:t>that</w:t>
      </w:r>
      <w:r>
        <w:rPr>
          <w:vertAlign w:val="baseline"/>
        </w:rPr>
        <w:t> the representee would act on the advice, an action for negligent misrepresentation will lie against </w:t>
      </w:r>
      <w:bookmarkStart w:name="_bookmark719" w:id="721"/>
      <w:bookmarkEnd w:id="721"/>
      <w:r>
        <w:rPr>
          <w:vertAlign w:val="baseline"/>
        </w:rPr>
        <w:t>the</w:t>
      </w:r>
      <w:r>
        <w:rPr>
          <w:vertAlign w:val="baseline"/>
        </w:rPr>
        <w:t> auditor. </w:t>
      </w:r>
      <w:r>
        <w:rPr>
          <w:color w:val="005DA1"/>
          <w:u w:val="single" w:color="005DA1"/>
          <w:vertAlign w:val="superscript"/>
        </w:rPr>
        <w:t>415</w:t>
      </w:r>
      <w:r>
        <w:rPr>
          <w:color w:val="005DA1"/>
          <w:vertAlign w:val="baseline"/>
        </w:rPr>
        <w:t> </w:t>
      </w:r>
      <w:r>
        <w:rPr>
          <w:vertAlign w:val="baseline"/>
        </w:rPr>
        <w:t>Again advice given “in a business connection” about the creditworthiness of a third </w:t>
      </w:r>
      <w:bookmarkStart w:name="_bookmark720" w:id="722"/>
      <w:bookmarkEnd w:id="722"/>
      <w:r>
        <w:rPr>
          <w:vertAlign w:val="baseline"/>
        </w:rPr>
        <w:t>party</w:t>
      </w:r>
      <w:r>
        <w:rPr>
          <w:spacing w:val="12"/>
          <w:vertAlign w:val="baseline"/>
        </w:rPr>
        <w:t> </w:t>
      </w:r>
      <w:r>
        <w:rPr>
          <w:vertAlign w:val="baseline"/>
        </w:rPr>
        <w:t>may</w:t>
      </w:r>
      <w:r>
        <w:rPr>
          <w:spacing w:val="12"/>
          <w:vertAlign w:val="baseline"/>
        </w:rPr>
        <w:t> </w:t>
      </w:r>
      <w:r>
        <w:rPr>
          <w:vertAlign w:val="baseline"/>
        </w:rPr>
        <w:t>give</w:t>
      </w:r>
      <w:r>
        <w:rPr>
          <w:spacing w:val="12"/>
          <w:vertAlign w:val="baseline"/>
        </w:rPr>
        <w:t> </w:t>
      </w:r>
      <w:r>
        <w:rPr>
          <w:vertAlign w:val="baseline"/>
        </w:rPr>
        <w:t>rise</w:t>
      </w:r>
      <w:r>
        <w:rPr>
          <w:spacing w:val="12"/>
          <w:vertAlign w:val="baseline"/>
        </w:rPr>
        <w:t> </w:t>
      </w:r>
      <w:r>
        <w:rPr>
          <w:vertAlign w:val="baseline"/>
        </w:rPr>
        <w:t>to</w:t>
      </w:r>
      <w:r>
        <w:rPr>
          <w:spacing w:val="12"/>
          <w:vertAlign w:val="baseline"/>
        </w:rPr>
        <w:t> </w:t>
      </w:r>
      <w:r>
        <w:rPr>
          <w:vertAlign w:val="baseline"/>
        </w:rPr>
        <w:t>a</w:t>
      </w:r>
      <w:r>
        <w:rPr>
          <w:spacing w:val="12"/>
          <w:vertAlign w:val="baseline"/>
        </w:rPr>
        <w:t> </w:t>
      </w:r>
      <w:r>
        <w:rPr>
          <w:vertAlign w:val="baseline"/>
        </w:rPr>
        <w:t>duty</w:t>
      </w:r>
      <w:r>
        <w:rPr>
          <w:spacing w:val="12"/>
          <w:vertAlign w:val="baseline"/>
        </w:rPr>
        <w:t> </w:t>
      </w:r>
      <w:r>
        <w:rPr>
          <w:vertAlign w:val="baseline"/>
        </w:rPr>
        <w:t>of</w:t>
      </w:r>
      <w:r>
        <w:rPr>
          <w:spacing w:val="12"/>
          <w:vertAlign w:val="baseline"/>
        </w:rPr>
        <w:t> </w:t>
      </w:r>
      <w:r>
        <w:rPr>
          <w:vertAlign w:val="baseline"/>
        </w:rPr>
        <w:t>care</w:t>
      </w:r>
      <w:r>
        <w:rPr>
          <w:spacing w:val="12"/>
          <w:vertAlign w:val="baseline"/>
        </w:rPr>
        <w:t> </w:t>
      </w:r>
      <w:r>
        <w:rPr>
          <w:vertAlign w:val="baseline"/>
        </w:rPr>
        <w:t>even</w:t>
      </w:r>
      <w:r>
        <w:rPr>
          <w:spacing w:val="12"/>
          <w:vertAlign w:val="baseline"/>
        </w:rPr>
        <w:t> </w:t>
      </w:r>
      <w:r>
        <w:rPr>
          <w:vertAlign w:val="baseline"/>
        </w:rPr>
        <w:t>where</w:t>
      </w:r>
      <w:r>
        <w:rPr>
          <w:spacing w:val="12"/>
          <w:vertAlign w:val="baseline"/>
        </w:rPr>
        <w:t> </w:t>
      </w:r>
      <w:r>
        <w:rPr>
          <w:vertAlign w:val="baseline"/>
        </w:rPr>
        <w:t>the</w:t>
      </w:r>
      <w:r>
        <w:rPr>
          <w:spacing w:val="12"/>
          <w:vertAlign w:val="baseline"/>
        </w:rPr>
        <w:t> </w:t>
      </w:r>
      <w:r>
        <w:rPr>
          <w:vertAlign w:val="baseline"/>
        </w:rPr>
        <w:t>adviser</w:t>
      </w:r>
      <w:r>
        <w:rPr>
          <w:spacing w:val="12"/>
          <w:vertAlign w:val="baseline"/>
        </w:rPr>
        <w:t> </w:t>
      </w:r>
      <w:r>
        <w:rPr>
          <w:vertAlign w:val="baseline"/>
        </w:rPr>
        <w:t>is</w:t>
      </w:r>
      <w:r>
        <w:rPr>
          <w:spacing w:val="12"/>
          <w:vertAlign w:val="baseline"/>
        </w:rPr>
        <w:t> </w:t>
      </w:r>
      <w:r>
        <w:rPr>
          <w:vertAlign w:val="baseline"/>
        </w:rPr>
        <w:t>not</w:t>
      </w:r>
      <w:r>
        <w:rPr>
          <w:spacing w:val="12"/>
          <w:vertAlign w:val="baseline"/>
        </w:rPr>
        <w:t> </w:t>
      </w:r>
      <w:r>
        <w:rPr>
          <w:vertAlign w:val="baseline"/>
        </w:rPr>
        <w:t>acting</w:t>
      </w:r>
      <w:r>
        <w:rPr>
          <w:spacing w:val="12"/>
          <w:vertAlign w:val="baseline"/>
        </w:rPr>
        <w:t> </w:t>
      </w:r>
      <w:r>
        <w:rPr>
          <w:vertAlign w:val="baseline"/>
        </w:rPr>
        <w:t>in</w:t>
      </w:r>
      <w:r>
        <w:rPr>
          <w:spacing w:val="12"/>
          <w:vertAlign w:val="baseline"/>
        </w:rPr>
        <w:t> </w:t>
      </w:r>
      <w:r>
        <w:rPr>
          <w:vertAlign w:val="baseline"/>
        </w:rPr>
        <w:t>a</w:t>
      </w:r>
      <w:r>
        <w:rPr>
          <w:spacing w:val="12"/>
          <w:vertAlign w:val="baseline"/>
        </w:rPr>
        <w:t> </w:t>
      </w:r>
      <w:r>
        <w:rPr>
          <w:vertAlign w:val="baseline"/>
        </w:rPr>
        <w:t>professional</w:t>
      </w:r>
      <w:r>
        <w:rPr>
          <w:spacing w:val="12"/>
          <w:vertAlign w:val="baseline"/>
        </w:rPr>
        <w:t> </w:t>
      </w:r>
      <w:r>
        <w:rPr>
          <w:spacing w:val="-2"/>
          <w:vertAlign w:val="baseline"/>
        </w:rPr>
        <w:t>capacity,</w:t>
      </w:r>
    </w:p>
    <w:p>
      <w:pPr>
        <w:pStyle w:val="BodyText"/>
        <w:spacing w:line="235" w:lineRule="auto"/>
        <w:ind w:left="165" w:right="167"/>
        <w:jc w:val="both"/>
      </w:pPr>
      <w:r>
        <w:rPr>
          <w:color w:val="005DA1"/>
          <w:u w:val="single" w:color="005DA1"/>
          <w:vertAlign w:val="superscript"/>
        </w:rPr>
        <w:t>416</w:t>
      </w:r>
      <w:r>
        <w:rPr>
          <w:color w:val="005DA1"/>
          <w:vertAlign w:val="baseline"/>
        </w:rPr>
        <w:t> </w:t>
      </w:r>
      <w:r>
        <w:rPr>
          <w:vertAlign w:val="baseline"/>
        </w:rPr>
        <w:t>provided he has some financial interest in the transaction. </w:t>
      </w:r>
      <w:r>
        <w:rPr>
          <w:color w:val="005DA1"/>
          <w:u w:val="single" w:color="005DA1"/>
          <w:vertAlign w:val="superscript"/>
        </w:rPr>
        <w:t>417</w:t>
      </w:r>
      <w:r>
        <w:rPr>
          <w:color w:val="005DA1"/>
          <w:vertAlign w:val="baseline"/>
        </w:rPr>
        <w:t> </w:t>
      </w:r>
      <w:r>
        <w:rPr>
          <w:vertAlign w:val="baseline"/>
        </w:rPr>
        <w:t>On the other hand, the question whether a banker owes a duty to take care in giving references about his customers was left open </w:t>
      </w:r>
      <w:r>
        <w:rPr>
          <w:vertAlign w:val="baseline"/>
        </w:rPr>
        <w:t>by the House of Lords in the </w:t>
      </w:r>
      <w:r>
        <w:rPr>
          <w:rFonts w:ascii="Arial" w:hAnsi="Arial"/>
          <w:i/>
          <w:vertAlign w:val="baseline"/>
        </w:rPr>
        <w:t>Hedley Byrne </w:t>
      </w:r>
      <w:r>
        <w:rPr>
          <w:vertAlign w:val="baseline"/>
        </w:rPr>
        <w:t>case, since it was thought that such a liability might be too </w:t>
      </w:r>
      <w:bookmarkStart w:name="_bookmark721" w:id="723"/>
      <w:bookmarkEnd w:id="723"/>
      <w:r>
        <w:rPr>
          <w:vertAlign w:val="baseline"/>
        </w:rPr>
        <w:t>onerous.</w:t>
      </w:r>
      <w:r>
        <w:rPr>
          <w:vertAlign w:val="baseline"/>
        </w:rPr>
        <w:t> It was, however, said that a “duty to be honest” is at least owed in such circumstances, though it is far from clear whether this is the same thing as the duty merely to abstain from fraud.</w:t>
      </w:r>
      <w:r>
        <w:rPr>
          <w:spacing w:val="-1"/>
          <w:vertAlign w:val="baseline"/>
        </w:rPr>
        <w:t> </w:t>
      </w:r>
      <w:r>
        <w:rPr>
          <w:color w:val="005DA1"/>
          <w:u w:val="single" w:color="005DA1"/>
          <w:vertAlign w:val="superscript"/>
        </w:rPr>
        <w:t>418</w:t>
      </w:r>
      <w:r>
        <w:rPr>
          <w:color w:val="005DA1"/>
          <w:vertAlign w:val="baseline"/>
        </w:rPr>
        <w:t> </w:t>
      </w:r>
      <w:r>
        <w:rPr>
          <w:vertAlign w:val="baseline"/>
        </w:rPr>
        <w:t>If the “duty to be honest” goes beyond liability in fraud, it would seem necessary to recognise a new form of liability midway between fraud and negligence, but it is submitted that this is a confusing and unnecessary conception. Since the duty of care means a duty to take such care as is reasonable in</w:t>
      </w:r>
      <w:r>
        <w:rPr>
          <w:spacing w:val="80"/>
          <w:vertAlign w:val="baseline"/>
        </w:rPr>
        <w:t> </w:t>
      </w:r>
      <w:r>
        <w:rPr>
          <w:vertAlign w:val="baseline"/>
        </w:rPr>
        <w:t>all circumstances of the case, the law of negligence is already sufficiently flexible to cater for different degrees of care. There is, for instance, no reason why a court should not hold that a banker giving references about a customer does owe a duty of care to the representee, while at the same time </w:t>
      </w:r>
      <w:bookmarkStart w:name="_bookmark722" w:id="724"/>
      <w:bookmarkEnd w:id="724"/>
      <w:r>
        <w:rPr>
          <w:vertAlign w:val="baseline"/>
        </w:rPr>
        <w:t>recognising</w:t>
      </w:r>
      <w:r>
        <w:rPr>
          <w:vertAlign w:val="baseline"/>
        </w:rPr>
        <w:t> that this duty does not require the banker to compile an exhaustive dossier on the customer’s activities over a period of many years. </w:t>
      </w:r>
      <w:r>
        <w:rPr>
          <w:color w:val="005DA1"/>
          <w:u w:val="single" w:color="005DA1"/>
          <w:vertAlign w:val="superscript"/>
        </w:rPr>
        <w:t>419</w:t>
      </w:r>
    </w:p>
    <w:p>
      <w:pPr>
        <w:pStyle w:val="BodyText"/>
      </w:pPr>
    </w:p>
    <w:p>
      <w:pPr>
        <w:pStyle w:val="BodyText"/>
        <w:spacing w:before="29"/>
      </w:pPr>
    </w:p>
    <w:p>
      <w:pPr>
        <w:spacing w:before="0"/>
        <w:ind w:left="165" w:right="0" w:firstLine="0"/>
        <w:jc w:val="both"/>
        <w:rPr>
          <w:rFonts w:ascii="Arial"/>
          <w:b/>
          <w:sz w:val="18"/>
        </w:rPr>
      </w:pPr>
      <w:r>
        <w:rPr>
          <w:rFonts w:ascii="Arial"/>
          <w:b/>
          <w:sz w:val="18"/>
        </w:rPr>
        <w:t>Statement in connection with particular </w:t>
      </w:r>
      <w:r>
        <w:rPr>
          <w:rFonts w:ascii="Arial"/>
          <w:b/>
          <w:spacing w:val="-2"/>
          <w:sz w:val="18"/>
        </w:rPr>
        <w:t>transaction</w:t>
      </w:r>
    </w:p>
    <w:p>
      <w:pPr>
        <w:pStyle w:val="BodyText"/>
        <w:spacing w:before="41"/>
        <w:rPr>
          <w:rFonts w:ascii="Arial"/>
          <w:b/>
          <w:sz w:val="18"/>
        </w:rPr>
      </w:pPr>
    </w:p>
    <w:p>
      <w:pPr>
        <w:pStyle w:val="Heading2"/>
      </w:pPr>
      <w:r>
        <w:rPr/>
        <w:t>7-</w:t>
      </w:r>
      <w:r>
        <w:rPr>
          <w:spacing w:val="-5"/>
        </w:rPr>
        <w:t>090</w:t>
      </w:r>
    </w:p>
    <w:p>
      <w:pPr>
        <w:pStyle w:val="BodyText"/>
        <w:spacing w:line="235" w:lineRule="auto" w:before="203"/>
        <w:ind w:left="164" w:right="167"/>
        <w:jc w:val="both"/>
      </w:pPr>
      <w:bookmarkStart w:name="_bookmark723" w:id="725"/>
      <w:bookmarkEnd w:id="725"/>
      <w:r>
        <w:rPr/>
      </w:r>
      <w:r>
        <w:rPr/>
        <w:t>In </w:t>
      </w:r>
      <w:r>
        <w:rPr>
          <w:rFonts w:ascii="Arial"/>
          <w:i/>
        </w:rPr>
        <w:t>Caparo Industries Plc v Dickman </w:t>
      </w:r>
      <w:r>
        <w:rPr>
          <w:color w:val="005DA1"/>
          <w:u w:val="single" w:color="005DA1"/>
          <w:vertAlign w:val="superscript"/>
        </w:rPr>
        <w:t>420</w:t>
      </w:r>
      <w:r>
        <w:rPr>
          <w:color w:val="005DA1"/>
          <w:vertAlign w:val="baseline"/>
        </w:rPr>
        <w:t> </w:t>
      </w:r>
      <w:r>
        <w:rPr>
          <w:vertAlign w:val="baseline"/>
        </w:rPr>
        <w:t>it was held that there will be no liability in tort for </w:t>
      </w:r>
      <w:r>
        <w:rPr>
          <w:vertAlign w:val="baseline"/>
        </w:rPr>
        <w:t>negligent misrepresentation unless the maker of the statement knew that the statement would be</w:t>
      </w:r>
      <w:r>
        <w:rPr>
          <w:spacing w:val="40"/>
          <w:vertAlign w:val="baseline"/>
        </w:rPr>
        <w:t> </w:t>
      </w:r>
      <w:bookmarkStart w:name="_bookmark724" w:id="726"/>
      <w:bookmarkEnd w:id="726"/>
      <w:r>
        <w:rPr>
          <w:vertAlign w:val="baseline"/>
        </w:rPr>
        <w:t>communicated</w:t>
      </w:r>
      <w:r>
        <w:rPr>
          <w:vertAlign w:val="baseline"/>
        </w:rPr>
        <w:t> to the person relying on it specifically in connection with a particular transaction or a transaction</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particular</w:t>
      </w:r>
      <w:r>
        <w:rPr>
          <w:spacing w:val="-1"/>
          <w:vertAlign w:val="baseline"/>
        </w:rPr>
        <w:t> </w:t>
      </w:r>
      <w:r>
        <w:rPr>
          <w:vertAlign w:val="baseline"/>
        </w:rPr>
        <w:t>kind.</w:t>
      </w:r>
      <w:r>
        <w:rPr>
          <w:spacing w:val="-1"/>
          <w:vertAlign w:val="baseline"/>
        </w:rPr>
        <w:t> </w:t>
      </w:r>
      <w:r>
        <w:rPr>
          <w:vertAlign w:val="baseline"/>
        </w:rPr>
        <w:t>In</w:t>
      </w:r>
      <w:r>
        <w:rPr>
          <w:spacing w:val="-1"/>
          <w:vertAlign w:val="baseline"/>
        </w:rPr>
        <w:t> </w:t>
      </w:r>
      <w:r>
        <w:rPr>
          <w:vertAlign w:val="baseline"/>
        </w:rPr>
        <w:t>relation</w:t>
      </w:r>
      <w:r>
        <w:rPr>
          <w:spacing w:val="-1"/>
          <w:vertAlign w:val="baseline"/>
        </w:rPr>
        <w:t> </w:t>
      </w:r>
      <w:r>
        <w:rPr>
          <w:vertAlign w:val="baseline"/>
        </w:rPr>
        <w:t>to</w:t>
      </w:r>
      <w:r>
        <w:rPr>
          <w:spacing w:val="-1"/>
          <w:vertAlign w:val="baseline"/>
        </w:rPr>
        <w:t> </w:t>
      </w:r>
      <w:r>
        <w:rPr>
          <w:vertAlign w:val="baseline"/>
        </w:rPr>
        <w:t>misrepresentation</w:t>
      </w:r>
      <w:r>
        <w:rPr>
          <w:spacing w:val="-1"/>
          <w:vertAlign w:val="baseline"/>
        </w:rPr>
        <w:t> </w:t>
      </w:r>
      <w:r>
        <w:rPr>
          <w:vertAlign w:val="baseline"/>
        </w:rPr>
        <w:t>as</w:t>
      </w:r>
      <w:r>
        <w:rPr>
          <w:spacing w:val="-1"/>
          <w:vertAlign w:val="baseline"/>
        </w:rPr>
        <w:t> </w:t>
      </w:r>
      <w:r>
        <w:rPr>
          <w:vertAlign w:val="baseline"/>
        </w:rPr>
        <w:t>between</w:t>
      </w:r>
      <w:r>
        <w:rPr>
          <w:spacing w:val="-1"/>
          <w:vertAlign w:val="baseline"/>
        </w:rPr>
        <w:t> </w:t>
      </w:r>
      <w:r>
        <w:rPr>
          <w:vertAlign w:val="baseline"/>
        </w:rPr>
        <w:t>contracting</w:t>
      </w:r>
      <w:r>
        <w:rPr>
          <w:spacing w:val="-1"/>
          <w:vertAlign w:val="baseline"/>
        </w:rPr>
        <w:t> </w:t>
      </w:r>
      <w:r>
        <w:rPr>
          <w:vertAlign w:val="baseline"/>
        </w:rPr>
        <w:t>parties,</w:t>
      </w:r>
      <w:r>
        <w:rPr>
          <w:spacing w:val="-2"/>
          <w:vertAlign w:val="baseline"/>
        </w:rPr>
        <w:t> </w:t>
      </w:r>
      <w:r>
        <w:rPr>
          <w:color w:val="005DA1"/>
          <w:u w:val="single" w:color="005DA1"/>
          <w:vertAlign w:val="superscript"/>
        </w:rPr>
        <w:t>421</w:t>
      </w:r>
      <w:r>
        <w:rPr>
          <w:color w:val="005DA1"/>
          <w:spacing w:val="-1"/>
          <w:vertAlign w:val="baseline"/>
        </w:rPr>
        <w:t> </w:t>
      </w:r>
      <w:r>
        <w:rPr>
          <w:vertAlign w:val="baseline"/>
        </w:rPr>
        <w:t>this appears to mean that the misrepresentation must have been made in connection with the contract in respect of which relief is sought, or at least that reliance on the representation in connection with the contract was likely.</w:t>
      </w:r>
    </w:p>
    <w:p>
      <w:pPr>
        <w:pStyle w:val="BodyText"/>
      </w:pPr>
    </w:p>
    <w:p>
      <w:pPr>
        <w:pStyle w:val="BodyText"/>
        <w:spacing w:before="36"/>
      </w:pPr>
    </w:p>
    <w:p>
      <w:pPr>
        <w:spacing w:before="0"/>
        <w:ind w:left="164" w:right="0" w:firstLine="0"/>
        <w:jc w:val="left"/>
        <w:rPr>
          <w:rFonts w:ascii="Arial"/>
          <w:b/>
          <w:sz w:val="18"/>
        </w:rPr>
      </w:pPr>
      <w:r>
        <w:rPr>
          <w:rFonts w:ascii="Arial"/>
          <w:b/>
          <w:sz w:val="18"/>
        </w:rPr>
        <w:t>Voluntary assumption of </w:t>
      </w:r>
      <w:r>
        <w:rPr>
          <w:rFonts w:ascii="Arial"/>
          <w:b/>
          <w:spacing w:val="-2"/>
          <w:sz w:val="18"/>
        </w:rPr>
        <w:t>responsibility</w:t>
      </w:r>
    </w:p>
    <w:p>
      <w:pPr>
        <w:pStyle w:val="BodyText"/>
        <w:spacing w:before="41"/>
        <w:rPr>
          <w:rFonts w:ascii="Arial"/>
          <w:b/>
          <w:sz w:val="18"/>
        </w:rPr>
      </w:pPr>
    </w:p>
    <w:p>
      <w:pPr>
        <w:pStyle w:val="Heading2"/>
        <w:ind w:left="164"/>
      </w:pPr>
      <w:r>
        <w:rPr/>
        <w:t>7-</w:t>
      </w:r>
      <w:r>
        <w:rPr>
          <w:spacing w:val="-5"/>
        </w:rPr>
        <w:t>091</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725" w:id="727"/>
      <w:bookmarkEnd w:id="727"/>
      <w:r>
        <w:rPr>
          <w:rFonts w:ascii="Times New Roman" w:hAnsi="Times New Roman"/>
          <w:spacing w:val="-15"/>
        </w:rPr>
      </w:r>
      <w:r>
        <w:rPr/>
        <w:t>In </w:t>
      </w:r>
      <w:r>
        <w:rPr>
          <w:rFonts w:ascii="Arial" w:hAnsi="Arial"/>
          <w:i/>
        </w:rPr>
        <w:t>Hedley Byrne</w:t>
      </w:r>
      <w:r>
        <w:rPr/>
        <w:t>, considerable emphasis was placed on whether the defendants had </w:t>
      </w:r>
      <w:r>
        <w:rPr/>
        <w:t>voluntarily assumed responsibility towards the plaintiffs </w:t>
      </w:r>
      <w:r>
        <w:rPr>
          <w:color w:val="005DA1"/>
          <w:u w:val="single" w:color="005DA1"/>
          <w:vertAlign w:val="superscript"/>
        </w:rPr>
        <w:t>422</w:t>
      </w:r>
      <w:r>
        <w:rPr>
          <w:vertAlign w:val="baseline"/>
        </w:rPr>
        <w:t>; and the defendants’ disclaimer of responsibility </w:t>
      </w:r>
      <w:bookmarkStart w:name="_bookmark726" w:id="728"/>
      <w:bookmarkEnd w:id="728"/>
      <w:r>
        <w:rPr>
          <w:vertAlign w:val="baseline"/>
        </w:rPr>
        <w:t>prevented</w:t>
      </w:r>
      <w:r>
        <w:rPr>
          <w:vertAlign w:val="baseline"/>
        </w:rPr>
        <w:t> them from being liable in that case. The meaning of assumption of responsibility is not wholly clear. In </w:t>
      </w:r>
      <w:r>
        <w:rPr>
          <w:rFonts w:ascii="Arial" w:hAnsi="Arial"/>
          <w:i/>
          <w:vertAlign w:val="baseline"/>
        </w:rPr>
        <w:t>Smith v Eric S. Bush</w:t>
      </w:r>
      <w:r>
        <w:rPr>
          <w:vertAlign w:val="baseline"/>
        </w:rPr>
        <w:t>, </w:t>
      </w:r>
      <w:r>
        <w:rPr>
          <w:color w:val="005DA1"/>
          <w:u w:val="single" w:color="005DA1"/>
          <w:vertAlign w:val="superscript"/>
        </w:rPr>
        <w:t>423</w:t>
      </w:r>
      <w:r>
        <w:rPr>
          <w:color w:val="005DA1"/>
          <w:vertAlign w:val="baseline"/>
        </w:rPr>
        <w:t> </w:t>
      </w:r>
      <w:r>
        <w:rPr>
          <w:vertAlign w:val="baseline"/>
        </w:rPr>
        <w:t>in which the plaintiff had purchased a house on the strength of a valuation made by surveyors employed by the building society from whom the plaintiff borrowed to finance the purchase, the application form signed by the plaintiff stated that the defendant valuer’s report would be “supplied without acceptance of responsibility on their part to me”. Similarly, in the joined case of </w:t>
      </w:r>
      <w:r>
        <w:rPr>
          <w:rFonts w:ascii="Arial" w:hAnsi="Arial"/>
          <w:i/>
          <w:vertAlign w:val="baseline"/>
        </w:rPr>
        <w:t>Harris v Wyre Forest DC</w:t>
      </w:r>
      <w:r>
        <w:rPr>
          <w:vertAlign w:val="baseline"/>
        </w:rPr>
        <w:t>, in which the survey was carried out by an employee of the lender, the application form stated that the lender took “no responsibility … for the value or condition of</w:t>
      </w:r>
      <w:r>
        <w:rPr>
          <w:spacing w:val="1"/>
          <w:vertAlign w:val="baseline"/>
        </w:rPr>
        <w:t> </w:t>
      </w:r>
      <w:r>
        <w:rPr>
          <w:vertAlign w:val="baseline"/>
        </w:rPr>
        <w:t>the</w:t>
      </w:r>
      <w:r>
        <w:rPr>
          <w:spacing w:val="3"/>
          <w:vertAlign w:val="baseline"/>
        </w:rPr>
        <w:t> </w:t>
      </w:r>
      <w:r>
        <w:rPr>
          <w:vertAlign w:val="baseline"/>
        </w:rPr>
        <w:t>property”.</w:t>
      </w:r>
      <w:r>
        <w:rPr>
          <w:spacing w:val="3"/>
          <w:vertAlign w:val="baseline"/>
        </w:rPr>
        <w:t> </w:t>
      </w:r>
      <w:r>
        <w:rPr>
          <w:vertAlign w:val="baseline"/>
        </w:rPr>
        <w:t>It</w:t>
      </w:r>
      <w:r>
        <w:rPr>
          <w:spacing w:val="3"/>
          <w:vertAlign w:val="baseline"/>
        </w:rPr>
        <w:t> </w:t>
      </w:r>
      <w:r>
        <w:rPr>
          <w:vertAlign w:val="baseline"/>
        </w:rPr>
        <w:t>was</w:t>
      </w:r>
      <w:r>
        <w:rPr>
          <w:spacing w:val="3"/>
          <w:vertAlign w:val="baseline"/>
        </w:rPr>
        <w:t> </w:t>
      </w:r>
      <w:r>
        <w:rPr>
          <w:vertAlign w:val="baseline"/>
        </w:rPr>
        <w:t>held</w:t>
      </w:r>
      <w:r>
        <w:rPr>
          <w:spacing w:val="3"/>
          <w:vertAlign w:val="baseline"/>
        </w:rPr>
        <w:t> </w:t>
      </w:r>
      <w:r>
        <w:rPr>
          <w:vertAlign w:val="baseline"/>
        </w:rPr>
        <w:t>by</w:t>
      </w:r>
      <w:r>
        <w:rPr>
          <w:spacing w:val="3"/>
          <w:vertAlign w:val="baseline"/>
        </w:rPr>
        <w:t> </w:t>
      </w:r>
      <w:r>
        <w:rPr>
          <w:vertAlign w:val="baseline"/>
        </w:rPr>
        <w:t>the</w:t>
      </w:r>
      <w:r>
        <w:rPr>
          <w:spacing w:val="3"/>
          <w:vertAlign w:val="baseline"/>
        </w:rPr>
        <w:t> </w:t>
      </w:r>
      <w:r>
        <w:rPr>
          <w:vertAlign w:val="baseline"/>
        </w:rPr>
        <w:t>House</w:t>
      </w:r>
      <w:r>
        <w:rPr>
          <w:spacing w:val="3"/>
          <w:vertAlign w:val="baseline"/>
        </w:rPr>
        <w:t> </w:t>
      </w:r>
      <w:r>
        <w:rPr>
          <w:vertAlign w:val="baseline"/>
        </w:rPr>
        <w:t>of</w:t>
      </w:r>
      <w:r>
        <w:rPr>
          <w:spacing w:val="3"/>
          <w:vertAlign w:val="baseline"/>
        </w:rPr>
        <w:t> </w:t>
      </w:r>
      <w:r>
        <w:rPr>
          <w:vertAlign w:val="baseline"/>
        </w:rPr>
        <w:t>Lords</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defendants</w:t>
      </w:r>
      <w:r>
        <w:rPr>
          <w:spacing w:val="3"/>
          <w:vertAlign w:val="baseline"/>
        </w:rPr>
        <w:t> </w:t>
      </w:r>
      <w:r>
        <w:rPr>
          <w:vertAlign w:val="baseline"/>
        </w:rPr>
        <w:t>were</w:t>
      </w:r>
      <w:r>
        <w:rPr>
          <w:spacing w:val="3"/>
          <w:vertAlign w:val="baseline"/>
        </w:rPr>
        <w:t> </w:t>
      </w:r>
      <w:r>
        <w:rPr>
          <w:vertAlign w:val="baseline"/>
        </w:rPr>
        <w:t>responsible</w:t>
      </w:r>
      <w:r>
        <w:rPr>
          <w:spacing w:val="3"/>
          <w:vertAlign w:val="baseline"/>
        </w:rPr>
        <w:t> </w:t>
      </w:r>
      <w:r>
        <w:rPr>
          <w:spacing w:val="-2"/>
          <w:vertAlign w:val="baseline"/>
        </w:rPr>
        <w:t>nonetheless;</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r>
        <w:rPr/>
        <w:t>the clauses were subject to Unfair Contract Terms Act 1977 s.2(2) and had not been shown to be </w:t>
      </w:r>
      <w:bookmarkStart w:name="_bookmark727" w:id="729"/>
      <w:bookmarkEnd w:id="729"/>
      <w:r>
        <w:rPr/>
        <w:t>reasonable.</w:t>
      </w:r>
      <w:r>
        <w:rPr/>
        <w:t> Lord Griffiths stated that he did not find that “voluntary assumption of responsibility is a helpful or realistic test for liability”. </w:t>
      </w:r>
      <w:r>
        <w:rPr>
          <w:color w:val="005DA1"/>
          <w:u w:val="single" w:color="005DA1"/>
          <w:vertAlign w:val="superscript"/>
        </w:rPr>
        <w:t>424</w:t>
      </w:r>
      <w:r>
        <w:rPr>
          <w:color w:val="005DA1"/>
          <w:vertAlign w:val="baseline"/>
        </w:rPr>
        <w:t> </w:t>
      </w:r>
      <w:r>
        <w:rPr>
          <w:vertAlign w:val="baseline"/>
        </w:rPr>
        <w:t>However, subsequent authority in the House of Lords </w:t>
      </w:r>
      <w:r>
        <w:rPr>
          <w:vertAlign w:val="baseline"/>
        </w:rPr>
        <w:t>again </w:t>
      </w:r>
      <w:bookmarkStart w:name="_bookmark728" w:id="730"/>
      <w:bookmarkEnd w:id="730"/>
      <w:r>
        <w:rPr>
          <w:vertAlign w:val="baseline"/>
        </w:rPr>
        <w:t>stressed</w:t>
      </w:r>
      <w:r>
        <w:rPr>
          <w:vertAlign w:val="baseline"/>
        </w:rPr>
        <w:t> that liability for economic loss, including in cases of negligent misstatement, is based on an “assumption of responsibility”. </w:t>
      </w:r>
      <w:r>
        <w:rPr>
          <w:color w:val="005DA1"/>
          <w:u w:val="single" w:color="005DA1"/>
          <w:vertAlign w:val="superscript"/>
        </w:rPr>
        <w:t>425</w:t>
      </w:r>
      <w:r>
        <w:rPr>
          <w:color w:val="005DA1"/>
          <w:vertAlign w:val="baseline"/>
        </w:rPr>
        <w:t> </w:t>
      </w:r>
      <w:r>
        <w:rPr>
          <w:vertAlign w:val="baseline"/>
        </w:rPr>
        <w:t>Lord Goff has explained that:</w:t>
      </w:r>
    </w:p>
    <w:p>
      <w:pPr>
        <w:pStyle w:val="BodyText"/>
      </w:pPr>
    </w:p>
    <w:p>
      <w:pPr>
        <w:pStyle w:val="BodyText"/>
        <w:spacing w:before="124"/>
      </w:pPr>
    </w:p>
    <w:p>
      <w:pPr>
        <w:pStyle w:val="BodyText"/>
        <w:spacing w:line="235" w:lineRule="auto" w:before="1"/>
        <w:ind w:left="1245" w:right="167"/>
        <w:jc w:val="both"/>
      </w:pPr>
      <w:r>
        <w:rPr/>
        <w:t>“… especially in a context concerned with a liability which may arise under a contract </w:t>
      </w:r>
      <w:r>
        <w:rPr/>
        <w:t>or</w:t>
      </w:r>
      <w:r>
        <w:rPr>
          <w:spacing w:val="80"/>
        </w:rPr>
        <w:t> </w:t>
      </w:r>
      <w:r>
        <w:rPr/>
        <w:t>in a situation ‘equivalent to contract’, it must be expected that an objective test will be </w:t>
      </w:r>
      <w:bookmarkStart w:name="_bookmark729" w:id="731"/>
      <w:bookmarkEnd w:id="731"/>
      <w:r>
        <w:rPr/>
        <w:t>applied</w:t>
      </w:r>
      <w:r>
        <w:rPr/>
        <w:t> when asking the question whether, in a particular case, responsibility should be held to have been assumed by the defendant to the plaintiff.” </w:t>
      </w:r>
      <w:r>
        <w:rPr>
          <w:color w:val="005DA1"/>
          <w:u w:val="single" w:color="005DA1"/>
          <w:vertAlign w:val="superscript"/>
        </w:rPr>
        <w:t>426</w:t>
      </w:r>
    </w:p>
    <w:p>
      <w:pPr>
        <w:pStyle w:val="BodyText"/>
        <w:spacing w:before="115"/>
      </w:pPr>
    </w:p>
    <w:p>
      <w:pPr>
        <w:pStyle w:val="BodyText"/>
        <w:spacing w:line="235" w:lineRule="auto"/>
        <w:ind w:left="165" w:right="167"/>
        <w:jc w:val="both"/>
      </w:pPr>
      <w:r>
        <w:rPr/>
        <w:t>Thus the existence of a disclaimer will not necessarily negate an assumption of liability if the </w:t>
      </w:r>
      <w:bookmarkStart w:name="_bookmark730" w:id="732"/>
      <w:bookmarkEnd w:id="732"/>
      <w:r>
        <w:rPr/>
        <w:t>defendant</w:t>
      </w:r>
      <w:r>
        <w:rPr/>
        <w:t> knows that there is a strong probability that the plaintiff will nonetheless rely on the </w:t>
      </w:r>
      <w:bookmarkStart w:name="_bookmark731" w:id="733"/>
      <w:bookmarkEnd w:id="733"/>
      <w:r>
        <w:rPr/>
        <w:t>information</w:t>
      </w:r>
      <w:r>
        <w:rPr/>
        <w:t> given.</w:t>
      </w:r>
      <w:r>
        <w:rPr>
          <w:spacing w:val="-1"/>
        </w:rPr>
        <w:t> </w:t>
      </w:r>
      <w:r>
        <w:rPr>
          <w:color w:val="005DA1"/>
          <w:u w:val="single" w:color="005DA1"/>
          <w:vertAlign w:val="superscript"/>
        </w:rPr>
        <w:t>427</w:t>
      </w:r>
      <w:r>
        <w:rPr>
          <w:color w:val="005DA1"/>
          <w:vertAlign w:val="baseline"/>
        </w:rPr>
        <w:t> </w:t>
      </w:r>
      <w:r>
        <w:rPr>
          <w:vertAlign w:val="baseline"/>
        </w:rPr>
        <w:t>The defendant will be protected only if he shows that the disclaimer satisfies </w:t>
      </w:r>
      <w:r>
        <w:rPr>
          <w:vertAlign w:val="baseline"/>
        </w:rPr>
        <w:t>the </w:t>
      </w:r>
      <w:bookmarkStart w:name="_bookmark732" w:id="734"/>
      <w:bookmarkEnd w:id="734"/>
      <w:r>
        <w:rPr>
          <w:vertAlign w:val="baseline"/>
        </w:rPr>
        <w:t>requirement</w:t>
      </w:r>
      <w:r>
        <w:rPr>
          <w:spacing w:val="17"/>
          <w:vertAlign w:val="baseline"/>
        </w:rPr>
        <w:t> </w:t>
      </w:r>
      <w:r>
        <w:rPr>
          <w:vertAlign w:val="baseline"/>
        </w:rPr>
        <w:t>of</w:t>
      </w:r>
      <w:r>
        <w:rPr>
          <w:spacing w:val="18"/>
          <w:vertAlign w:val="baseline"/>
        </w:rPr>
        <w:t> </w:t>
      </w:r>
      <w:r>
        <w:rPr>
          <w:vertAlign w:val="baseline"/>
        </w:rPr>
        <w:t>reasonableness</w:t>
      </w:r>
      <w:r>
        <w:rPr>
          <w:spacing w:val="18"/>
          <w:vertAlign w:val="baseline"/>
        </w:rPr>
        <w:t> </w:t>
      </w:r>
      <w:r>
        <w:rPr>
          <w:vertAlign w:val="baseline"/>
        </w:rPr>
        <w:t>under</w:t>
      </w:r>
      <w:r>
        <w:rPr>
          <w:spacing w:val="18"/>
          <w:vertAlign w:val="baseline"/>
        </w:rPr>
        <w:t> </w:t>
      </w:r>
      <w:r>
        <w:rPr>
          <w:vertAlign w:val="baseline"/>
        </w:rPr>
        <w:t>the</w:t>
      </w:r>
      <w:r>
        <w:rPr>
          <w:spacing w:val="17"/>
          <w:vertAlign w:val="baseline"/>
        </w:rPr>
        <w:t> </w:t>
      </w:r>
      <w:r>
        <w:rPr>
          <w:vertAlign w:val="baseline"/>
        </w:rPr>
        <w:t>Unfair</w:t>
      </w:r>
      <w:r>
        <w:rPr>
          <w:spacing w:val="18"/>
          <w:vertAlign w:val="baseline"/>
        </w:rPr>
        <w:t> </w:t>
      </w:r>
      <w:r>
        <w:rPr>
          <w:vertAlign w:val="baseline"/>
        </w:rPr>
        <w:t>Contract</w:t>
      </w:r>
      <w:r>
        <w:rPr>
          <w:spacing w:val="18"/>
          <w:vertAlign w:val="baseline"/>
        </w:rPr>
        <w:t> </w:t>
      </w:r>
      <w:r>
        <w:rPr>
          <w:vertAlign w:val="baseline"/>
        </w:rPr>
        <w:t>Terms</w:t>
      </w:r>
      <w:r>
        <w:rPr>
          <w:spacing w:val="18"/>
          <w:vertAlign w:val="baseline"/>
        </w:rPr>
        <w:t> </w:t>
      </w:r>
      <w:r>
        <w:rPr>
          <w:vertAlign w:val="baseline"/>
        </w:rPr>
        <w:t>Act</w:t>
      </w:r>
      <w:r>
        <w:rPr>
          <w:spacing w:val="17"/>
          <w:vertAlign w:val="baseline"/>
        </w:rPr>
        <w:t> </w:t>
      </w:r>
      <w:r>
        <w:rPr>
          <w:vertAlign w:val="baseline"/>
        </w:rPr>
        <w:t>1977.</w:t>
      </w:r>
      <w:r>
        <w:rPr>
          <w:spacing w:val="17"/>
          <w:vertAlign w:val="baseline"/>
        </w:rPr>
        <w:t> </w:t>
      </w:r>
      <w:r>
        <w:rPr>
          <w:color w:val="005DA1"/>
          <w:u w:val="single" w:color="005DA1"/>
          <w:vertAlign w:val="superscript"/>
        </w:rPr>
        <w:t>428</w:t>
      </w:r>
      <w:r>
        <w:rPr>
          <w:color w:val="005DA1"/>
          <w:spacing w:val="17"/>
          <w:vertAlign w:val="baseline"/>
        </w:rPr>
        <w:t> </w:t>
      </w:r>
      <w:r>
        <w:rPr>
          <w:vertAlign w:val="baseline"/>
        </w:rPr>
        <w:t>or</w:t>
      </w:r>
      <w:r>
        <w:rPr>
          <w:spacing w:val="18"/>
          <w:vertAlign w:val="baseline"/>
        </w:rPr>
        <w:t> </w:t>
      </w:r>
      <w:r>
        <w:rPr>
          <w:vertAlign w:val="baseline"/>
        </w:rPr>
        <w:t>the</w:t>
      </w:r>
      <w:r>
        <w:rPr>
          <w:spacing w:val="17"/>
          <w:vertAlign w:val="baseline"/>
        </w:rPr>
        <w:t> </w:t>
      </w:r>
      <w:r>
        <w:rPr>
          <w:vertAlign w:val="baseline"/>
        </w:rPr>
        <w:t>requirement</w:t>
      </w:r>
      <w:r>
        <w:rPr>
          <w:spacing w:val="18"/>
          <w:vertAlign w:val="baseline"/>
        </w:rPr>
        <w:t> </w:t>
      </w:r>
      <w:r>
        <w:rPr>
          <w:spacing w:val="-5"/>
          <w:vertAlign w:val="baseline"/>
        </w:rPr>
        <w:t>of</w:t>
      </w:r>
    </w:p>
    <w:p>
      <w:pPr>
        <w:pStyle w:val="BodyText"/>
        <w:spacing w:before="115"/>
        <w:ind w:left="165"/>
        <w:jc w:val="both"/>
        <w:rPr>
          <w:position w:val="-2"/>
        </w:rPr>
      </w:pPr>
      <w:r>
        <w:rPr/>
        <w:t>fairness under the Consumer Rights Act 2015, </w:t>
      </w:r>
      <w:r>
        <w:rPr>
          <w:color w:val="005DA1"/>
          <w:u w:val="single" w:color="005DA1"/>
          <w:vertAlign w:val="superscript"/>
        </w:rPr>
        <w:t>429</w:t>
      </w:r>
      <w:r>
        <w:rPr>
          <w:color w:val="005DA1"/>
          <w:spacing w:val="80"/>
          <w:w w:val="150"/>
          <w:vertAlign w:val="baseline"/>
        </w:rPr>
        <w:t> </w:t>
      </w:r>
      <w:r>
        <w:rPr>
          <w:color w:val="005DA1"/>
          <w:position w:val="-2"/>
          <w:vertAlign w:val="baseline"/>
        </w:rPr>
        <w:drawing>
          <wp:inline distT="0" distB="0" distL="0" distR="0">
            <wp:extent cx="107988" cy="107988"/>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Statements not made in course of </w:t>
      </w:r>
      <w:r>
        <w:rPr>
          <w:rFonts w:ascii="Arial"/>
          <w:b/>
          <w:spacing w:val="-2"/>
          <w:sz w:val="18"/>
        </w:rPr>
        <w:t>business</w:t>
      </w:r>
    </w:p>
    <w:p>
      <w:pPr>
        <w:pStyle w:val="BodyText"/>
        <w:spacing w:before="41"/>
        <w:rPr>
          <w:rFonts w:ascii="Arial"/>
          <w:b/>
          <w:sz w:val="18"/>
        </w:rPr>
      </w:pPr>
    </w:p>
    <w:p>
      <w:pPr>
        <w:pStyle w:val="Heading2"/>
      </w:pPr>
      <w:r>
        <w:rPr/>
        <w:t>7-</w:t>
      </w:r>
      <w:r>
        <w:rPr>
          <w:spacing w:val="-5"/>
        </w:rPr>
        <w:t>092</w:t>
      </w:r>
    </w:p>
    <w:p>
      <w:pPr>
        <w:pStyle w:val="BodyText"/>
        <w:spacing w:line="235" w:lineRule="auto" w:before="203"/>
        <w:ind w:left="164" w:right="167"/>
        <w:jc w:val="both"/>
      </w:pPr>
      <w:bookmarkStart w:name="_bookmark733" w:id="735"/>
      <w:bookmarkEnd w:id="735"/>
      <w:r>
        <w:rPr/>
      </w:r>
      <w:r>
        <w:rPr/>
        <w:t>The principle of the </w:t>
      </w:r>
      <w:r>
        <w:rPr>
          <w:rFonts w:ascii="Arial" w:hAnsi="Arial"/>
          <w:i/>
        </w:rPr>
        <w:t>Hedley Byrne </w:t>
      </w:r>
      <w:r>
        <w:rPr/>
        <w:t>case was somewhat limited by the majority decision of the Privy Council in </w:t>
      </w:r>
      <w:r>
        <w:rPr>
          <w:rFonts w:ascii="Arial" w:hAnsi="Arial"/>
          <w:i/>
        </w:rPr>
        <w:t>Mutual Life and Citizen’s Assurance Co Ltd v Evatt </w:t>
      </w:r>
      <w:r>
        <w:rPr>
          <w:color w:val="005DA1"/>
          <w:u w:val="single" w:color="005DA1"/>
          <w:vertAlign w:val="superscript"/>
        </w:rPr>
        <w:t>430</w:t>
      </w:r>
      <w:r>
        <w:rPr>
          <w:color w:val="005DA1"/>
          <w:vertAlign w:val="baseline"/>
        </w:rPr>
        <w:t> </w:t>
      </w:r>
      <w:r>
        <w:rPr>
          <w:vertAlign w:val="baseline"/>
        </w:rPr>
        <w:t>where it was held that in general there is no duty to take care in the making of statements unless the maker has held himself out </w:t>
      </w:r>
      <w:r>
        <w:rPr>
          <w:vertAlign w:val="baseline"/>
        </w:rPr>
        <w:t>as having</w:t>
      </w:r>
      <w:r>
        <w:rPr>
          <w:spacing w:val="-1"/>
          <w:vertAlign w:val="baseline"/>
        </w:rPr>
        <w:t> </w:t>
      </w:r>
      <w:r>
        <w:rPr>
          <w:vertAlign w:val="baseline"/>
        </w:rPr>
        <w:t>some</w:t>
      </w:r>
      <w:r>
        <w:rPr>
          <w:spacing w:val="-1"/>
          <w:vertAlign w:val="baseline"/>
        </w:rPr>
        <w:t> </w:t>
      </w:r>
      <w:r>
        <w:rPr>
          <w:vertAlign w:val="baseline"/>
        </w:rPr>
        <w:t>special</w:t>
      </w:r>
      <w:r>
        <w:rPr>
          <w:spacing w:val="-1"/>
          <w:vertAlign w:val="baseline"/>
        </w:rPr>
        <w:t> </w:t>
      </w:r>
      <w:r>
        <w:rPr>
          <w:vertAlign w:val="baseline"/>
        </w:rPr>
        <w:t>skill</w:t>
      </w:r>
      <w:r>
        <w:rPr>
          <w:spacing w:val="-1"/>
          <w:vertAlign w:val="baseline"/>
        </w:rPr>
        <w:t> </w:t>
      </w:r>
      <w:r>
        <w:rPr>
          <w:vertAlign w:val="baseline"/>
        </w:rPr>
        <w:t>or</w:t>
      </w:r>
      <w:r>
        <w:rPr>
          <w:spacing w:val="-1"/>
          <w:vertAlign w:val="baseline"/>
        </w:rPr>
        <w:t> </w:t>
      </w:r>
      <w:r>
        <w:rPr>
          <w:vertAlign w:val="baseline"/>
        </w:rPr>
        <w:t>competence</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matter</w:t>
      </w:r>
      <w:r>
        <w:rPr>
          <w:spacing w:val="-1"/>
          <w:vertAlign w:val="baseline"/>
        </w:rPr>
        <w:t> </w:t>
      </w:r>
      <w:r>
        <w:rPr>
          <w:vertAlign w:val="baseline"/>
        </w:rPr>
        <w:t>in</w:t>
      </w:r>
      <w:r>
        <w:rPr>
          <w:spacing w:val="-1"/>
          <w:vertAlign w:val="baseline"/>
        </w:rPr>
        <w:t> </w:t>
      </w:r>
      <w:r>
        <w:rPr>
          <w:vertAlign w:val="baseline"/>
        </w:rPr>
        <w:t>question.</w:t>
      </w:r>
      <w:r>
        <w:rPr>
          <w:spacing w:val="-1"/>
          <w:vertAlign w:val="baseline"/>
        </w:rPr>
        <w:t> </w:t>
      </w:r>
      <w:r>
        <w:rPr>
          <w:vertAlign w:val="baseline"/>
        </w:rPr>
        <w:t>In</w:t>
      </w:r>
      <w:r>
        <w:rPr>
          <w:spacing w:val="-1"/>
          <w:vertAlign w:val="baseline"/>
        </w:rPr>
        <w:t> </w:t>
      </w:r>
      <w:r>
        <w:rPr>
          <w:vertAlign w:val="baseline"/>
        </w:rPr>
        <w:t>general,</w:t>
      </w:r>
      <w:r>
        <w:rPr>
          <w:spacing w:val="-1"/>
          <w:vertAlign w:val="baseline"/>
        </w:rPr>
        <w:t> </w:t>
      </w:r>
      <w:r>
        <w:rPr>
          <w:vertAlign w:val="baseline"/>
        </w:rPr>
        <w:t>it</w:t>
      </w:r>
      <w:r>
        <w:rPr>
          <w:spacing w:val="-1"/>
          <w:vertAlign w:val="baseline"/>
        </w:rPr>
        <w:t> </w:t>
      </w:r>
      <w:r>
        <w:rPr>
          <w:vertAlign w:val="baseline"/>
        </w:rPr>
        <w:t>was</w:t>
      </w:r>
      <w:r>
        <w:rPr>
          <w:spacing w:val="-1"/>
          <w:vertAlign w:val="baseline"/>
        </w:rPr>
        <w:t> </w:t>
      </w:r>
      <w:r>
        <w:rPr>
          <w:vertAlign w:val="baseline"/>
        </w:rPr>
        <w:t>held,</w:t>
      </w:r>
      <w:r>
        <w:rPr>
          <w:spacing w:val="-1"/>
          <w:vertAlign w:val="baseline"/>
        </w:rPr>
        <w:t> </w:t>
      </w:r>
      <w:r>
        <w:rPr>
          <w:vertAlign w:val="baseline"/>
        </w:rPr>
        <w:t>the</w:t>
      </w:r>
      <w:r>
        <w:rPr>
          <w:spacing w:val="-1"/>
          <w:vertAlign w:val="baseline"/>
        </w:rPr>
        <w:t> </w:t>
      </w:r>
      <w:r>
        <w:rPr>
          <w:vertAlign w:val="baseline"/>
        </w:rPr>
        <w:t>duty</w:t>
      </w:r>
      <w:r>
        <w:rPr>
          <w:spacing w:val="-1"/>
          <w:vertAlign w:val="baseline"/>
        </w:rPr>
        <w:t> </w:t>
      </w:r>
      <w:r>
        <w:rPr>
          <w:vertAlign w:val="baseline"/>
        </w:rPr>
        <w:t>will only arise where the statement is made in the course of a business though in some cases other </w:t>
      </w:r>
      <w:bookmarkStart w:name="_bookmark734" w:id="736"/>
      <w:bookmarkEnd w:id="736"/>
      <w:r>
        <w:rPr>
          <w:vertAlign w:val="baseline"/>
        </w:rPr>
        <w:t>factors</w:t>
      </w:r>
      <w:r>
        <w:rPr>
          <w:vertAlign w:val="baseline"/>
        </w:rPr>
        <w:t> may be sufficient to impose a duty, for example that the person making the statement has a financial interest in the transaction on which he has given advice. </w:t>
      </w:r>
      <w:r>
        <w:rPr>
          <w:color w:val="005DA1"/>
          <w:u w:val="single" w:color="005DA1"/>
          <w:vertAlign w:val="superscript"/>
        </w:rPr>
        <w:t>431</w:t>
      </w:r>
      <w:r>
        <w:rPr>
          <w:color w:val="005DA1"/>
          <w:vertAlign w:val="baseline"/>
        </w:rPr>
        <w:t> </w:t>
      </w:r>
      <w:r>
        <w:rPr>
          <w:vertAlign w:val="baseline"/>
        </w:rPr>
        <w:t>It seems unlikely that this </w:t>
      </w:r>
      <w:bookmarkStart w:name="_bookmark735" w:id="737"/>
      <w:bookmarkEnd w:id="737"/>
      <w:r>
        <w:rPr>
          <w:vertAlign w:val="baseline"/>
        </w:rPr>
        <w:t>decision</w:t>
      </w:r>
      <w:r>
        <w:rPr>
          <w:vertAlign w:val="baseline"/>
        </w:rPr>
        <w:t> will now be followed. It was decided by a bare majority and several judges have felt free to indicate their preference for the minority judgments of Lord Reid and Lord Morris. </w:t>
      </w:r>
      <w:r>
        <w:rPr>
          <w:color w:val="005DA1"/>
          <w:u w:val="single" w:color="005DA1"/>
          <w:vertAlign w:val="superscript"/>
        </w:rPr>
        <w:t>432</w:t>
      </w:r>
      <w:r>
        <w:rPr>
          <w:color w:val="005DA1"/>
          <w:vertAlign w:val="baseline"/>
        </w:rPr>
        <w:t> </w:t>
      </w:r>
      <w:r>
        <w:rPr>
          <w:vertAlign w:val="baseline"/>
        </w:rPr>
        <w:t>However, it has been pointed out that although the inflexible view of </w:t>
      </w:r>
      <w:r>
        <w:rPr>
          <w:rFonts w:ascii="Arial" w:hAnsi="Arial"/>
          <w:i/>
          <w:vertAlign w:val="baseline"/>
        </w:rPr>
        <w:t>Mutual Life </w:t>
      </w:r>
      <w:r>
        <w:rPr>
          <w:vertAlign w:val="baseline"/>
        </w:rPr>
        <w:t>has been rejected, it remains the</w:t>
      </w:r>
      <w:r>
        <w:rPr>
          <w:spacing w:val="80"/>
          <w:vertAlign w:val="baseline"/>
        </w:rPr>
        <w:t> </w:t>
      </w:r>
      <w:r>
        <w:rPr>
          <w:vertAlign w:val="baseline"/>
        </w:rPr>
        <w:t>case that a claimant is much more likely to be able to show that he is entitled to depend on a service </w:t>
      </w:r>
      <w:bookmarkStart w:name="_bookmark736" w:id="738"/>
      <w:bookmarkEnd w:id="738"/>
      <w:r>
        <w:rPr>
          <w:vertAlign w:val="baseline"/>
        </w:rPr>
        <w:t>or</w:t>
      </w:r>
      <w:r>
        <w:rPr>
          <w:vertAlign w:val="baseline"/>
        </w:rPr>
        <w:t> statement where the work is undertaken by a person who is exercising a special skill in a business context. </w:t>
      </w:r>
      <w:r>
        <w:rPr>
          <w:color w:val="005DA1"/>
          <w:u w:val="single" w:color="005DA1"/>
          <w:vertAlign w:val="superscript"/>
        </w:rPr>
        <w:t>433</w:t>
      </w:r>
    </w:p>
    <w:p>
      <w:pPr>
        <w:pStyle w:val="BodyText"/>
      </w:pPr>
    </w:p>
    <w:p>
      <w:pPr>
        <w:pStyle w:val="BodyText"/>
        <w:spacing w:before="33"/>
      </w:pPr>
    </w:p>
    <w:p>
      <w:pPr>
        <w:spacing w:before="1"/>
        <w:ind w:left="165" w:right="0" w:firstLine="0"/>
        <w:jc w:val="both"/>
        <w:rPr>
          <w:rFonts w:ascii="Arial"/>
          <w:b/>
          <w:sz w:val="18"/>
        </w:rPr>
      </w:pPr>
      <w:r>
        <w:rPr>
          <w:rFonts w:ascii="Arial"/>
          <w:b/>
          <w:sz w:val="18"/>
        </w:rPr>
        <w:t>Special relationship between parties negotiating </w:t>
      </w:r>
      <w:r>
        <w:rPr>
          <w:rFonts w:ascii="Arial"/>
          <w:b/>
          <w:spacing w:val="-2"/>
          <w:sz w:val="18"/>
        </w:rPr>
        <w:t>contract</w:t>
      </w:r>
    </w:p>
    <w:p>
      <w:pPr>
        <w:pStyle w:val="BodyText"/>
        <w:spacing w:before="41"/>
        <w:rPr>
          <w:rFonts w:ascii="Arial"/>
          <w:b/>
          <w:sz w:val="18"/>
        </w:rPr>
      </w:pPr>
    </w:p>
    <w:p>
      <w:pPr>
        <w:pStyle w:val="Heading2"/>
      </w:pPr>
      <w:r>
        <w:rPr/>
        <w:t>7-</w:t>
      </w:r>
      <w:r>
        <w:rPr>
          <w:spacing w:val="-5"/>
        </w:rPr>
        <w:t>093</w:t>
      </w:r>
    </w:p>
    <w:p>
      <w:pPr>
        <w:pStyle w:val="BodyText"/>
        <w:spacing w:line="235" w:lineRule="auto" w:before="203"/>
        <w:ind w:left="165" w:right="166"/>
        <w:jc w:val="both"/>
      </w:pPr>
      <w:bookmarkStart w:name="_bookmark737" w:id="739"/>
      <w:bookmarkEnd w:id="739"/>
      <w:r>
        <w:rPr/>
      </w:r>
      <w:r>
        <w:rPr/>
        <w:t>It has now become clear that a special relationship, giving rise to a duty of care, may subsist </w:t>
      </w:r>
      <w:r>
        <w:rPr/>
        <w:t>between </w:t>
      </w:r>
      <w:bookmarkStart w:name="_bookmark738" w:id="740"/>
      <w:bookmarkEnd w:id="740"/>
      <w:r>
        <w:rPr/>
        <w:t>parties</w:t>
      </w:r>
      <w:r>
        <w:rPr/>
        <w:t> negotiating a contract if information is given in connection with the contract. </w:t>
      </w:r>
      <w:r>
        <w:rPr>
          <w:color w:val="005DA1"/>
          <w:u w:val="single" w:color="005DA1"/>
          <w:vertAlign w:val="superscript"/>
        </w:rPr>
        <w:t>434</w:t>
      </w:r>
      <w:r>
        <w:rPr>
          <w:color w:val="005DA1"/>
          <w:vertAlign w:val="baseline"/>
        </w:rPr>
        <w:t> </w:t>
      </w:r>
      <w:r>
        <w:rPr>
          <w:vertAlign w:val="baseline"/>
        </w:rPr>
        <w:t>In </w:t>
      </w:r>
      <w:r>
        <w:rPr>
          <w:rFonts w:ascii="Arial" w:hAnsi="Arial"/>
          <w:i/>
          <w:vertAlign w:val="baseline"/>
        </w:rPr>
        <w:t>Esso Petroleum Co Ltd v Mardon </w:t>
      </w:r>
      <w:r>
        <w:rPr>
          <w:color w:val="005DA1"/>
          <w:u w:val="single" w:color="005DA1"/>
          <w:vertAlign w:val="superscript"/>
        </w:rPr>
        <w:t>435</w:t>
      </w:r>
      <w:r>
        <w:rPr>
          <w:color w:val="005DA1"/>
          <w:vertAlign w:val="baseline"/>
        </w:rPr>
        <w:t> </w:t>
      </w:r>
      <w:r>
        <w:rPr>
          <w:vertAlign w:val="baseline"/>
        </w:rPr>
        <w:t>it was held that a petroleum company, negotiating a lease of a filling station, was liable to the tenant for negligently giving him over-optimistic estimates of the sales potential of the filling station. It should be noted that this was not a casual observation made between parties each of whom was in the same position to judge the accuracy of the estimate. The information </w:t>
      </w:r>
      <w:bookmarkStart w:name="_bookmark739" w:id="741"/>
      <w:bookmarkEnd w:id="741"/>
      <w:r>
        <w:rPr>
          <w:vertAlign w:val="baseline"/>
        </w:rPr>
        <w:t>was</w:t>
      </w:r>
      <w:r>
        <w:rPr>
          <w:vertAlign w:val="baseline"/>
        </w:rPr>
        <w:t> based on a detailed evaluation of the position by the petroleum company and the tenant was clearly</w:t>
      </w:r>
      <w:r>
        <w:rPr>
          <w:spacing w:val="-1"/>
          <w:vertAlign w:val="baseline"/>
        </w:rPr>
        <w:t> </w:t>
      </w:r>
      <w:r>
        <w:rPr>
          <w:vertAlign w:val="baseline"/>
        </w:rPr>
        <w:t>not</w:t>
      </w:r>
      <w:r>
        <w:rPr>
          <w:spacing w:val="-1"/>
          <w:vertAlign w:val="baseline"/>
        </w:rPr>
        <w:t> </w:t>
      </w:r>
      <w:r>
        <w:rPr>
          <w:vertAlign w:val="baseline"/>
        </w:rPr>
        <w:t>in</w:t>
      </w:r>
      <w:r>
        <w:rPr>
          <w:spacing w:val="-1"/>
          <w:vertAlign w:val="baseline"/>
        </w:rPr>
        <w:t> </w:t>
      </w:r>
      <w:r>
        <w:rPr>
          <w:vertAlign w:val="baseline"/>
        </w:rPr>
        <w:t>as</w:t>
      </w:r>
      <w:r>
        <w:rPr>
          <w:spacing w:val="-1"/>
          <w:vertAlign w:val="baseline"/>
        </w:rPr>
        <w:t> </w:t>
      </w:r>
      <w:r>
        <w:rPr>
          <w:vertAlign w:val="baseline"/>
        </w:rPr>
        <w:t>good</w:t>
      </w:r>
      <w:r>
        <w:rPr>
          <w:spacing w:val="-1"/>
          <w:vertAlign w:val="baseline"/>
        </w:rPr>
        <w:t> </w:t>
      </w:r>
      <w:r>
        <w:rPr>
          <w:vertAlign w:val="baseline"/>
        </w:rPr>
        <w:t>a</w:t>
      </w:r>
      <w:r>
        <w:rPr>
          <w:spacing w:val="-1"/>
          <w:vertAlign w:val="baseline"/>
        </w:rPr>
        <w:t> </w:t>
      </w:r>
      <w:r>
        <w:rPr>
          <w:vertAlign w:val="baseline"/>
        </w:rPr>
        <w:t>position</w:t>
      </w:r>
      <w:r>
        <w:rPr>
          <w:spacing w:val="-1"/>
          <w:vertAlign w:val="baseline"/>
        </w:rPr>
        <w:t> </w:t>
      </w:r>
      <w:r>
        <w:rPr>
          <w:vertAlign w:val="baseline"/>
        </w:rPr>
        <w:t>as</w:t>
      </w:r>
      <w:r>
        <w:rPr>
          <w:spacing w:val="-1"/>
          <w:vertAlign w:val="baseline"/>
        </w:rPr>
        <w:t> </w:t>
      </w:r>
      <w:r>
        <w:rPr>
          <w:vertAlign w:val="baseline"/>
        </w:rPr>
        <w:t>they</w:t>
      </w:r>
      <w:r>
        <w:rPr>
          <w:spacing w:val="-1"/>
          <w:vertAlign w:val="baseline"/>
        </w:rPr>
        <w:t> </w:t>
      </w:r>
      <w:r>
        <w:rPr>
          <w:vertAlign w:val="baseline"/>
        </w:rPr>
        <w:t>were</w:t>
      </w:r>
      <w:r>
        <w:rPr>
          <w:spacing w:val="-1"/>
          <w:vertAlign w:val="baseline"/>
        </w:rPr>
        <w:t> </w:t>
      </w:r>
      <w:r>
        <w:rPr>
          <w:vertAlign w:val="baseline"/>
        </w:rPr>
        <w:t>to</w:t>
      </w:r>
      <w:r>
        <w:rPr>
          <w:spacing w:val="-1"/>
          <w:vertAlign w:val="baseline"/>
        </w:rPr>
        <w:t> </w:t>
      </w:r>
      <w:r>
        <w:rPr>
          <w:vertAlign w:val="baseline"/>
        </w:rPr>
        <w:t>make</w:t>
      </w:r>
      <w:r>
        <w:rPr>
          <w:spacing w:val="-1"/>
          <w:vertAlign w:val="baseline"/>
        </w:rPr>
        <w:t> </w:t>
      </w:r>
      <w:r>
        <w:rPr>
          <w:vertAlign w:val="baseline"/>
        </w:rPr>
        <w:t>such</w:t>
      </w:r>
      <w:r>
        <w:rPr>
          <w:spacing w:val="-1"/>
          <w:vertAlign w:val="baseline"/>
        </w:rPr>
        <w:t> </w:t>
      </w:r>
      <w:r>
        <w:rPr>
          <w:vertAlign w:val="baseline"/>
        </w:rPr>
        <w:t>an</w:t>
      </w:r>
      <w:r>
        <w:rPr>
          <w:spacing w:val="-1"/>
          <w:vertAlign w:val="baseline"/>
        </w:rPr>
        <w:t> </w:t>
      </w:r>
      <w:r>
        <w:rPr>
          <w:vertAlign w:val="baseline"/>
        </w:rPr>
        <w:t>estimate.</w:t>
      </w:r>
      <w:r>
        <w:rPr>
          <w:spacing w:val="-2"/>
          <w:vertAlign w:val="baseline"/>
        </w:rPr>
        <w:t> </w:t>
      </w:r>
      <w:r>
        <w:rPr>
          <w:color w:val="005DA1"/>
          <w:u w:val="single" w:color="005DA1"/>
          <w:vertAlign w:val="superscript"/>
        </w:rPr>
        <w:t>436</w:t>
      </w:r>
      <w:r>
        <w:rPr>
          <w:color w:val="005DA1"/>
          <w:spacing w:val="-1"/>
          <w:vertAlign w:val="baseline"/>
        </w:rPr>
        <w:t> </w:t>
      </w:r>
      <w:r>
        <w:rPr>
          <w:vertAlign w:val="baseline"/>
        </w:rPr>
        <w:t>Similarly,</w:t>
      </w:r>
      <w:r>
        <w:rPr>
          <w:spacing w:val="-1"/>
          <w:vertAlign w:val="baseline"/>
        </w:rPr>
        <w:t> </w:t>
      </w:r>
      <w:r>
        <w:rPr>
          <w:vertAlign w:val="baseline"/>
        </w:rPr>
        <w:t>it</w:t>
      </w:r>
      <w:r>
        <w:rPr>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held </w:t>
      </w:r>
      <w:bookmarkStart w:name="_bookmark740" w:id="742"/>
      <w:bookmarkEnd w:id="742"/>
      <w:r>
        <w:rPr>
          <w:vertAlign w:val="baseline"/>
        </w:rPr>
        <w:t>that</w:t>
      </w:r>
      <w:r>
        <w:rPr>
          <w:vertAlign w:val="baseline"/>
        </w:rPr>
        <w:t> a special relationship existed between a landlord and a tenant as a result of pre-contractual discussion during which the landlord assured the tenant that he would keep the premises insured </w:t>
      </w:r>
      <w:r>
        <w:rPr>
          <w:color w:val="005DA1"/>
          <w:u w:val="single" w:color="005DA1"/>
          <w:vertAlign w:val="superscript"/>
        </w:rPr>
        <w:t>437</w:t>
      </w:r>
      <w:r>
        <w:rPr>
          <w:vertAlign w:val="baseline"/>
        </w:rPr>
        <w:t>; but it was also held in this case that the duty was only a duty not to give misleading information, and </w:t>
      </w:r>
      <w:bookmarkStart w:name="_bookmark741" w:id="743"/>
      <w:bookmarkEnd w:id="743"/>
      <w:r>
        <w:rPr>
          <w:vertAlign w:val="baseline"/>
        </w:rPr>
        <w:t>did</w:t>
      </w:r>
      <w:r>
        <w:rPr>
          <w:vertAlign w:val="baseline"/>
        </w:rPr>
        <w:t> not extend to requiring the landlord to exercise care not to allow the insurance to expire unrenewed without informing the tenant. </w:t>
      </w:r>
      <w:r>
        <w:rPr>
          <w:color w:val="005DA1"/>
          <w:u w:val="single" w:color="005DA1"/>
          <w:vertAlign w:val="superscript"/>
        </w:rPr>
        <w:t>438</w:t>
      </w:r>
      <w:r>
        <w:rPr>
          <w:color w:val="005DA1"/>
          <w:vertAlign w:val="baseline"/>
        </w:rPr>
        <w:t> </w:t>
      </w:r>
      <w:r>
        <w:rPr>
          <w:vertAlign w:val="baseline"/>
        </w:rPr>
        <w:t>On the other hand, it has been held that a special relationship existed between an astute and experienced business woman and an insurance company with whom she was contemplating investing over £90,000 in a property bond; and in this case it was held that the consequential duty of care required the defendants’ agent to give the plaintiff an adequate</w:t>
      </w:r>
      <w:r>
        <w:rPr>
          <w:spacing w:val="73"/>
          <w:vertAlign w:val="baseline"/>
        </w:rPr>
        <w:t> </w:t>
      </w:r>
      <w:r>
        <w:rPr>
          <w:vertAlign w:val="baseline"/>
        </w:rPr>
        <w:t>explanation</w:t>
      </w:r>
      <w:r>
        <w:rPr>
          <w:spacing w:val="73"/>
          <w:vertAlign w:val="baseline"/>
        </w:rPr>
        <w:t> </w:t>
      </w:r>
      <w:r>
        <w:rPr>
          <w:vertAlign w:val="baseline"/>
        </w:rPr>
        <w:t>of</w:t>
      </w:r>
      <w:r>
        <w:rPr>
          <w:spacing w:val="73"/>
          <w:vertAlign w:val="baseline"/>
        </w:rPr>
        <w:t> </w:t>
      </w:r>
      <w:r>
        <w:rPr>
          <w:vertAlign w:val="baseline"/>
        </w:rPr>
        <w:t>the</w:t>
      </w:r>
      <w:r>
        <w:rPr>
          <w:spacing w:val="73"/>
          <w:vertAlign w:val="baseline"/>
        </w:rPr>
        <w:t> </w:t>
      </w:r>
      <w:r>
        <w:rPr>
          <w:vertAlign w:val="baseline"/>
        </w:rPr>
        <w:t>nature</w:t>
      </w:r>
      <w:r>
        <w:rPr>
          <w:spacing w:val="73"/>
          <w:vertAlign w:val="baseline"/>
        </w:rPr>
        <w:t> </w:t>
      </w:r>
      <w:r>
        <w:rPr>
          <w:vertAlign w:val="baseline"/>
        </w:rPr>
        <w:t>of</w:t>
      </w:r>
      <w:r>
        <w:rPr>
          <w:spacing w:val="73"/>
          <w:vertAlign w:val="baseline"/>
        </w:rPr>
        <w:t> </w:t>
      </w:r>
      <w:r>
        <w:rPr>
          <w:vertAlign w:val="baseline"/>
        </w:rPr>
        <w:t>property</w:t>
      </w:r>
      <w:r>
        <w:rPr>
          <w:spacing w:val="73"/>
          <w:vertAlign w:val="baseline"/>
        </w:rPr>
        <w:t> </w:t>
      </w:r>
      <w:r>
        <w:rPr>
          <w:vertAlign w:val="baseline"/>
        </w:rPr>
        <w:t>bonds,</w:t>
      </w:r>
      <w:r>
        <w:rPr>
          <w:spacing w:val="73"/>
          <w:vertAlign w:val="baseline"/>
        </w:rPr>
        <w:t> </w:t>
      </w:r>
      <w:r>
        <w:rPr>
          <w:vertAlign w:val="baseline"/>
        </w:rPr>
        <w:t>and</w:t>
      </w:r>
      <w:r>
        <w:rPr>
          <w:spacing w:val="73"/>
          <w:vertAlign w:val="baseline"/>
        </w:rPr>
        <w:t> </w:t>
      </w:r>
      <w:r>
        <w:rPr>
          <w:vertAlign w:val="baseline"/>
        </w:rPr>
        <w:t>was</w:t>
      </w:r>
      <w:r>
        <w:rPr>
          <w:spacing w:val="73"/>
          <w:vertAlign w:val="baseline"/>
        </w:rPr>
        <w:t> </w:t>
      </w:r>
      <w:r>
        <w:rPr>
          <w:vertAlign w:val="baseline"/>
        </w:rPr>
        <w:t>not</w:t>
      </w:r>
      <w:r>
        <w:rPr>
          <w:spacing w:val="73"/>
          <w:vertAlign w:val="baseline"/>
        </w:rPr>
        <w:t> </w:t>
      </w:r>
      <w:r>
        <w:rPr>
          <w:vertAlign w:val="baseline"/>
        </w:rPr>
        <w:t>merely</w:t>
      </w:r>
      <w:r>
        <w:rPr>
          <w:spacing w:val="73"/>
          <w:vertAlign w:val="baseline"/>
        </w:rPr>
        <w:t> </w:t>
      </w:r>
      <w:r>
        <w:rPr>
          <w:vertAlign w:val="baseline"/>
        </w:rPr>
        <w:t>a</w:t>
      </w:r>
      <w:r>
        <w:rPr>
          <w:spacing w:val="73"/>
          <w:vertAlign w:val="baseline"/>
        </w:rPr>
        <w:t> </w:t>
      </w:r>
      <w:r>
        <w:rPr>
          <w:vertAlign w:val="baseline"/>
        </w:rPr>
        <w:t>duty</w:t>
      </w:r>
      <w:r>
        <w:rPr>
          <w:spacing w:val="73"/>
          <w:vertAlign w:val="baseline"/>
        </w:rPr>
        <w:t> </w:t>
      </w:r>
      <w:r>
        <w:rPr>
          <w:vertAlign w:val="baseline"/>
        </w:rPr>
        <w:t>to</w:t>
      </w:r>
      <w:r>
        <w:rPr>
          <w:spacing w:val="73"/>
          <w:vertAlign w:val="baseline"/>
        </w:rPr>
        <w:t> </w:t>
      </w:r>
      <w:r>
        <w:rPr>
          <w:spacing w:val="-2"/>
          <w:vertAlign w:val="baseline"/>
        </w:rPr>
        <w:t>avoid</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4" w:right="167"/>
        <w:jc w:val="both"/>
      </w:pPr>
      <w:bookmarkStart w:name="_bookmark742" w:id="744"/>
      <w:bookmarkEnd w:id="744"/>
      <w:r>
        <w:rPr/>
      </w:r>
      <w:bookmarkStart w:name="_bookmark743" w:id="745"/>
      <w:bookmarkEnd w:id="745"/>
      <w:r>
        <w:rPr/>
      </w:r>
      <w:r>
        <w:rPr/>
        <w:t>misrepresentation.</w:t>
      </w:r>
      <w:r>
        <w:rPr>
          <w:spacing w:val="-2"/>
        </w:rPr>
        <w:t> </w:t>
      </w:r>
      <w:r>
        <w:rPr>
          <w:color w:val="005DA1"/>
          <w:u w:val="single" w:color="005DA1"/>
          <w:vertAlign w:val="superscript"/>
        </w:rPr>
        <w:t>439</w:t>
      </w:r>
      <w:r>
        <w:rPr>
          <w:color w:val="005DA1"/>
          <w:spacing w:val="-2"/>
          <w:vertAlign w:val="baseline"/>
        </w:rPr>
        <w:t> </w:t>
      </w:r>
      <w:r>
        <w:rPr>
          <w:vertAlign w:val="baseline"/>
        </w:rPr>
        <w:t>An</w:t>
      </w:r>
      <w:r>
        <w:rPr>
          <w:spacing w:val="-2"/>
          <w:vertAlign w:val="baseline"/>
        </w:rPr>
        <w:t> </w:t>
      </w:r>
      <w:r>
        <w:rPr>
          <w:vertAlign w:val="baseline"/>
        </w:rPr>
        <w:t>estate</w:t>
      </w:r>
      <w:r>
        <w:rPr>
          <w:spacing w:val="-2"/>
          <w:vertAlign w:val="baseline"/>
        </w:rPr>
        <w:t> </w:t>
      </w:r>
      <w:r>
        <w:rPr>
          <w:vertAlign w:val="baseline"/>
        </w:rPr>
        <w:t>agent</w:t>
      </w:r>
      <w:r>
        <w:rPr>
          <w:spacing w:val="-2"/>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liable</w:t>
      </w:r>
      <w:r>
        <w:rPr>
          <w:spacing w:val="-2"/>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customer</w:t>
      </w:r>
      <w:r>
        <w:rPr>
          <w:spacing w:val="-2"/>
          <w:vertAlign w:val="baseline"/>
        </w:rPr>
        <w:t> </w:t>
      </w:r>
      <w:r>
        <w:rPr>
          <w:vertAlign w:val="baseline"/>
        </w:rPr>
        <w:t>who</w:t>
      </w:r>
      <w:r>
        <w:rPr>
          <w:spacing w:val="-2"/>
          <w:vertAlign w:val="baseline"/>
        </w:rPr>
        <w:t> </w:t>
      </w:r>
      <w:r>
        <w:rPr>
          <w:vertAlign w:val="baseline"/>
        </w:rPr>
        <w:t>purchases</w:t>
      </w:r>
      <w:r>
        <w:rPr>
          <w:spacing w:val="-2"/>
          <w:vertAlign w:val="baseline"/>
        </w:rPr>
        <w:t> </w:t>
      </w:r>
      <w:r>
        <w:rPr>
          <w:vertAlign w:val="baseline"/>
        </w:rPr>
        <w:t>a</w:t>
      </w:r>
      <w:r>
        <w:rPr>
          <w:spacing w:val="-2"/>
          <w:vertAlign w:val="baseline"/>
        </w:rPr>
        <w:t> </w:t>
      </w:r>
      <w:r>
        <w:rPr>
          <w:vertAlign w:val="baseline"/>
        </w:rPr>
        <w:t>house</w:t>
      </w:r>
      <w:r>
        <w:rPr>
          <w:spacing w:val="-2"/>
          <w:vertAlign w:val="baseline"/>
        </w:rPr>
        <w:t> </w:t>
      </w:r>
      <w:r>
        <w:rPr>
          <w:vertAlign w:val="baseline"/>
        </w:rPr>
        <w:t>in</w:t>
      </w:r>
      <w:r>
        <w:rPr>
          <w:spacing w:val="-2"/>
          <w:vertAlign w:val="baseline"/>
        </w:rPr>
        <w:t> </w:t>
      </w:r>
      <w:r>
        <w:rPr>
          <w:vertAlign w:val="baseline"/>
        </w:rPr>
        <w:t>reliance on a negligent misrepresentation. </w:t>
      </w:r>
      <w:r>
        <w:rPr>
          <w:color w:val="005DA1"/>
          <w:u w:val="single" w:color="005DA1"/>
          <w:vertAlign w:val="superscript"/>
        </w:rPr>
        <w:t>440</w:t>
      </w:r>
      <w:r>
        <w:rPr>
          <w:color w:val="005DA1"/>
          <w:vertAlign w:val="baseline"/>
        </w:rPr>
        <w:t> </w:t>
      </w:r>
      <w:r>
        <w:rPr>
          <w:vertAlign w:val="baseline"/>
        </w:rPr>
        <w:t>A Canadian case has held that a builder who provided an </w:t>
      </w:r>
      <w:bookmarkStart w:name="_bookmark744" w:id="746"/>
      <w:bookmarkEnd w:id="746"/>
      <w:r>
        <w:rPr>
          <w:vertAlign w:val="baseline"/>
        </w:rPr>
        <w:t>estimate</w:t>
      </w:r>
      <w:r>
        <w:rPr>
          <w:vertAlign w:val="baseline"/>
        </w:rPr>
        <w:t> as to the cost of building a house was under a duty to take care to see that the client</w:t>
      </w:r>
      <w:r>
        <w:rPr>
          <w:spacing w:val="80"/>
          <w:vertAlign w:val="baseline"/>
        </w:rPr>
        <w:t> </w:t>
      </w:r>
      <w:r>
        <w:rPr>
          <w:vertAlign w:val="baseline"/>
        </w:rPr>
        <w:t>realised that his estimate did not include his 15 per cent mark up. </w:t>
      </w:r>
      <w:r>
        <w:rPr>
          <w:color w:val="005DA1"/>
          <w:u w:val="single" w:color="005DA1"/>
          <w:vertAlign w:val="superscript"/>
        </w:rPr>
        <w:t>441</w:t>
      </w:r>
      <w:r>
        <w:rPr>
          <w:color w:val="005DA1"/>
          <w:vertAlign w:val="baseline"/>
        </w:rPr>
        <w:t> </w:t>
      </w:r>
      <w:r>
        <w:rPr>
          <w:vertAlign w:val="baseline"/>
        </w:rPr>
        <w:t>Sometimes even a failure to disclose may give rise to liability, but this will only be so if there has been a voluntary assumption of responsibility to disclose and the claimant has relied on it. There is no liability under the</w:t>
      </w:r>
      <w:r>
        <w:rPr>
          <w:spacing w:val="-1"/>
          <w:vertAlign w:val="baseline"/>
        </w:rPr>
        <w:t> </w:t>
      </w:r>
      <w:r>
        <w:rPr>
          <w:rFonts w:ascii="Arial"/>
          <w:i/>
          <w:vertAlign w:val="baseline"/>
        </w:rPr>
        <w:t>Hedley Byrne </w:t>
      </w:r>
      <w:bookmarkStart w:name="_bookmark745" w:id="747"/>
      <w:bookmarkEnd w:id="747"/>
      <w:r>
        <w:rPr>
          <w:rFonts w:ascii="Arial"/>
          <w:i/>
          <w:vertAlign w:val="baseline"/>
        </w:rPr>
      </w:r>
      <w:r>
        <w:rPr>
          <w:vertAlign w:val="baseline"/>
        </w:rPr>
        <w:t>principle</w:t>
      </w:r>
      <w:r>
        <w:rPr>
          <w:spacing w:val="80"/>
          <w:vertAlign w:val="baseline"/>
        </w:rPr>
        <w:t> </w:t>
      </w:r>
      <w:r>
        <w:rPr>
          <w:vertAlign w:val="baseline"/>
        </w:rPr>
        <w:t>simply</w:t>
      </w:r>
      <w:r>
        <w:rPr>
          <w:spacing w:val="80"/>
          <w:vertAlign w:val="baseline"/>
        </w:rPr>
        <w:t> </w:t>
      </w:r>
      <w:r>
        <w:rPr>
          <w:vertAlign w:val="baseline"/>
        </w:rPr>
        <w:t>because</w:t>
      </w:r>
      <w:r>
        <w:rPr>
          <w:spacing w:val="80"/>
          <w:vertAlign w:val="baseline"/>
        </w:rPr>
        <w:t> </w:t>
      </w:r>
      <w:r>
        <w:rPr>
          <w:vertAlign w:val="baseline"/>
        </w:rPr>
        <w:t>the</w:t>
      </w:r>
      <w:r>
        <w:rPr>
          <w:spacing w:val="80"/>
          <w:vertAlign w:val="baseline"/>
        </w:rPr>
        <w:t> </w:t>
      </w:r>
      <w:r>
        <w:rPr>
          <w:vertAlign w:val="baseline"/>
        </w:rPr>
        <w:t>contract</w:t>
      </w:r>
      <w:r>
        <w:rPr>
          <w:spacing w:val="80"/>
          <w:vertAlign w:val="baseline"/>
        </w:rPr>
        <w:t> </w:t>
      </w:r>
      <w:r>
        <w:rPr>
          <w:vertAlign w:val="baseline"/>
        </w:rPr>
        <w:t>was</w:t>
      </w:r>
      <w:r>
        <w:rPr>
          <w:spacing w:val="80"/>
          <w:vertAlign w:val="baseline"/>
        </w:rPr>
        <w:t> </w:t>
      </w:r>
      <w:r>
        <w:rPr>
          <w:vertAlign w:val="baseline"/>
        </w:rPr>
        <w:t>uberrimae</w:t>
      </w:r>
      <w:r>
        <w:rPr>
          <w:spacing w:val="80"/>
          <w:vertAlign w:val="baseline"/>
        </w:rPr>
        <w:t> </w:t>
      </w:r>
      <w:r>
        <w:rPr>
          <w:vertAlign w:val="baseline"/>
        </w:rPr>
        <w:t>fidei</w:t>
      </w:r>
      <w:r>
        <w:rPr>
          <w:spacing w:val="80"/>
          <w:vertAlign w:val="baseline"/>
        </w:rPr>
        <w:t> </w:t>
      </w:r>
      <w:r>
        <w:rPr>
          <w:vertAlign w:val="baseline"/>
        </w:rPr>
        <w:t>and</w:t>
      </w:r>
      <w:r>
        <w:rPr>
          <w:spacing w:val="80"/>
          <w:vertAlign w:val="baseline"/>
        </w:rPr>
        <w:t> </w:t>
      </w:r>
      <w:r>
        <w:rPr>
          <w:vertAlign w:val="baseline"/>
        </w:rPr>
        <w:t>thus</w:t>
      </w:r>
      <w:r>
        <w:rPr>
          <w:spacing w:val="80"/>
          <w:vertAlign w:val="baseline"/>
        </w:rPr>
        <w:t> </w:t>
      </w:r>
      <w:r>
        <w:rPr>
          <w:vertAlign w:val="baseline"/>
        </w:rPr>
        <w:t>could</w:t>
      </w:r>
      <w:r>
        <w:rPr>
          <w:spacing w:val="80"/>
          <w:vertAlign w:val="baseline"/>
        </w:rPr>
        <w:t> </w:t>
      </w:r>
      <w:r>
        <w:rPr>
          <w:vertAlign w:val="baseline"/>
        </w:rPr>
        <w:t>be</w:t>
      </w:r>
      <w:r>
        <w:rPr>
          <w:spacing w:val="80"/>
          <w:vertAlign w:val="baseline"/>
        </w:rPr>
        <w:t> </w:t>
      </w:r>
      <w:r>
        <w:rPr>
          <w:vertAlign w:val="baseline"/>
        </w:rPr>
        <w:t>avoided</w:t>
      </w:r>
      <w:r>
        <w:rPr>
          <w:spacing w:val="80"/>
          <w:vertAlign w:val="baseline"/>
        </w:rPr>
        <w:t> </w:t>
      </w:r>
      <w:r>
        <w:rPr>
          <w:vertAlign w:val="baseline"/>
        </w:rPr>
        <w:t>for non-disclosure of a material fact. </w:t>
      </w:r>
      <w:r>
        <w:rPr>
          <w:color w:val="005DA1"/>
          <w:u w:val="single" w:color="005DA1"/>
          <w:vertAlign w:val="superscript"/>
        </w:rPr>
        <w:t>442</w:t>
      </w:r>
    </w:p>
    <w:p>
      <w:pPr>
        <w:pStyle w:val="BodyText"/>
      </w:pPr>
    </w:p>
    <w:p>
      <w:pPr>
        <w:pStyle w:val="BodyText"/>
        <w:spacing w:before="35"/>
      </w:pPr>
    </w:p>
    <w:p>
      <w:pPr>
        <w:spacing w:before="0"/>
        <w:ind w:left="165" w:right="0" w:firstLine="0"/>
        <w:jc w:val="both"/>
        <w:rPr>
          <w:rFonts w:ascii="Arial"/>
          <w:b/>
          <w:sz w:val="18"/>
        </w:rPr>
      </w:pPr>
      <w:r>
        <w:rPr>
          <w:rFonts w:ascii="Arial"/>
          <w:b/>
          <w:sz w:val="18"/>
        </w:rPr>
        <w:t>Relationship between manufacturer and purchaser of </w:t>
      </w:r>
      <w:r>
        <w:rPr>
          <w:rFonts w:ascii="Arial"/>
          <w:b/>
          <w:spacing w:val="-2"/>
          <w:sz w:val="18"/>
        </w:rPr>
        <w:t>goods</w:t>
      </w:r>
    </w:p>
    <w:p>
      <w:pPr>
        <w:pStyle w:val="BodyText"/>
        <w:spacing w:before="41"/>
        <w:rPr>
          <w:rFonts w:ascii="Arial"/>
          <w:b/>
          <w:sz w:val="18"/>
        </w:rPr>
      </w:pPr>
    </w:p>
    <w:p>
      <w:pPr>
        <w:pStyle w:val="Heading2"/>
        <w:spacing w:before="1"/>
      </w:pPr>
      <w:r>
        <w:rPr/>
        <w:t>7-</w:t>
      </w:r>
      <w:r>
        <w:rPr>
          <w:spacing w:val="-5"/>
        </w:rPr>
        <w:t>094</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746" w:id="748"/>
      <w:bookmarkEnd w:id="748"/>
      <w:r>
        <w:rPr>
          <w:rFonts w:ascii="Times New Roman" w:hAnsi="Times New Roman"/>
          <w:spacing w:val="24"/>
        </w:rPr>
      </w:r>
      <w:r>
        <w:rPr/>
        <w:t>In </w:t>
      </w:r>
      <w:r>
        <w:rPr>
          <w:rFonts w:ascii="Arial" w:hAnsi="Arial"/>
          <w:i/>
        </w:rPr>
        <w:t>Lambert v Lewis </w:t>
      </w:r>
      <w:r>
        <w:rPr>
          <w:color w:val="005DA1"/>
          <w:u w:val="single" w:color="005DA1"/>
          <w:vertAlign w:val="superscript"/>
        </w:rPr>
        <w:t>443</w:t>
      </w:r>
      <w:r>
        <w:rPr>
          <w:color w:val="005DA1"/>
          <w:vertAlign w:val="baseline"/>
        </w:rPr>
        <w:t> </w:t>
      </w:r>
      <w:r>
        <w:rPr>
          <w:vertAlign w:val="baseline"/>
        </w:rPr>
        <w:t>it was held by the Court of Appeal that a person who purchases goods in reliance on statements in a manufacturer’s promotional literature is not, for that reason alone, entitled to claim that a special relationship exists as a result of which the manufacturer may be held liable for negligent statements in the literature. The mere making of a serious statement with the intent that it should be relied upon was not enough, said the court, to create a special relationship. It may </w:t>
      </w:r>
      <w:r>
        <w:rPr>
          <w:vertAlign w:val="baseline"/>
        </w:rPr>
        <w:t>seem regrettable that a manufacturer is under no duty of care with respect to statements made in his </w:t>
      </w:r>
      <w:bookmarkStart w:name="_bookmark747" w:id="749"/>
      <w:bookmarkEnd w:id="749"/>
      <w:r>
        <w:rPr>
          <w:vertAlign w:val="baseline"/>
        </w:rPr>
        <w:t>brochures</w:t>
      </w:r>
      <w:r>
        <w:rPr>
          <w:vertAlign w:val="baseline"/>
        </w:rPr>
        <w:t> and advertising leaflets which are plainly designed to influence buyers. However, the decision itself seems consistent with the later decision in </w:t>
      </w:r>
      <w:r>
        <w:rPr>
          <w:rFonts w:ascii="Arial" w:hAnsi="Arial"/>
          <w:i/>
          <w:vertAlign w:val="baseline"/>
        </w:rPr>
        <w:t>Caparo Industries Plc v Dickman </w:t>
      </w:r>
      <w:r>
        <w:rPr>
          <w:color w:val="005DA1"/>
          <w:u w:val="single" w:color="005DA1"/>
          <w:vertAlign w:val="superscript"/>
        </w:rPr>
        <w:t>444</w:t>
      </w:r>
      <w:r>
        <w:rPr>
          <w:color w:val="005DA1"/>
          <w:vertAlign w:val="baseline"/>
        </w:rPr>
        <w:t> </w:t>
      </w:r>
      <w:r>
        <w:rPr>
          <w:vertAlign w:val="baseline"/>
        </w:rPr>
        <w:t>that there will be no liability in tort for negligent misrepresentation unless the maker of the statement knew that the statement would be communicated to the person relying on it either as an individual or as a member of a specified class, specifically in connection with a particular transaction or a transaction of a particular kind. In most cases a manufacturer will not know the purchaser’s identity other than as a member of a very broad class and will know the purchaser’s purposes only in general terms. If the </w:t>
      </w:r>
      <w:bookmarkStart w:name="_bookmark748" w:id="750"/>
      <w:bookmarkEnd w:id="750"/>
      <w:r>
        <w:rPr>
          <w:vertAlign w:val="baseline"/>
        </w:rPr>
        <w:t>manufacturer</w:t>
      </w:r>
      <w:r>
        <w:rPr>
          <w:spacing w:val="-1"/>
          <w:vertAlign w:val="baseline"/>
        </w:rPr>
        <w:t> </w:t>
      </w:r>
      <w:r>
        <w:rPr>
          <w:vertAlign w:val="baseline"/>
        </w:rPr>
        <w:t>knows</w:t>
      </w:r>
      <w:r>
        <w:rPr>
          <w:spacing w:val="-1"/>
          <w:vertAlign w:val="baseline"/>
        </w:rPr>
        <w:t> </w:t>
      </w:r>
      <w:r>
        <w:rPr>
          <w:vertAlign w:val="baseline"/>
        </w:rPr>
        <w:t>both</w:t>
      </w:r>
      <w:r>
        <w:rPr>
          <w:spacing w:val="-1"/>
          <w:vertAlign w:val="baseline"/>
        </w:rPr>
        <w:t> </w:t>
      </w:r>
      <w:r>
        <w:rPr>
          <w:vertAlign w:val="baseline"/>
        </w:rPr>
        <w:t>the</w:t>
      </w:r>
      <w:r>
        <w:rPr>
          <w:spacing w:val="-1"/>
          <w:vertAlign w:val="baseline"/>
        </w:rPr>
        <w:t> </w:t>
      </w:r>
      <w:r>
        <w:rPr>
          <w:vertAlign w:val="baseline"/>
        </w:rPr>
        <w:t>purchaser’s</w:t>
      </w:r>
      <w:r>
        <w:rPr>
          <w:spacing w:val="-1"/>
          <w:vertAlign w:val="baseline"/>
        </w:rPr>
        <w:t> </w:t>
      </w:r>
      <w:r>
        <w:rPr>
          <w:vertAlign w:val="baseline"/>
        </w:rPr>
        <w:t>identity</w:t>
      </w:r>
      <w:r>
        <w:rPr>
          <w:spacing w:val="-1"/>
          <w:vertAlign w:val="baseline"/>
        </w:rPr>
        <w:t> </w:t>
      </w:r>
      <w:r>
        <w:rPr>
          <w:vertAlign w:val="baseline"/>
        </w:rPr>
        <w:t>and</w:t>
      </w:r>
      <w:r>
        <w:rPr>
          <w:spacing w:val="-1"/>
          <w:vertAlign w:val="baseline"/>
        </w:rPr>
        <w:t> </w:t>
      </w:r>
      <w:r>
        <w:rPr>
          <w:vertAlign w:val="baseline"/>
        </w:rPr>
        <w:t>his</w:t>
      </w:r>
      <w:r>
        <w:rPr>
          <w:spacing w:val="-1"/>
          <w:vertAlign w:val="baseline"/>
        </w:rPr>
        <w:t> </w:t>
      </w:r>
      <w:r>
        <w:rPr>
          <w:vertAlign w:val="baseline"/>
        </w:rPr>
        <w:t>purposes</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submitted</w:t>
      </w:r>
      <w:r>
        <w:rPr>
          <w:spacing w:val="-1"/>
          <w:vertAlign w:val="baseline"/>
        </w:rPr>
        <w:t> </w:t>
      </w:r>
      <w:r>
        <w:rPr>
          <w:vertAlign w:val="baseline"/>
        </w:rPr>
        <w:t>that</w:t>
      </w:r>
      <w:r>
        <w:rPr>
          <w:spacing w:val="-1"/>
          <w:vertAlign w:val="baseline"/>
        </w:rPr>
        <w:t> </w:t>
      </w:r>
      <w:r>
        <w:rPr>
          <w:vertAlign w:val="baseline"/>
        </w:rPr>
        <w:t>there</w:t>
      </w:r>
      <w:r>
        <w:rPr>
          <w:spacing w:val="-1"/>
          <w:vertAlign w:val="baseline"/>
        </w:rPr>
        <w:t> </w:t>
      </w:r>
      <w:r>
        <w:rPr>
          <w:vertAlign w:val="baseline"/>
        </w:rPr>
        <w:t>may</w:t>
      </w:r>
      <w:r>
        <w:rPr>
          <w:spacing w:val="-1"/>
          <w:vertAlign w:val="baseline"/>
        </w:rPr>
        <w:t> </w:t>
      </w:r>
      <w:r>
        <w:rPr>
          <w:vertAlign w:val="baseline"/>
        </w:rPr>
        <w:t>be</w:t>
      </w:r>
      <w:r>
        <w:rPr>
          <w:spacing w:val="-1"/>
          <w:vertAlign w:val="baseline"/>
        </w:rPr>
        <w:t> </w:t>
      </w:r>
      <w:r>
        <w:rPr>
          <w:vertAlign w:val="baseline"/>
        </w:rPr>
        <w:t>a </w:t>
      </w:r>
      <w:bookmarkStart w:name="_bookmark749" w:id="751"/>
      <w:bookmarkEnd w:id="751"/>
      <w:r>
        <w:rPr>
          <w:vertAlign w:val="baseline"/>
        </w:rPr>
        <w:t>special</w:t>
      </w:r>
      <w:r>
        <w:rPr>
          <w:vertAlign w:val="baseline"/>
        </w:rPr>
        <w:t> relationship. </w:t>
      </w:r>
      <w:r>
        <w:rPr>
          <w:color w:val="005DA1"/>
          <w:u w:val="single" w:color="005DA1"/>
          <w:vertAlign w:val="superscript"/>
        </w:rPr>
        <w:t>445</w:t>
      </w:r>
      <w:r>
        <w:rPr>
          <w:color w:val="005DA1"/>
          <w:vertAlign w:val="baseline"/>
        </w:rPr>
        <w:t> </w:t>
      </w:r>
      <w:r>
        <w:rPr>
          <w:vertAlign w:val="baseline"/>
        </w:rPr>
        <w:t>There is authority for saying that in such circumstances information given by the manufacturer may constitute a contractual warranty. </w:t>
      </w:r>
      <w:r>
        <w:rPr>
          <w:color w:val="005DA1"/>
          <w:u w:val="single" w:color="005DA1"/>
          <w:vertAlign w:val="superscript"/>
        </w:rPr>
        <w:t>446</w:t>
      </w:r>
      <w:r>
        <w:rPr>
          <w:color w:val="005DA1"/>
          <w:vertAlign w:val="baseline"/>
        </w:rPr>
        <w:t> </w:t>
      </w:r>
      <w:r>
        <w:rPr>
          <w:vertAlign w:val="baseline"/>
        </w:rPr>
        <w:t>There is some ground for suggesting that even in the absence of direct contact between manufacturer and purchaser, statements in the </w:t>
      </w:r>
      <w:bookmarkStart w:name="_bookmark750" w:id="752"/>
      <w:bookmarkEnd w:id="752"/>
      <w:r>
        <w:rPr>
          <w:vertAlign w:val="baseline"/>
        </w:rPr>
        <w:t>manufacturer’s</w:t>
      </w:r>
      <w:r>
        <w:rPr>
          <w:vertAlign w:val="baseline"/>
        </w:rPr>
        <w:t> literature should be treated as warranties, rendering the manufacturer strictly liable, </w:t>
      </w:r>
      <w:bookmarkStart w:name="_bookmark751" w:id="753"/>
      <w:bookmarkEnd w:id="753"/>
      <w:r>
        <w:rPr>
          <w:vertAlign w:val="baseline"/>
        </w:rPr>
        <w:t>and</w:t>
      </w:r>
      <w:r>
        <w:rPr>
          <w:vertAlign w:val="baseline"/>
        </w:rPr>
        <w:t> not merely liable for negligence: this is certainly the position in American law, </w:t>
      </w:r>
      <w:r>
        <w:rPr>
          <w:color w:val="005DA1"/>
          <w:u w:val="single" w:color="005DA1"/>
          <w:vertAlign w:val="superscript"/>
        </w:rPr>
        <w:t>447</w:t>
      </w:r>
      <w:r>
        <w:rPr>
          <w:color w:val="005DA1"/>
          <w:vertAlign w:val="baseline"/>
        </w:rPr>
        <w:t> </w:t>
      </w:r>
      <w:r>
        <w:rPr>
          <w:vertAlign w:val="baseline"/>
        </w:rPr>
        <w:t>but in English law such statements are said not to be warranties unless there is an intent to warrant. </w:t>
      </w:r>
      <w:r>
        <w:rPr>
          <w:color w:val="005DA1"/>
          <w:u w:val="single" w:color="005DA1"/>
          <w:vertAlign w:val="superscript"/>
        </w:rPr>
        <w:t>448</w:t>
      </w:r>
      <w:r>
        <w:rPr>
          <w:color w:val="005DA1"/>
          <w:vertAlign w:val="baseline"/>
        </w:rPr>
        <w:t> </w:t>
      </w:r>
      <w:r>
        <w:rPr>
          <w:vertAlign w:val="baseline"/>
        </w:rPr>
        <w:t>However, </w:t>
      </w:r>
      <w:bookmarkStart w:name="_bookmark752" w:id="754"/>
      <w:bookmarkEnd w:id="754"/>
      <w:r>
        <w:rPr>
          <w:vertAlign w:val="baseline"/>
        </w:rPr>
        <w:t>where</w:t>
      </w:r>
      <w:r>
        <w:rPr>
          <w:vertAlign w:val="baseline"/>
        </w:rPr>
        <w:t> goods are sold to a person dealing as a consumer, public statements made by the producer</w:t>
      </w:r>
      <w:r>
        <w:rPr>
          <w:spacing w:val="40"/>
          <w:vertAlign w:val="baseline"/>
        </w:rPr>
        <w:t> </w:t>
      </w:r>
      <w:r>
        <w:rPr>
          <w:vertAlign w:val="baseline"/>
        </w:rPr>
        <w:t>are relevant to whether the goods are of satisfactory quality </w:t>
      </w:r>
      <w:r>
        <w:rPr>
          <w:color w:val="005DA1"/>
          <w:u w:val="single" w:color="005DA1"/>
          <w:vertAlign w:val="superscript"/>
        </w:rPr>
        <w:t>449</w:t>
      </w:r>
      <w:r>
        <w:rPr>
          <w:vertAlign w:val="baseline"/>
        </w:rPr>
        <w:t>; and where goods are sold or supplied </w:t>
      </w:r>
      <w:bookmarkStart w:name="_bookmark753" w:id="755"/>
      <w:bookmarkEnd w:id="755"/>
      <w:r>
        <w:rPr>
          <w:vertAlign w:val="baseline"/>
        </w:rPr>
        <w:t>to</w:t>
      </w:r>
      <w:r>
        <w:rPr>
          <w:vertAlign w:val="baseline"/>
        </w:rPr>
        <w:t> a consumer with a “consumer guarantee”, under the Sale and Supply of Goods to Consumers </w:t>
      </w:r>
      <w:bookmarkStart w:name="_bookmark754" w:id="756"/>
      <w:bookmarkEnd w:id="756"/>
      <w:r>
        <w:rPr>
          <w:vertAlign w:val="baseline"/>
        </w:rPr>
        <w:t>Regulations</w:t>
      </w:r>
      <w:r>
        <w:rPr>
          <w:vertAlign w:val="baseline"/>
        </w:rPr>
        <w:t> 2002 </w:t>
      </w:r>
      <w:r>
        <w:rPr>
          <w:color w:val="005DA1"/>
          <w:u w:val="single" w:color="005DA1"/>
          <w:vertAlign w:val="superscript"/>
        </w:rPr>
        <w:t>450</w:t>
      </w:r>
      <w:r>
        <w:rPr>
          <w:color w:val="005DA1"/>
          <w:vertAlign w:val="baseline"/>
        </w:rPr>
        <w:t> </w:t>
      </w:r>
      <w:r>
        <w:rPr>
          <w:vertAlign w:val="baseline"/>
        </w:rPr>
        <w:t>and (for contracts made on or after October 1, 2015) the Consumer Rights Act </w:t>
      </w:r>
      <w:bookmarkStart w:name="_bookmark755" w:id="757"/>
      <w:bookmarkEnd w:id="757"/>
      <w:r>
        <w:rPr>
          <w:vertAlign w:val="baseline"/>
        </w:rPr>
        <w:t>2015,</w:t>
      </w:r>
      <w:r>
        <w:rPr>
          <w:vertAlign w:val="baseline"/>
        </w:rPr>
        <w:t> </w:t>
      </w:r>
      <w:r>
        <w:rPr>
          <w:color w:val="005DA1"/>
          <w:u w:val="single" w:color="005DA1"/>
          <w:vertAlign w:val="superscript"/>
        </w:rPr>
        <w:t>451</w:t>
      </w:r>
      <w:r>
        <w:rPr>
          <w:color w:val="005DA1"/>
          <w:vertAlign w:val="baseline"/>
        </w:rPr>
        <w:t> </w:t>
      </w:r>
      <w:r>
        <w:rPr>
          <w:vertAlign w:val="baseline"/>
        </w:rPr>
        <w:t>the consumer guarantee “takes effect … as a contractual obligation owed by the guarantor under the conditions set out in the guarantee statement and associated advertising”. </w:t>
      </w:r>
      <w:r>
        <w:rPr>
          <w:color w:val="005DA1"/>
          <w:u w:val="single" w:color="005DA1"/>
          <w:vertAlign w:val="superscript"/>
        </w:rPr>
        <w:t>452</w:t>
      </w:r>
    </w:p>
    <w:p>
      <w:pPr>
        <w:pStyle w:val="BodyText"/>
      </w:pPr>
    </w:p>
    <w:p>
      <w:pPr>
        <w:pStyle w:val="BodyText"/>
        <w:spacing w:before="29"/>
      </w:pPr>
    </w:p>
    <w:p>
      <w:pPr>
        <w:spacing w:before="0"/>
        <w:ind w:left="165" w:right="0" w:firstLine="0"/>
        <w:jc w:val="both"/>
        <w:rPr>
          <w:rFonts w:ascii="Arial"/>
          <w:b/>
          <w:sz w:val="18"/>
        </w:rPr>
      </w:pPr>
      <w:r>
        <w:rPr>
          <w:rFonts w:ascii="Arial"/>
          <w:b/>
          <w:sz w:val="18"/>
        </w:rPr>
        <w:t>Where negotiations do not lead to </w:t>
      </w:r>
      <w:r>
        <w:rPr>
          <w:rFonts w:ascii="Arial"/>
          <w:b/>
          <w:spacing w:val="-2"/>
          <w:sz w:val="18"/>
        </w:rPr>
        <w:t>contract</w:t>
      </w:r>
    </w:p>
    <w:p>
      <w:pPr>
        <w:pStyle w:val="BodyText"/>
        <w:spacing w:before="41"/>
        <w:rPr>
          <w:rFonts w:ascii="Arial"/>
          <w:b/>
          <w:sz w:val="18"/>
        </w:rPr>
      </w:pPr>
    </w:p>
    <w:p>
      <w:pPr>
        <w:pStyle w:val="Heading2"/>
      </w:pPr>
      <w:r>
        <w:rPr/>
        <w:t>7-</w:t>
      </w:r>
      <w:r>
        <w:rPr>
          <w:spacing w:val="-5"/>
        </w:rPr>
        <w:t>095</w:t>
      </w:r>
    </w:p>
    <w:p>
      <w:pPr>
        <w:pStyle w:val="BodyText"/>
        <w:spacing w:line="235" w:lineRule="auto" w:before="203"/>
        <w:ind w:left="165" w:right="167"/>
        <w:jc w:val="both"/>
        <w:rPr>
          <w:rFonts w:ascii="Arial"/>
          <w:i/>
        </w:rPr>
      </w:pPr>
      <w:r>
        <w:rPr/>
        <w:t>In principle there seems no reason why a special relationship should not be held to exist </w:t>
      </w:r>
      <w:r>
        <w:rPr/>
        <w:t>between </w:t>
      </w:r>
      <w:bookmarkStart w:name="_bookmark756" w:id="758"/>
      <w:bookmarkEnd w:id="758"/>
      <w:r>
        <w:rPr/>
        <w:t>parties</w:t>
      </w:r>
      <w:r>
        <w:rPr/>
        <w:t> negotiating a contract even where the negotiations break down so that no contract is</w:t>
      </w:r>
      <w:r>
        <w:rPr>
          <w:spacing w:val="80"/>
        </w:rPr>
        <w:t> </w:t>
      </w:r>
      <w:r>
        <w:rPr/>
        <w:t>ultimately</w:t>
      </w:r>
      <w:r>
        <w:rPr>
          <w:spacing w:val="2"/>
        </w:rPr>
        <w:t> </w:t>
      </w:r>
      <w:r>
        <w:rPr/>
        <w:t>made.</w:t>
      </w:r>
      <w:r>
        <w:rPr>
          <w:spacing w:val="2"/>
        </w:rPr>
        <w:t> </w:t>
      </w:r>
      <w:r>
        <w:rPr/>
        <w:t>Indeed,</w:t>
      </w:r>
      <w:r>
        <w:rPr>
          <w:spacing w:val="2"/>
        </w:rPr>
        <w:t> </w:t>
      </w:r>
      <w:r>
        <w:rPr/>
        <w:t>this</w:t>
      </w:r>
      <w:r>
        <w:rPr>
          <w:spacing w:val="2"/>
        </w:rPr>
        <w:t> </w:t>
      </w:r>
      <w:r>
        <w:rPr/>
        <w:t>seems</w:t>
      </w:r>
      <w:r>
        <w:rPr>
          <w:spacing w:val="2"/>
        </w:rPr>
        <w:t> </w:t>
      </w:r>
      <w:r>
        <w:rPr/>
        <w:t>to</w:t>
      </w:r>
      <w:r>
        <w:rPr>
          <w:spacing w:val="2"/>
        </w:rPr>
        <w:t> </w:t>
      </w:r>
      <w:r>
        <w:rPr/>
        <w:t>have</w:t>
      </w:r>
      <w:r>
        <w:rPr>
          <w:spacing w:val="2"/>
        </w:rPr>
        <w:t> </w:t>
      </w:r>
      <w:r>
        <w:rPr/>
        <w:t>been</w:t>
      </w:r>
      <w:r>
        <w:rPr>
          <w:spacing w:val="2"/>
        </w:rPr>
        <w:t> </w:t>
      </w:r>
      <w:r>
        <w:rPr/>
        <w:t>the</w:t>
      </w:r>
      <w:r>
        <w:rPr>
          <w:spacing w:val="2"/>
        </w:rPr>
        <w:t> </w:t>
      </w:r>
      <w:r>
        <w:rPr/>
        <w:t>basis</w:t>
      </w:r>
      <w:r>
        <w:rPr>
          <w:spacing w:val="2"/>
        </w:rPr>
        <w:t> </w:t>
      </w:r>
      <w:r>
        <w:rPr/>
        <w:t>of</w:t>
      </w:r>
      <w:r>
        <w:rPr>
          <w:spacing w:val="2"/>
        </w:rPr>
        <w:t> </w:t>
      </w:r>
      <w:r>
        <w:rPr/>
        <w:t>the</w:t>
      </w:r>
      <w:r>
        <w:rPr>
          <w:spacing w:val="2"/>
        </w:rPr>
        <w:t> </w:t>
      </w:r>
      <w:r>
        <w:rPr/>
        <w:t>decision</w:t>
      </w:r>
      <w:r>
        <w:rPr>
          <w:spacing w:val="2"/>
        </w:rPr>
        <w:t> </w:t>
      </w:r>
      <w:r>
        <w:rPr/>
        <w:t>in</w:t>
      </w:r>
      <w:r>
        <w:rPr>
          <w:spacing w:val="1"/>
        </w:rPr>
        <w:t> </w:t>
      </w:r>
      <w:r>
        <w:rPr>
          <w:rFonts w:ascii="Arial"/>
          <w:i/>
        </w:rPr>
        <w:t>Box</w:t>
      </w:r>
      <w:r>
        <w:rPr>
          <w:rFonts w:ascii="Arial"/>
          <w:i/>
          <w:spacing w:val="2"/>
        </w:rPr>
        <w:t> </w:t>
      </w:r>
      <w:r>
        <w:rPr>
          <w:rFonts w:ascii="Arial"/>
          <w:i/>
        </w:rPr>
        <w:t>v</w:t>
      </w:r>
      <w:r>
        <w:rPr>
          <w:rFonts w:ascii="Arial"/>
          <w:i/>
          <w:spacing w:val="2"/>
        </w:rPr>
        <w:t> </w:t>
      </w:r>
      <w:r>
        <w:rPr>
          <w:rFonts w:ascii="Arial"/>
          <w:i/>
        </w:rPr>
        <w:t>Midland</w:t>
      </w:r>
      <w:r>
        <w:rPr>
          <w:rFonts w:ascii="Arial"/>
          <w:i/>
          <w:spacing w:val="2"/>
        </w:rPr>
        <w:t> </w:t>
      </w:r>
      <w:r>
        <w:rPr>
          <w:rFonts w:ascii="Arial"/>
          <w:i/>
        </w:rPr>
        <w:t>Bank</w:t>
      </w:r>
      <w:r>
        <w:rPr>
          <w:rFonts w:ascii="Arial"/>
          <w:i/>
          <w:spacing w:val="2"/>
        </w:rPr>
        <w:t> </w:t>
      </w:r>
      <w:r>
        <w:rPr>
          <w:rFonts w:ascii="Arial"/>
          <w:i/>
          <w:spacing w:val="-5"/>
        </w:rPr>
        <w:t>Ltd</w:t>
      </w:r>
    </w:p>
    <w:p>
      <w:pPr>
        <w:pStyle w:val="BodyText"/>
        <w:spacing w:line="235" w:lineRule="auto"/>
        <w:ind w:left="165" w:right="167"/>
        <w:jc w:val="both"/>
      </w:pPr>
      <w:r>
        <w:rPr>
          <w:color w:val="005DA1"/>
          <w:u w:val="single" w:color="005DA1"/>
          <w:vertAlign w:val="superscript"/>
        </w:rPr>
        <w:t>453</w:t>
      </w:r>
      <w:r>
        <w:rPr>
          <w:color w:val="005DA1"/>
          <w:vertAlign w:val="baseline"/>
        </w:rPr>
        <w:t> </w:t>
      </w:r>
      <w:r>
        <w:rPr>
          <w:vertAlign w:val="baseline"/>
        </w:rPr>
        <w:t>where the plaintiff sought a large loan from his bankers. His bank manager told him that the </w:t>
      </w:r>
      <w:r>
        <w:rPr>
          <w:vertAlign w:val="baseline"/>
        </w:rPr>
        <w:t>loan would need approval from head office but gave the plaintiff to think that this was a formality; in the meantime, the plaintiff was permitted overdraft facilities. The loan application was refused by head office and the plaintiff claimed that he had suffered loss through being led to believe that the loan would be forthcoming. This claim was, in part, upheld by Lloyd J. on the basis that the bank manager owed a duty not to mislead the plaintiff by careless advice as to the probable outcome of his loan </w:t>
      </w:r>
      <w:r>
        <w:rPr>
          <w:spacing w:val="-2"/>
          <w:vertAlign w:val="baseline"/>
        </w:rPr>
        <w:t>application.</w:t>
      </w:r>
    </w:p>
    <w:p>
      <w:pPr>
        <w:pStyle w:val="BodyText"/>
      </w:pPr>
    </w:p>
    <w:p>
      <w:pPr>
        <w:pStyle w:val="BodyText"/>
        <w:spacing w:before="35"/>
      </w:pPr>
    </w:p>
    <w:p>
      <w:pPr>
        <w:spacing w:before="0"/>
        <w:ind w:left="165" w:right="0" w:firstLine="0"/>
        <w:jc w:val="left"/>
        <w:rPr>
          <w:rFonts w:ascii="Arial"/>
          <w:b/>
          <w:sz w:val="18"/>
        </w:rPr>
      </w:pPr>
      <w:r>
        <w:rPr>
          <w:rFonts w:ascii="Arial"/>
          <w:b/>
          <w:sz w:val="18"/>
        </w:rPr>
        <w:t>Special relationship between parties already in contractual </w:t>
      </w:r>
      <w:r>
        <w:rPr>
          <w:rFonts w:ascii="Arial"/>
          <w:b/>
          <w:spacing w:val="-2"/>
          <w:sz w:val="18"/>
        </w:rPr>
        <w:t>relationship</w:t>
      </w:r>
    </w:p>
    <w:p>
      <w:pPr>
        <w:spacing w:after="0"/>
        <w:jc w:val="left"/>
        <w:rPr>
          <w:rFonts w:ascii="Arial"/>
          <w:b/>
          <w:sz w:val="18"/>
        </w:rPr>
        <w:sectPr>
          <w:pgSz w:w="11900" w:h="16840"/>
          <w:pgMar w:header="971" w:footer="0" w:top="1160" w:bottom="280" w:left="1275" w:right="1275"/>
        </w:sectPr>
      </w:pPr>
    </w:p>
    <w:p>
      <w:pPr>
        <w:pStyle w:val="BodyText"/>
        <w:spacing w:before="130"/>
        <w:rPr>
          <w:rFonts w:ascii="Arial"/>
          <w:b/>
          <w:sz w:val="24"/>
        </w:rPr>
      </w:pPr>
    </w:p>
    <w:p>
      <w:pPr>
        <w:pStyle w:val="Heading2"/>
      </w:pPr>
      <w:r>
        <w:rPr/>
        <w:t>7-</w:t>
      </w:r>
      <w:r>
        <w:rPr>
          <w:spacing w:val="-5"/>
        </w:rPr>
        <w:t>096</w:t>
      </w:r>
    </w:p>
    <w:p>
      <w:pPr>
        <w:pStyle w:val="BodyText"/>
        <w:spacing w:line="235" w:lineRule="auto" w:before="203"/>
        <w:ind w:left="165" w:right="167"/>
        <w:jc w:val="both"/>
      </w:pPr>
      <w:r>
        <w:rPr/>
        <w:t>It is now clear that one party to a contractual relationship may owe duties in tort to the other; </w:t>
      </w:r>
      <w:r>
        <w:rPr/>
        <w:t>these </w:t>
      </w:r>
      <w:bookmarkStart w:name="_bookmark757" w:id="759"/>
      <w:bookmarkEnd w:id="759"/>
      <w:r>
        <w:rPr/>
        <w:t>duties</w:t>
      </w:r>
      <w:r>
        <w:rPr/>
        <w:t> may overlap with contractual duties, and where this is the case the claimant may have alternative causes of action in contract and in tort. </w:t>
      </w:r>
      <w:r>
        <w:rPr>
          <w:color w:val="005DA1"/>
          <w:u w:val="single" w:color="005DA1"/>
          <w:vertAlign w:val="superscript"/>
        </w:rPr>
        <w:t>454</w:t>
      </w:r>
      <w:r>
        <w:rPr>
          <w:color w:val="005DA1"/>
          <w:vertAlign w:val="baseline"/>
        </w:rPr>
        <w:t> </w:t>
      </w:r>
      <w:r>
        <w:rPr>
          <w:vertAlign w:val="baseline"/>
        </w:rPr>
        <w:t>It has also been held that damages may be </w:t>
      </w:r>
      <w:bookmarkStart w:name="_bookmark758" w:id="760"/>
      <w:bookmarkEnd w:id="760"/>
      <w:r>
        <w:rPr>
          <w:vertAlign w:val="baseline"/>
        </w:rPr>
        <w:t>obtainable</w:t>
      </w:r>
      <w:r>
        <w:rPr>
          <w:vertAlign w:val="baseline"/>
        </w:rPr>
        <w:t> for misrepresentations made in the course of renegotiating a contract already in existence, under the Misrepresentation Act, </w:t>
      </w:r>
      <w:r>
        <w:rPr>
          <w:color w:val="005DA1"/>
          <w:u w:val="single" w:color="005DA1"/>
          <w:vertAlign w:val="superscript"/>
        </w:rPr>
        <w:t>455</w:t>
      </w:r>
      <w:r>
        <w:rPr>
          <w:color w:val="005DA1"/>
          <w:vertAlign w:val="baseline"/>
        </w:rPr>
        <w:t> </w:t>
      </w:r>
      <w:r>
        <w:rPr>
          <w:vertAlign w:val="baseline"/>
        </w:rPr>
        <w:t>and there seems no reason to doubt that in an appropriate case liability could also arise under the </w:t>
      </w:r>
      <w:r>
        <w:rPr>
          <w:rFonts w:ascii="Arial"/>
          <w:i/>
          <w:vertAlign w:val="baseline"/>
        </w:rPr>
        <w:t>Hedley Byrne </w:t>
      </w:r>
      <w:r>
        <w:rPr>
          <w:vertAlign w:val="baseline"/>
        </w:rPr>
        <w:t>principle in such a situation.</w:t>
      </w:r>
    </w:p>
    <w:p>
      <w:pPr>
        <w:pStyle w:val="BodyText"/>
      </w:pPr>
    </w:p>
    <w:p>
      <w:pPr>
        <w:pStyle w:val="BodyText"/>
        <w:spacing w:before="36"/>
      </w:pPr>
    </w:p>
    <w:p>
      <w:pPr>
        <w:spacing w:before="0"/>
        <w:ind w:left="165" w:right="0" w:firstLine="0"/>
        <w:jc w:val="both"/>
        <w:rPr>
          <w:rFonts w:ascii="Arial"/>
          <w:b/>
          <w:sz w:val="18"/>
        </w:rPr>
      </w:pPr>
      <w:r>
        <w:rPr>
          <w:rFonts w:ascii="Arial"/>
          <w:b/>
          <w:sz w:val="18"/>
        </w:rPr>
        <w:t>Damages at common </w:t>
      </w:r>
      <w:r>
        <w:rPr>
          <w:rFonts w:ascii="Arial"/>
          <w:b/>
          <w:spacing w:val="-5"/>
          <w:sz w:val="18"/>
        </w:rPr>
        <w:t>law</w:t>
      </w:r>
    </w:p>
    <w:p>
      <w:pPr>
        <w:pStyle w:val="BodyText"/>
        <w:spacing w:before="41"/>
        <w:rPr>
          <w:rFonts w:ascii="Arial"/>
          <w:b/>
          <w:sz w:val="18"/>
        </w:rPr>
      </w:pPr>
    </w:p>
    <w:p>
      <w:pPr>
        <w:pStyle w:val="Heading2"/>
      </w:pPr>
      <w:r>
        <w:rPr/>
        <w:t>7-</w:t>
      </w:r>
      <w:r>
        <w:rPr>
          <w:spacing w:val="-5"/>
        </w:rPr>
        <w:t>097</w:t>
      </w:r>
    </w:p>
    <w:p>
      <w:pPr>
        <w:pStyle w:val="BodyText"/>
        <w:spacing w:line="235" w:lineRule="auto" w:before="203"/>
        <w:ind w:left="164" w:right="168"/>
        <w:jc w:val="both"/>
      </w:pPr>
      <w:bookmarkStart w:name="_bookmark759" w:id="761"/>
      <w:bookmarkEnd w:id="761"/>
      <w:r>
        <w:rPr/>
      </w:r>
      <w:bookmarkStart w:name="_bookmark760" w:id="762"/>
      <w:bookmarkEnd w:id="762"/>
      <w:r>
        <w:rPr/>
      </w:r>
      <w:r>
        <w:rPr/>
        <w:t>Damages for negligent misrepresentation at common law will naturally be on the tortious measure</w:t>
      </w:r>
      <w:r>
        <w:rPr>
          <w:spacing w:val="-1"/>
        </w:rPr>
        <w:t> </w:t>
      </w:r>
      <w:r>
        <w:rPr>
          <w:color w:val="005DA1"/>
          <w:u w:val="single" w:color="005DA1"/>
          <w:vertAlign w:val="superscript"/>
        </w:rPr>
        <w:t>456</w:t>
      </w:r>
      <w:r>
        <w:rPr>
          <w:vertAlign w:val="baseline"/>
        </w:rPr>
        <w:t>; but</w:t>
      </w:r>
      <w:r>
        <w:rPr>
          <w:spacing w:val="-1"/>
          <w:vertAlign w:val="baseline"/>
        </w:rPr>
        <w:t> </w:t>
      </w:r>
      <w:r>
        <w:rPr>
          <w:vertAlign w:val="baseline"/>
        </w:rPr>
        <w:t>the</w:t>
      </w:r>
      <w:r>
        <w:rPr>
          <w:spacing w:val="-1"/>
          <w:vertAlign w:val="baseline"/>
        </w:rPr>
        <w:t> </w:t>
      </w:r>
      <w:r>
        <w:rPr>
          <w:vertAlign w:val="baseline"/>
        </w:rPr>
        <w:t>usual</w:t>
      </w:r>
      <w:r>
        <w:rPr>
          <w:spacing w:val="-1"/>
          <w:vertAlign w:val="baseline"/>
        </w:rPr>
        <w:t> </w:t>
      </w:r>
      <w:r>
        <w:rPr>
          <w:vertAlign w:val="baseline"/>
        </w:rPr>
        <w:t>rules</w:t>
      </w:r>
      <w:r>
        <w:rPr>
          <w:spacing w:val="-1"/>
          <w:vertAlign w:val="baseline"/>
        </w:rPr>
        <w:t> </w:t>
      </w:r>
      <w:r>
        <w:rPr>
          <w:vertAlign w:val="baseline"/>
        </w:rPr>
        <w:t>on</w:t>
      </w:r>
      <w:r>
        <w:rPr>
          <w:spacing w:val="-1"/>
          <w:vertAlign w:val="baseline"/>
        </w:rPr>
        <w:t> </w:t>
      </w:r>
      <w:r>
        <w:rPr>
          <w:vertAlign w:val="baseline"/>
        </w:rPr>
        <w:t>remoteness</w:t>
      </w:r>
      <w:r>
        <w:rPr>
          <w:spacing w:val="-2"/>
          <w:vertAlign w:val="baseline"/>
        </w:rPr>
        <w:t> </w:t>
      </w:r>
      <w:r>
        <w:rPr>
          <w:color w:val="005DA1"/>
          <w:u w:val="single" w:color="005DA1"/>
          <w:vertAlign w:val="superscript"/>
        </w:rPr>
        <w:t>457</w:t>
      </w:r>
      <w:r>
        <w:rPr>
          <w:color w:val="005DA1"/>
          <w:spacing w:val="-1"/>
          <w:vertAlign w:val="baseline"/>
        </w:rPr>
        <w:t> </w:t>
      </w:r>
      <w:r>
        <w:rPr>
          <w:vertAlign w:val="baseline"/>
        </w:rPr>
        <w:t>and</w:t>
      </w:r>
      <w:r>
        <w:rPr>
          <w:spacing w:val="-1"/>
          <w:vertAlign w:val="baseline"/>
        </w:rPr>
        <w:t> </w:t>
      </w:r>
      <w:r>
        <w:rPr>
          <w:vertAlign w:val="baseline"/>
        </w:rPr>
        <w:t>contributory</w:t>
      </w:r>
      <w:r>
        <w:rPr>
          <w:spacing w:val="-1"/>
          <w:vertAlign w:val="baseline"/>
        </w:rPr>
        <w:t> </w:t>
      </w:r>
      <w:r>
        <w:rPr>
          <w:vertAlign w:val="baseline"/>
        </w:rPr>
        <w:t>negligence</w:t>
      </w:r>
      <w:r>
        <w:rPr>
          <w:spacing w:val="-2"/>
          <w:vertAlign w:val="baseline"/>
        </w:rPr>
        <w:t> </w:t>
      </w:r>
      <w:r>
        <w:rPr>
          <w:color w:val="005DA1"/>
          <w:u w:val="single" w:color="005DA1"/>
          <w:vertAlign w:val="superscript"/>
        </w:rPr>
        <w:t>458</w:t>
      </w:r>
      <w:r>
        <w:rPr>
          <w:color w:val="005DA1"/>
          <w:spacing w:val="-1"/>
          <w:vertAlign w:val="baseline"/>
        </w:rPr>
        <w:t> </w:t>
      </w:r>
      <w:r>
        <w:rPr>
          <w:vertAlign w:val="baseline"/>
        </w:rPr>
        <w:t>will</w:t>
      </w:r>
      <w:r>
        <w:rPr>
          <w:spacing w:val="-1"/>
          <w:vertAlign w:val="baseline"/>
        </w:rPr>
        <w:t> </w:t>
      </w:r>
      <w:r>
        <w:rPr>
          <w:vertAlign w:val="baseline"/>
        </w:rPr>
        <w:t>apply.</w:t>
      </w:r>
      <w:r>
        <w:rPr>
          <w:spacing w:val="-1"/>
          <w:vertAlign w:val="baseline"/>
        </w:rPr>
        <w:t> </w:t>
      </w:r>
      <w:r>
        <w:rPr>
          <w:vertAlign w:val="baseline"/>
        </w:rPr>
        <w:t>So</w:t>
      </w:r>
      <w:r>
        <w:rPr>
          <w:spacing w:val="-1"/>
          <w:vertAlign w:val="baseline"/>
        </w:rPr>
        <w:t> </w:t>
      </w:r>
      <w:r>
        <w:rPr>
          <w:vertAlign w:val="baseline"/>
        </w:rPr>
        <w:t>will</w:t>
      </w:r>
      <w:r>
        <w:rPr>
          <w:spacing w:val="-1"/>
          <w:vertAlign w:val="baseline"/>
        </w:rPr>
        <w:t> </w:t>
      </w:r>
      <w:r>
        <w:rPr>
          <w:vertAlign w:val="baseline"/>
        </w:rPr>
        <w:t>the</w:t>
      </w:r>
      <w:r>
        <w:rPr>
          <w:spacing w:val="-1"/>
          <w:vertAlign w:val="baseline"/>
        </w:rPr>
        <w:t> </w:t>
      </w:r>
      <w:r>
        <w:rPr>
          <w:vertAlign w:val="baseline"/>
        </w:rPr>
        <w:t>restrictions </w:t>
      </w:r>
      <w:bookmarkStart w:name="_bookmark761" w:id="763"/>
      <w:bookmarkEnd w:id="763"/>
      <w:r>
        <w:rPr>
          <w:vertAlign w:val="baseline"/>
        </w:rPr>
        <w:t>on</w:t>
      </w:r>
      <w:r>
        <w:rPr>
          <w:vertAlign w:val="baseline"/>
        </w:rPr>
        <w:t> a negligent valuer’s liability for subsequent falls in the value of the property set down in </w:t>
      </w:r>
      <w:r>
        <w:rPr>
          <w:rFonts w:ascii="Arial" w:hAnsi="Arial"/>
          <w:i/>
          <w:vertAlign w:val="baseline"/>
        </w:rPr>
        <w:t>South Australia Asset Management Corp v York Montague Ltd</w:t>
      </w:r>
      <w:r>
        <w:rPr>
          <w:vertAlign w:val="baseline"/>
        </w:rPr>
        <w:t>. </w:t>
      </w:r>
      <w:r>
        <w:rPr>
          <w:color w:val="005DA1"/>
          <w:u w:val="single" w:color="005DA1"/>
          <w:vertAlign w:val="superscript"/>
        </w:rPr>
        <w:t>459</w:t>
      </w:r>
    </w:p>
    <w:p>
      <w:pPr>
        <w:pStyle w:val="BodyText"/>
      </w:pPr>
    </w:p>
    <w:p>
      <w:pPr>
        <w:pStyle w:val="BodyText"/>
        <w:spacing w:before="37"/>
      </w:pPr>
    </w:p>
    <w:p>
      <w:pPr>
        <w:spacing w:before="0"/>
        <w:ind w:left="165" w:right="0" w:firstLine="0"/>
        <w:jc w:val="both"/>
        <w:rPr>
          <w:rFonts w:ascii="Arial"/>
          <w:b/>
          <w:sz w:val="18"/>
        </w:rPr>
      </w:pPr>
      <w:r>
        <w:rPr>
          <w:rFonts w:ascii="Arial"/>
          <w:b/>
          <w:sz w:val="18"/>
        </w:rPr>
        <w:t>Other legislative provisions creating liability for negligent misrepresentations: financial </w:t>
      </w:r>
      <w:r>
        <w:rPr>
          <w:rFonts w:ascii="Arial"/>
          <w:b/>
          <w:spacing w:val="-2"/>
          <w:sz w:val="18"/>
        </w:rPr>
        <w:t>services</w:t>
      </w:r>
    </w:p>
    <w:p>
      <w:pPr>
        <w:pStyle w:val="BodyText"/>
        <w:spacing w:before="41"/>
        <w:rPr>
          <w:rFonts w:ascii="Arial"/>
          <w:b/>
          <w:sz w:val="18"/>
        </w:rPr>
      </w:pPr>
    </w:p>
    <w:p>
      <w:pPr>
        <w:pStyle w:val="Heading2"/>
        <w:spacing w:before="1"/>
      </w:pPr>
      <w:r>
        <w:rPr/>
        <w:t>7-</w:t>
      </w:r>
      <w:r>
        <w:rPr>
          <w:spacing w:val="-5"/>
        </w:rPr>
        <w:t>098</w:t>
      </w:r>
    </w:p>
    <w:p>
      <w:pPr>
        <w:pStyle w:val="BodyText"/>
        <w:spacing w:before="88"/>
        <w:rPr>
          <w:rFonts w:ascii="Arial"/>
          <w:b/>
        </w:rPr>
      </w:pPr>
    </w:p>
    <w:p>
      <w:pPr>
        <w:pStyle w:val="BodyText"/>
        <w:ind w:left="165"/>
        <w:jc w:val="both"/>
      </w:pPr>
      <w:r>
        <w:rPr>
          <w:position w:val="-2"/>
        </w:rPr>
        <w:drawing>
          <wp:inline distT="0" distB="0" distL="0" distR="0">
            <wp:extent cx="107988" cy="107988"/>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01"/>
        </w:rPr>
        <w:t> </w:t>
      </w:r>
      <w:bookmarkStart w:name="_bookmark762" w:id="764"/>
      <w:bookmarkEnd w:id="764"/>
      <w:r>
        <w:rPr>
          <w:rFonts w:ascii="Times New Roman"/>
          <w:spacing w:val="1"/>
        </w:rPr>
      </w:r>
      <w:r>
        <w:rPr/>
        <w:t>There</w:t>
      </w:r>
      <w:r>
        <w:rPr>
          <w:spacing w:val="75"/>
          <w:w w:val="150"/>
        </w:rPr>
        <w:t> </w:t>
      </w:r>
      <w:r>
        <w:rPr/>
        <w:t>are</w:t>
      </w:r>
      <w:r>
        <w:rPr>
          <w:spacing w:val="75"/>
          <w:w w:val="150"/>
        </w:rPr>
        <w:t> </w:t>
      </w:r>
      <w:r>
        <w:rPr/>
        <w:t>a</w:t>
      </w:r>
      <w:r>
        <w:rPr>
          <w:spacing w:val="75"/>
          <w:w w:val="150"/>
        </w:rPr>
        <w:t> </w:t>
      </w:r>
      <w:r>
        <w:rPr/>
        <w:t>number</w:t>
      </w:r>
      <w:r>
        <w:rPr>
          <w:spacing w:val="75"/>
          <w:w w:val="150"/>
        </w:rPr>
        <w:t> </w:t>
      </w:r>
      <w:r>
        <w:rPr/>
        <w:t>of</w:t>
      </w:r>
      <w:r>
        <w:rPr>
          <w:spacing w:val="75"/>
          <w:w w:val="150"/>
        </w:rPr>
        <w:t> </w:t>
      </w:r>
      <w:r>
        <w:rPr/>
        <w:t>legislative</w:t>
      </w:r>
      <w:r>
        <w:rPr>
          <w:spacing w:val="75"/>
          <w:w w:val="150"/>
        </w:rPr>
        <w:t> </w:t>
      </w:r>
      <w:r>
        <w:rPr/>
        <w:t>provisions</w:t>
      </w:r>
      <w:r>
        <w:rPr>
          <w:spacing w:val="75"/>
          <w:w w:val="150"/>
        </w:rPr>
        <w:t> </w:t>
      </w:r>
      <w:r>
        <w:rPr/>
        <w:t>that</w:t>
      </w:r>
      <w:r>
        <w:rPr>
          <w:spacing w:val="75"/>
          <w:w w:val="150"/>
        </w:rPr>
        <w:t> </w:t>
      </w:r>
      <w:r>
        <w:rPr/>
        <w:t>in</w:t>
      </w:r>
      <w:r>
        <w:rPr>
          <w:spacing w:val="75"/>
          <w:w w:val="150"/>
        </w:rPr>
        <w:t> </w:t>
      </w:r>
      <w:r>
        <w:rPr/>
        <w:t>effect</w:t>
      </w:r>
      <w:r>
        <w:rPr>
          <w:spacing w:val="75"/>
          <w:w w:val="150"/>
        </w:rPr>
        <w:t> </w:t>
      </w:r>
      <w:r>
        <w:rPr/>
        <w:t>create</w:t>
      </w:r>
      <w:r>
        <w:rPr>
          <w:spacing w:val="75"/>
          <w:w w:val="150"/>
        </w:rPr>
        <w:t> </w:t>
      </w:r>
      <w:r>
        <w:rPr/>
        <w:t>liability</w:t>
      </w:r>
      <w:r>
        <w:rPr>
          <w:spacing w:val="75"/>
          <w:w w:val="150"/>
        </w:rPr>
        <w:t> </w:t>
      </w:r>
      <w:r>
        <w:rPr/>
        <w:t>for</w:t>
      </w:r>
      <w:r>
        <w:rPr>
          <w:spacing w:val="75"/>
          <w:w w:val="150"/>
        </w:rPr>
        <w:t> </w:t>
      </w:r>
      <w:r>
        <w:rPr/>
        <w:t>negligent</w:t>
      </w:r>
    </w:p>
    <w:p>
      <w:pPr>
        <w:pStyle w:val="BodyText"/>
        <w:spacing w:line="235" w:lineRule="auto" w:before="119"/>
        <w:ind w:left="165" w:right="167"/>
        <w:jc w:val="both"/>
      </w:pPr>
      <w:r>
        <w:rPr/>
        <w:t>misrepresentation in particular circumstances. </w:t>
      </w:r>
      <w:r>
        <w:rPr>
          <w:color w:val="005DA1"/>
          <w:u w:val="single" w:color="005DA1"/>
          <w:vertAlign w:val="superscript"/>
        </w:rPr>
        <w:t>460</w:t>
      </w:r>
      <w:r>
        <w:rPr>
          <w:color w:val="005DA1"/>
          <w:spacing w:val="80"/>
          <w:w w:val="150"/>
          <w:vertAlign w:val="baseline"/>
        </w:rPr>
        <w:t> </w:t>
      </w:r>
      <w:r>
        <w:rPr>
          <w:color w:val="005DA1"/>
          <w:spacing w:val="13"/>
          <w:position w:val="-2"/>
          <w:vertAlign w:val="baseline"/>
        </w:rPr>
        <w:drawing>
          <wp:inline distT="0" distB="0" distL="0" distR="0">
            <wp:extent cx="107988" cy="107988"/>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3"/>
          <w:position w:val="-2"/>
          <w:vertAlign w:val="baseline"/>
        </w:rPr>
      </w:r>
      <w:r>
        <w:rPr>
          <w:rFonts w:ascii="Times New Roman"/>
          <w:color w:val="005DA1"/>
          <w:spacing w:val="12"/>
          <w:vertAlign w:val="baseline"/>
        </w:rPr>
        <w:t> </w:t>
      </w:r>
      <w:r>
        <w:rPr>
          <w:vertAlign w:val="baseline"/>
        </w:rPr>
        <w:t>For example, Financial Services and Markets </w:t>
      </w:r>
      <w:bookmarkStart w:name="_bookmark763" w:id="765"/>
      <w:bookmarkEnd w:id="765"/>
      <w:r>
        <w:rPr>
          <w:vertAlign w:val="baseline"/>
        </w:rPr>
        <w:t>Act</w:t>
      </w:r>
      <w:r>
        <w:rPr>
          <w:spacing w:val="10"/>
          <w:vertAlign w:val="baseline"/>
        </w:rPr>
        <w:t> </w:t>
      </w:r>
      <w:r>
        <w:rPr>
          <w:vertAlign w:val="baseline"/>
        </w:rPr>
        <w:t>2000</w:t>
      </w:r>
      <w:r>
        <w:rPr>
          <w:spacing w:val="10"/>
          <w:vertAlign w:val="baseline"/>
        </w:rPr>
        <w:t> </w:t>
      </w:r>
      <w:r>
        <w:rPr>
          <w:vertAlign w:val="baseline"/>
        </w:rPr>
        <w:t>Pt</w:t>
      </w:r>
      <w:r>
        <w:rPr>
          <w:spacing w:val="10"/>
          <w:vertAlign w:val="baseline"/>
        </w:rPr>
        <w:t> </w:t>
      </w:r>
      <w:r>
        <w:rPr>
          <w:vertAlign w:val="baseline"/>
        </w:rPr>
        <w:t>VI</w:t>
      </w:r>
      <w:r>
        <w:rPr>
          <w:spacing w:val="10"/>
          <w:vertAlign w:val="baseline"/>
        </w:rPr>
        <w:t> </w:t>
      </w:r>
      <w:r>
        <w:rPr>
          <w:vertAlign w:val="baseline"/>
        </w:rPr>
        <w:t>imposes</w:t>
      </w:r>
      <w:r>
        <w:rPr>
          <w:spacing w:val="10"/>
          <w:vertAlign w:val="baseline"/>
        </w:rPr>
        <w:t> </w:t>
      </w:r>
      <w:r>
        <w:rPr>
          <w:vertAlign w:val="baseline"/>
        </w:rPr>
        <w:t>stringent</w:t>
      </w:r>
      <w:r>
        <w:rPr>
          <w:spacing w:val="10"/>
          <w:vertAlign w:val="baseline"/>
        </w:rPr>
        <w:t> </w:t>
      </w:r>
      <w:r>
        <w:rPr>
          <w:vertAlign w:val="baseline"/>
        </w:rPr>
        <w:t>duties</w:t>
      </w:r>
      <w:r>
        <w:rPr>
          <w:spacing w:val="10"/>
          <w:vertAlign w:val="baseline"/>
        </w:rPr>
        <w:t> </w:t>
      </w:r>
      <w:r>
        <w:rPr>
          <w:vertAlign w:val="baseline"/>
        </w:rPr>
        <w:t>on</w:t>
      </w:r>
      <w:r>
        <w:rPr>
          <w:spacing w:val="10"/>
          <w:vertAlign w:val="baseline"/>
        </w:rPr>
        <w:t> </w:t>
      </w:r>
      <w:r>
        <w:rPr>
          <w:vertAlign w:val="baseline"/>
        </w:rPr>
        <w:t>persons</w:t>
      </w:r>
      <w:r>
        <w:rPr>
          <w:spacing w:val="10"/>
          <w:vertAlign w:val="baseline"/>
        </w:rPr>
        <w:t> </w:t>
      </w:r>
      <w:r>
        <w:rPr>
          <w:vertAlign w:val="baseline"/>
        </w:rPr>
        <w:t>responsible</w:t>
      </w:r>
      <w:r>
        <w:rPr>
          <w:spacing w:val="10"/>
          <w:vertAlign w:val="baseline"/>
        </w:rPr>
        <w:t> </w:t>
      </w:r>
      <w:r>
        <w:rPr>
          <w:vertAlign w:val="baseline"/>
        </w:rPr>
        <w:t>for</w:t>
      </w:r>
      <w:r>
        <w:rPr>
          <w:spacing w:val="10"/>
          <w:vertAlign w:val="baseline"/>
        </w:rPr>
        <w:t> </w:t>
      </w:r>
      <w:r>
        <w:rPr>
          <w:vertAlign w:val="baseline"/>
        </w:rPr>
        <w:t>listing</w:t>
      </w:r>
      <w:r>
        <w:rPr>
          <w:spacing w:val="10"/>
          <w:vertAlign w:val="baseline"/>
        </w:rPr>
        <w:t> </w:t>
      </w:r>
      <w:r>
        <w:rPr>
          <w:vertAlign w:val="baseline"/>
        </w:rPr>
        <w:t>particulars</w:t>
      </w:r>
      <w:r>
        <w:rPr>
          <w:spacing w:val="10"/>
          <w:vertAlign w:val="baseline"/>
        </w:rPr>
        <w:t> </w:t>
      </w:r>
      <w:r>
        <w:rPr>
          <w:vertAlign w:val="baseline"/>
        </w:rPr>
        <w:t>of</w:t>
      </w:r>
      <w:r>
        <w:rPr>
          <w:spacing w:val="10"/>
          <w:vertAlign w:val="baseline"/>
        </w:rPr>
        <w:t> </w:t>
      </w:r>
      <w:r>
        <w:rPr>
          <w:vertAlign w:val="baseline"/>
        </w:rPr>
        <w:t>securities</w:t>
      </w:r>
      <w:r>
        <w:rPr>
          <w:spacing w:val="10"/>
          <w:vertAlign w:val="baseline"/>
        </w:rPr>
        <w:t> </w:t>
      </w:r>
      <w:r>
        <w:rPr>
          <w:spacing w:val="-5"/>
          <w:vertAlign w:val="baseline"/>
        </w:rPr>
        <w:t>for</w:t>
      </w:r>
    </w:p>
    <w:p>
      <w:pPr>
        <w:pStyle w:val="BodyText"/>
        <w:spacing w:line="235" w:lineRule="auto" w:before="119"/>
        <w:ind w:left="165" w:right="167"/>
        <w:jc w:val="both"/>
      </w:pPr>
      <w:bookmarkStart w:name="_bookmark764" w:id="766"/>
      <w:bookmarkEnd w:id="766"/>
      <w:r>
        <w:rPr/>
      </w:r>
      <w:r>
        <w:rPr/>
        <w:t>admission to the Official List, and prospectuses. </w:t>
      </w:r>
      <w:r>
        <w:rPr>
          <w:color w:val="005DA1"/>
          <w:u w:val="single" w:color="005DA1"/>
          <w:vertAlign w:val="superscript"/>
        </w:rPr>
        <w:t>461</w:t>
      </w:r>
      <w:r>
        <w:rPr>
          <w:color w:val="005DA1"/>
          <w:spacing w:val="80"/>
          <w:vertAlign w:val="baseline"/>
        </w:rPr>
        <w:t> </w:t>
      </w:r>
      <w:r>
        <w:rPr>
          <w:color w:val="005DA1"/>
          <w:spacing w:val="22"/>
          <w:position w:val="-2"/>
          <w:vertAlign w:val="baseline"/>
        </w:rPr>
        <w:drawing>
          <wp:inline distT="0" distB="0" distL="0" distR="0">
            <wp:extent cx="107988" cy="107988"/>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color w:val="005DA1"/>
          <w:spacing w:val="-12"/>
          <w:vertAlign w:val="baseline"/>
        </w:rPr>
        <w:t> </w:t>
      </w:r>
      <w:r>
        <w:rPr>
          <w:vertAlign w:val="baseline"/>
        </w:rPr>
        <w:t>The legislation makes the person responsible liable to pay compensation to a person who has acquired securities to which the legislation </w:t>
      </w:r>
      <w:r>
        <w:rPr>
          <w:vertAlign w:val="baseline"/>
        </w:rPr>
        <w:t>applies,</w:t>
      </w:r>
      <w:r>
        <w:rPr>
          <w:spacing w:val="40"/>
          <w:vertAlign w:val="baseline"/>
        </w:rPr>
        <w:t> </w:t>
      </w:r>
      <w:r>
        <w:rPr>
          <w:color w:val="005DA1"/>
          <w:u w:val="single" w:color="005DA1"/>
          <w:vertAlign w:val="superscript"/>
        </w:rPr>
        <w:t>462</w:t>
      </w:r>
      <w:r>
        <w:rPr>
          <w:color w:val="005DA1"/>
          <w:spacing w:val="-2"/>
          <w:vertAlign w:val="baseline"/>
        </w:rPr>
        <w:t> </w:t>
      </w:r>
      <w:bookmarkStart w:name="_bookmark765" w:id="767"/>
      <w:bookmarkEnd w:id="767"/>
      <w:r>
        <w:rPr>
          <w:color w:val="005DA1"/>
          <w:spacing w:val="1"/>
          <w:vertAlign w:val="baseline"/>
        </w:rPr>
      </w:r>
      <w:r>
        <w:rPr>
          <w:vertAlign w:val="baseline"/>
        </w:rPr>
        <w:t>and</w:t>
      </w:r>
      <w:r>
        <w:rPr>
          <w:spacing w:val="-2"/>
          <w:vertAlign w:val="baseline"/>
        </w:rPr>
        <w:t> </w:t>
      </w:r>
      <w:r>
        <w:rPr>
          <w:vertAlign w:val="baseline"/>
        </w:rPr>
        <w:t>who</w:t>
      </w:r>
      <w:r>
        <w:rPr>
          <w:spacing w:val="-2"/>
          <w:vertAlign w:val="baseline"/>
        </w:rPr>
        <w:t> </w:t>
      </w:r>
      <w:r>
        <w:rPr>
          <w:vertAlign w:val="baseline"/>
        </w:rPr>
        <w:t>has</w:t>
      </w:r>
      <w:r>
        <w:rPr>
          <w:spacing w:val="-2"/>
          <w:vertAlign w:val="baseline"/>
        </w:rPr>
        <w:t> </w:t>
      </w:r>
      <w:r>
        <w:rPr>
          <w:vertAlign w:val="baseline"/>
        </w:rPr>
        <w:t>suffered</w:t>
      </w:r>
      <w:r>
        <w:rPr>
          <w:spacing w:val="-2"/>
          <w:vertAlign w:val="baseline"/>
        </w:rPr>
        <w:t> </w:t>
      </w:r>
      <w:r>
        <w:rPr>
          <w:vertAlign w:val="baseline"/>
        </w:rPr>
        <w:t>loss</w:t>
      </w:r>
      <w:r>
        <w:rPr>
          <w:spacing w:val="-2"/>
          <w:vertAlign w:val="baseline"/>
        </w:rPr>
        <w:t> </w:t>
      </w:r>
      <w:r>
        <w:rPr>
          <w:vertAlign w:val="baseline"/>
        </w:rPr>
        <w:t>as</w:t>
      </w:r>
      <w:r>
        <w:rPr>
          <w:spacing w:val="-2"/>
          <w:vertAlign w:val="baseline"/>
        </w:rPr>
        <w:t> </w:t>
      </w:r>
      <w:r>
        <w:rPr>
          <w:vertAlign w:val="baseline"/>
        </w:rPr>
        <w:t>the</w:t>
      </w:r>
      <w:r>
        <w:rPr>
          <w:spacing w:val="-2"/>
          <w:vertAlign w:val="baseline"/>
        </w:rPr>
        <w:t> </w:t>
      </w:r>
      <w:r>
        <w:rPr>
          <w:vertAlign w:val="baseline"/>
        </w:rPr>
        <w:t>result</w:t>
      </w:r>
      <w:r>
        <w:rPr>
          <w:spacing w:val="-2"/>
          <w:vertAlign w:val="baseline"/>
        </w:rPr>
        <w:t> </w:t>
      </w:r>
      <w:r>
        <w:rPr>
          <w:vertAlign w:val="baseline"/>
        </w:rPr>
        <w:t>of</w:t>
      </w:r>
      <w:r>
        <w:rPr>
          <w:spacing w:val="-2"/>
          <w:vertAlign w:val="baseline"/>
        </w:rPr>
        <w:t> </w:t>
      </w:r>
      <w:r>
        <w:rPr>
          <w:vertAlign w:val="baseline"/>
        </w:rPr>
        <w:t>any</w:t>
      </w:r>
      <w:r>
        <w:rPr>
          <w:spacing w:val="-2"/>
          <w:vertAlign w:val="baseline"/>
        </w:rPr>
        <w:t> </w:t>
      </w:r>
      <w:r>
        <w:rPr>
          <w:vertAlign w:val="baseline"/>
        </w:rPr>
        <w:t>untrue</w:t>
      </w:r>
      <w:r>
        <w:rPr>
          <w:spacing w:val="-2"/>
          <w:vertAlign w:val="baseline"/>
        </w:rPr>
        <w:t> </w:t>
      </w:r>
      <w:r>
        <w:rPr>
          <w:vertAlign w:val="baseline"/>
        </w:rPr>
        <w:t>or</w:t>
      </w:r>
      <w:r>
        <w:rPr>
          <w:spacing w:val="-2"/>
          <w:vertAlign w:val="baseline"/>
        </w:rPr>
        <w:t> </w:t>
      </w:r>
      <w:r>
        <w:rPr>
          <w:vertAlign w:val="baseline"/>
        </w:rPr>
        <w:t>misleading</w:t>
      </w:r>
      <w:r>
        <w:rPr>
          <w:spacing w:val="-2"/>
          <w:vertAlign w:val="baseline"/>
        </w:rPr>
        <w:t> </w:t>
      </w:r>
      <w:r>
        <w:rPr>
          <w:vertAlign w:val="baseline"/>
        </w:rPr>
        <w:t>statement</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prospectus</w:t>
      </w:r>
      <w:r>
        <w:rPr>
          <w:spacing w:val="-2"/>
          <w:vertAlign w:val="baseline"/>
        </w:rPr>
        <w:t> </w:t>
      </w:r>
      <w:r>
        <w:rPr>
          <w:vertAlign w:val="baseline"/>
        </w:rPr>
        <w:t>or, in the case of listing particulars, the particulars. </w:t>
      </w:r>
      <w:r>
        <w:rPr>
          <w:color w:val="005DA1"/>
          <w:u w:val="single" w:color="005DA1"/>
          <w:vertAlign w:val="superscript"/>
        </w:rPr>
        <w:t>463</w:t>
      </w:r>
      <w:r>
        <w:rPr>
          <w:color w:val="005DA1"/>
          <w:vertAlign w:val="baseline"/>
        </w:rPr>
        <w:t> </w:t>
      </w:r>
      <w:r>
        <w:rPr>
          <w:vertAlign w:val="baseline"/>
        </w:rPr>
        <w:t>It then provides a number of exceptions, one of which is that liability for the loss will not be incurred if the person responsible satisfies the court that,</w:t>
      </w:r>
      <w:r>
        <w:rPr>
          <w:spacing w:val="40"/>
          <w:vertAlign w:val="baseline"/>
        </w:rPr>
        <w:t> </w:t>
      </w:r>
      <w:bookmarkStart w:name="_bookmark766" w:id="768"/>
      <w:bookmarkEnd w:id="768"/>
      <w:r>
        <w:rPr>
          <w:vertAlign w:val="baseline"/>
        </w:rPr>
        <w:t>at</w:t>
      </w:r>
      <w:r>
        <w:rPr>
          <w:spacing w:val="12"/>
          <w:vertAlign w:val="baseline"/>
        </w:rPr>
        <w:t> </w:t>
      </w:r>
      <w:r>
        <w:rPr>
          <w:vertAlign w:val="baseline"/>
        </w:rPr>
        <w:t>the</w:t>
      </w:r>
      <w:r>
        <w:rPr>
          <w:spacing w:val="12"/>
          <w:vertAlign w:val="baseline"/>
        </w:rPr>
        <w:t> </w:t>
      </w:r>
      <w:r>
        <w:rPr>
          <w:vertAlign w:val="baseline"/>
        </w:rPr>
        <w:t>time</w:t>
      </w:r>
      <w:r>
        <w:rPr>
          <w:spacing w:val="12"/>
          <w:vertAlign w:val="baseline"/>
        </w:rPr>
        <w:t> </w:t>
      </w:r>
      <w:r>
        <w:rPr>
          <w:vertAlign w:val="baseline"/>
        </w:rPr>
        <w:t>when</w:t>
      </w:r>
      <w:r>
        <w:rPr>
          <w:spacing w:val="12"/>
          <w:vertAlign w:val="baseline"/>
        </w:rPr>
        <w:t> </w:t>
      </w:r>
      <w:r>
        <w:rPr>
          <w:vertAlign w:val="baseline"/>
        </w:rPr>
        <w:t>the</w:t>
      </w:r>
      <w:r>
        <w:rPr>
          <w:spacing w:val="12"/>
          <w:vertAlign w:val="baseline"/>
        </w:rPr>
        <w:t> </w:t>
      </w:r>
      <w:r>
        <w:rPr>
          <w:vertAlign w:val="baseline"/>
        </w:rPr>
        <w:t>particulars</w:t>
      </w:r>
      <w:r>
        <w:rPr>
          <w:spacing w:val="12"/>
          <w:vertAlign w:val="baseline"/>
        </w:rPr>
        <w:t> </w:t>
      </w:r>
      <w:r>
        <w:rPr>
          <w:vertAlign w:val="baseline"/>
        </w:rPr>
        <w:t>were</w:t>
      </w:r>
      <w:r>
        <w:rPr>
          <w:spacing w:val="12"/>
          <w:vertAlign w:val="baseline"/>
        </w:rPr>
        <w:t> </w:t>
      </w:r>
      <w:r>
        <w:rPr>
          <w:vertAlign w:val="baseline"/>
        </w:rPr>
        <w:t>submitted</w:t>
      </w:r>
      <w:r>
        <w:rPr>
          <w:spacing w:val="12"/>
          <w:vertAlign w:val="baseline"/>
        </w:rPr>
        <w:t> </w:t>
      </w:r>
      <w:r>
        <w:rPr>
          <w:vertAlign w:val="baseline"/>
        </w:rPr>
        <w:t>to</w:t>
      </w:r>
      <w:r>
        <w:rPr>
          <w:spacing w:val="12"/>
          <w:vertAlign w:val="baseline"/>
        </w:rPr>
        <w:t> </w:t>
      </w:r>
      <w:r>
        <w:rPr>
          <w:vertAlign w:val="baseline"/>
        </w:rPr>
        <w:t>the</w:t>
      </w:r>
      <w:r>
        <w:rPr>
          <w:spacing w:val="12"/>
          <w:vertAlign w:val="baseline"/>
        </w:rPr>
        <w:t> </w:t>
      </w:r>
      <w:r>
        <w:rPr>
          <w:vertAlign w:val="baseline"/>
        </w:rPr>
        <w:t>relevant</w:t>
      </w:r>
      <w:r>
        <w:rPr>
          <w:spacing w:val="12"/>
          <w:vertAlign w:val="baseline"/>
        </w:rPr>
        <w:t> </w:t>
      </w:r>
      <w:r>
        <w:rPr>
          <w:vertAlign w:val="baseline"/>
        </w:rPr>
        <w:t>authority</w:t>
      </w:r>
      <w:r>
        <w:rPr>
          <w:spacing w:val="12"/>
          <w:vertAlign w:val="baseline"/>
        </w:rPr>
        <w:t> </w:t>
      </w:r>
      <w:r>
        <w:rPr>
          <w:vertAlign w:val="baseline"/>
        </w:rPr>
        <w:t>or</w:t>
      </w:r>
      <w:r>
        <w:rPr>
          <w:spacing w:val="12"/>
          <w:vertAlign w:val="baseline"/>
        </w:rPr>
        <w:t> </w:t>
      </w:r>
      <w:r>
        <w:rPr>
          <w:vertAlign w:val="baseline"/>
        </w:rPr>
        <w:t>delivered</w:t>
      </w:r>
      <w:r>
        <w:rPr>
          <w:spacing w:val="12"/>
          <w:vertAlign w:val="baseline"/>
        </w:rPr>
        <w:t> </w:t>
      </w:r>
      <w:r>
        <w:rPr>
          <w:vertAlign w:val="baseline"/>
        </w:rPr>
        <w:t>for</w:t>
      </w:r>
      <w:r>
        <w:rPr>
          <w:spacing w:val="12"/>
          <w:vertAlign w:val="baseline"/>
        </w:rPr>
        <w:t> </w:t>
      </w:r>
      <w:r>
        <w:rPr>
          <w:spacing w:val="-2"/>
          <w:vertAlign w:val="baseline"/>
        </w:rPr>
        <w:t>registration,</w:t>
      </w:r>
    </w:p>
    <w:p>
      <w:pPr>
        <w:pStyle w:val="BodyText"/>
        <w:spacing w:line="235" w:lineRule="auto" w:before="118"/>
        <w:ind w:left="165" w:right="168"/>
        <w:jc w:val="both"/>
      </w:pPr>
      <w:bookmarkStart w:name="_bookmark767" w:id="769"/>
      <w:bookmarkEnd w:id="769"/>
      <w:r>
        <w:rPr/>
      </w:r>
      <w:r>
        <w:rPr/>
        <w:t>he reasonably believed that the statement was true and not misleading. </w:t>
      </w:r>
      <w:r>
        <w:rPr>
          <w:color w:val="005DA1"/>
          <w:u w:val="single" w:color="005DA1"/>
          <w:vertAlign w:val="superscript"/>
        </w:rPr>
        <w:t>464</w:t>
      </w:r>
      <w:r>
        <w:rPr>
          <w:color w:val="005DA1"/>
          <w:spacing w:val="80"/>
          <w:w w:val="150"/>
          <w:vertAlign w:val="baseline"/>
        </w:rPr>
        <w:t> </w:t>
      </w:r>
      <w:r>
        <w:rPr>
          <w:color w:val="005DA1"/>
          <w:spacing w:val="-14"/>
          <w:position w:val="-2"/>
          <w:vertAlign w:val="baseline"/>
        </w:rPr>
        <w:drawing>
          <wp:inline distT="0" distB="0" distL="0" distR="0">
            <wp:extent cx="107988" cy="107988"/>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color w:val="005DA1"/>
          <w:spacing w:val="28"/>
          <w:vertAlign w:val="baseline"/>
        </w:rPr>
        <w:t> </w:t>
      </w:r>
      <w:r>
        <w:rPr>
          <w:vertAlign w:val="baseline"/>
        </w:rPr>
        <w:t>There is also </w:t>
      </w:r>
      <w:r>
        <w:rPr>
          <w:vertAlign w:val="baseline"/>
        </w:rPr>
        <w:t>liability for failure to publish a supplementary prospectus when necessary. </w:t>
      </w:r>
      <w:r>
        <w:rPr>
          <w:color w:val="005DA1"/>
          <w:u w:val="single" w:color="005DA1"/>
          <w:vertAlign w:val="superscript"/>
        </w:rPr>
        <w:t>465</w:t>
      </w:r>
    </w:p>
    <w:p>
      <w:pPr>
        <w:pStyle w:val="BodyText"/>
      </w:pPr>
    </w:p>
    <w:p>
      <w:pPr>
        <w:pStyle w:val="BodyText"/>
        <w:spacing w:before="38"/>
      </w:pPr>
    </w:p>
    <w:p>
      <w:pPr>
        <w:spacing w:before="0"/>
        <w:ind w:left="165" w:right="0" w:firstLine="0"/>
        <w:jc w:val="both"/>
        <w:rPr>
          <w:rFonts w:ascii="Arial"/>
          <w:b/>
          <w:sz w:val="18"/>
        </w:rPr>
      </w:pPr>
      <w:r>
        <w:rPr>
          <w:rFonts w:ascii="Arial"/>
          <w:b/>
          <w:sz w:val="18"/>
        </w:rPr>
        <w:t>Former Property Misdescriptions </w:t>
      </w:r>
      <w:r>
        <w:rPr>
          <w:rFonts w:ascii="Arial"/>
          <w:b/>
          <w:spacing w:val="-5"/>
          <w:sz w:val="18"/>
        </w:rPr>
        <w:t>Act</w:t>
      </w:r>
    </w:p>
    <w:p>
      <w:pPr>
        <w:pStyle w:val="BodyText"/>
        <w:spacing w:before="41"/>
        <w:rPr>
          <w:rFonts w:ascii="Arial"/>
          <w:b/>
          <w:sz w:val="18"/>
        </w:rPr>
      </w:pPr>
    </w:p>
    <w:p>
      <w:pPr>
        <w:pStyle w:val="Heading2"/>
      </w:pPr>
      <w:r>
        <w:rPr/>
        <w:t>7-</w:t>
      </w:r>
      <w:r>
        <w:rPr>
          <w:spacing w:val="-5"/>
        </w:rPr>
        <w:t>099</w:t>
      </w:r>
    </w:p>
    <w:p>
      <w:pPr>
        <w:pStyle w:val="BodyText"/>
        <w:spacing w:line="235" w:lineRule="auto" w:before="203"/>
        <w:ind w:left="165" w:right="167"/>
        <w:jc w:val="both"/>
      </w:pPr>
      <w:bookmarkStart w:name="_bookmark768" w:id="770"/>
      <w:bookmarkEnd w:id="770"/>
      <w:r>
        <w:rPr/>
      </w:r>
      <w:r>
        <w:rPr/>
        <w:t>Under s.1 of the Property Misdescriptions Act 1991, the making of a false or misleading </w:t>
      </w:r>
      <w:r>
        <w:rPr/>
        <w:t>statement about a prescribed matter </w:t>
      </w:r>
      <w:r>
        <w:rPr>
          <w:color w:val="005DA1"/>
          <w:u w:val="single" w:color="005DA1"/>
          <w:vertAlign w:val="superscript"/>
        </w:rPr>
        <w:t>466</w:t>
      </w:r>
      <w:r>
        <w:rPr>
          <w:color w:val="005DA1"/>
          <w:vertAlign w:val="baseline"/>
        </w:rPr>
        <w:t> </w:t>
      </w:r>
      <w:r>
        <w:rPr>
          <w:vertAlign w:val="baseline"/>
        </w:rPr>
        <w:t>in the course of an estate agency business or a property development </w:t>
      </w:r>
      <w:bookmarkStart w:name="_bookmark769" w:id="771"/>
      <w:bookmarkEnd w:id="771"/>
      <w:r>
        <w:rPr>
          <w:vertAlign w:val="baseline"/>
        </w:rPr>
        <w:t>business</w:t>
      </w:r>
      <w:r>
        <w:rPr>
          <w:vertAlign w:val="baseline"/>
        </w:rPr>
        <w:t> might constitute a criminal offence, unless all reasonable steps and due diligence had been used to avoid committing the offence. </w:t>
      </w:r>
      <w:r>
        <w:rPr>
          <w:color w:val="005DA1"/>
          <w:u w:val="single" w:color="005DA1"/>
          <w:vertAlign w:val="superscript"/>
        </w:rPr>
        <w:t>467</w:t>
      </w:r>
      <w:r>
        <w:rPr>
          <w:color w:val="005DA1"/>
          <w:vertAlign w:val="baseline"/>
        </w:rPr>
        <w:t> </w:t>
      </w:r>
      <w:r>
        <w:rPr>
          <w:vertAlign w:val="baseline"/>
        </w:rPr>
        <w:t>However no contract was void or unenforceable and no right </w:t>
      </w:r>
      <w:bookmarkStart w:name="_bookmark770" w:id="772"/>
      <w:bookmarkEnd w:id="772"/>
      <w:r>
        <w:rPr>
          <w:vertAlign w:val="baseline"/>
        </w:rPr>
        <w:t>of</w:t>
      </w:r>
      <w:r>
        <w:rPr>
          <w:vertAlign w:val="baseline"/>
        </w:rPr>
        <w:t> action in civil proceedings would arise by reason only of the commission of an offence under the </w:t>
      </w:r>
      <w:bookmarkStart w:name="_bookmark771" w:id="773"/>
      <w:bookmarkEnd w:id="773"/>
      <w:r>
        <w:rPr>
          <w:vertAlign w:val="baseline"/>
        </w:rPr>
        <w:t>section.</w:t>
      </w:r>
      <w:r>
        <w:rPr>
          <w:vertAlign w:val="baseline"/>
        </w:rPr>
        <w:t> </w:t>
      </w:r>
      <w:r>
        <w:rPr>
          <w:color w:val="005DA1"/>
          <w:u w:val="single" w:color="005DA1"/>
          <w:vertAlign w:val="superscript"/>
        </w:rPr>
        <w:t>468</w:t>
      </w:r>
      <w:r>
        <w:rPr>
          <w:color w:val="005DA1"/>
          <w:vertAlign w:val="baseline"/>
        </w:rPr>
        <w:t> </w:t>
      </w:r>
      <w:r>
        <w:rPr>
          <w:vertAlign w:val="baseline"/>
        </w:rPr>
        <w:t>The Property Misdescriptions Act 1991 has been repealed with effect from October 1, </w:t>
      </w:r>
      <w:bookmarkStart w:name="_bookmark772" w:id="774"/>
      <w:bookmarkEnd w:id="774"/>
      <w:r>
        <w:rPr>
          <w:vertAlign w:val="baseline"/>
        </w:rPr>
        <w:t>2013.</w:t>
      </w:r>
      <w:r>
        <w:rPr>
          <w:vertAlign w:val="baseline"/>
        </w:rPr>
        <w:t> </w:t>
      </w:r>
      <w:r>
        <w:rPr>
          <w:color w:val="005DA1"/>
          <w:u w:val="single" w:color="005DA1"/>
          <w:vertAlign w:val="superscript"/>
        </w:rPr>
        <w:t>469</w:t>
      </w:r>
      <w:r>
        <w:rPr>
          <w:color w:val="005DA1"/>
          <w:vertAlign w:val="baseline"/>
        </w:rPr>
        <w:t> </w:t>
      </w:r>
      <w:r>
        <w:rPr>
          <w:vertAlign w:val="baseline"/>
        </w:rPr>
        <w:t>Consumers will be protected by the Consumer Protection from Unfair Trading Regulations 2008. </w:t>
      </w:r>
      <w:r>
        <w:rPr>
          <w:color w:val="005DA1"/>
          <w:u w:val="single" w:color="005DA1"/>
          <w:vertAlign w:val="superscript"/>
        </w:rPr>
        <w:t>470</w:t>
      </w:r>
    </w:p>
    <w:p>
      <w:pPr>
        <w:pStyle w:val="BodyText"/>
      </w:pPr>
    </w:p>
    <w:p>
      <w:pPr>
        <w:pStyle w:val="BodyText"/>
        <w:spacing w:before="35"/>
      </w:pPr>
    </w:p>
    <w:p>
      <w:pPr>
        <w:spacing w:before="1"/>
        <w:ind w:left="165" w:right="0" w:firstLine="0"/>
        <w:jc w:val="left"/>
        <w:rPr>
          <w:rFonts w:ascii="Arial"/>
          <w:b/>
          <w:sz w:val="18"/>
        </w:rPr>
      </w:pPr>
      <w:r>
        <w:rPr>
          <w:rFonts w:ascii="Arial"/>
          <w:b/>
          <w:sz w:val="18"/>
        </w:rPr>
        <w:t>Package travel, </w:t>
      </w:r>
      <w:r>
        <w:rPr>
          <w:rFonts w:ascii="Arial"/>
          <w:b/>
          <w:spacing w:val="-5"/>
          <w:sz w:val="18"/>
        </w:rPr>
        <w:t>etc</w:t>
      </w:r>
    </w:p>
    <w:p>
      <w:pPr>
        <w:pStyle w:val="BodyText"/>
        <w:spacing w:before="41"/>
        <w:rPr>
          <w:rFonts w:ascii="Arial"/>
          <w:b/>
          <w:sz w:val="18"/>
        </w:rPr>
      </w:pPr>
    </w:p>
    <w:p>
      <w:pPr>
        <w:pStyle w:val="Heading2"/>
      </w:pPr>
      <w:r>
        <w:rPr/>
        <w:t>7-</w:t>
      </w:r>
      <w:r>
        <w:rPr>
          <w:spacing w:val="-5"/>
        </w:rPr>
        <w:t>100</w:t>
      </w:r>
    </w:p>
    <w:p>
      <w:pPr>
        <w:pStyle w:val="BodyText"/>
        <w:spacing w:before="92"/>
        <w:rPr>
          <w:rFonts w:ascii="Arial"/>
          <w:b/>
        </w:rPr>
      </w:pPr>
    </w:p>
    <w:p>
      <w:pPr>
        <w:pStyle w:val="BodyText"/>
        <w:spacing w:line="235" w:lineRule="auto" w:before="1"/>
        <w:ind w:left="165" w:right="167"/>
      </w:pPr>
      <w:r>
        <w:rPr>
          <w:position w:val="-2"/>
        </w:rPr>
        <w:drawing>
          <wp:inline distT="0" distB="0" distL="0" distR="0">
            <wp:extent cx="107988" cy="107988"/>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773" w:id="775"/>
      <w:bookmarkEnd w:id="775"/>
      <w:r>
        <w:rPr>
          <w:rFonts w:ascii="Times New Roman"/>
          <w:spacing w:val="9"/>
        </w:rPr>
      </w:r>
      <w:r>
        <w:rPr/>
        <w:t>Under</w:t>
      </w:r>
      <w:r>
        <w:rPr>
          <w:spacing w:val="-1"/>
        </w:rPr>
        <w:t> </w:t>
      </w:r>
      <w:r>
        <w:rPr/>
        <w:t>the</w:t>
      </w:r>
      <w:r>
        <w:rPr>
          <w:spacing w:val="-1"/>
        </w:rPr>
        <w:t> </w:t>
      </w:r>
      <w:r>
        <w:rPr/>
        <w:t>Package</w:t>
      </w:r>
      <w:r>
        <w:rPr>
          <w:spacing w:val="-1"/>
        </w:rPr>
        <w:t> </w:t>
      </w:r>
      <w:r>
        <w:rPr/>
        <w:t>Travel,</w:t>
      </w:r>
      <w:r>
        <w:rPr>
          <w:spacing w:val="-1"/>
        </w:rPr>
        <w:t> </w:t>
      </w:r>
      <w:r>
        <w:rPr/>
        <w:t>Package</w:t>
      </w:r>
      <w:r>
        <w:rPr>
          <w:spacing w:val="-1"/>
        </w:rPr>
        <w:t> </w:t>
      </w:r>
      <w:r>
        <w:rPr/>
        <w:t>Holidays</w:t>
      </w:r>
      <w:r>
        <w:rPr>
          <w:spacing w:val="-1"/>
        </w:rPr>
        <w:t> </w:t>
      </w:r>
      <w:r>
        <w:rPr/>
        <w:t>and</w:t>
      </w:r>
      <w:r>
        <w:rPr>
          <w:spacing w:val="-1"/>
        </w:rPr>
        <w:t> </w:t>
      </w:r>
      <w:r>
        <w:rPr/>
        <w:t>Package</w:t>
      </w:r>
      <w:r>
        <w:rPr>
          <w:spacing w:val="-1"/>
        </w:rPr>
        <w:t> </w:t>
      </w:r>
      <w:r>
        <w:rPr/>
        <w:t>Tours</w:t>
      </w:r>
      <w:r>
        <w:rPr>
          <w:spacing w:val="-1"/>
        </w:rPr>
        <w:t> </w:t>
      </w:r>
      <w:r>
        <w:rPr/>
        <w:t>Regulations</w:t>
      </w:r>
      <w:r>
        <w:rPr>
          <w:spacing w:val="-1"/>
        </w:rPr>
        <w:t> </w:t>
      </w:r>
      <w:r>
        <w:rPr/>
        <w:t>1992,</w:t>
      </w:r>
      <w:r>
        <w:rPr>
          <w:spacing w:val="-2"/>
        </w:rPr>
        <w:t> </w:t>
      </w:r>
      <w:r>
        <w:rPr>
          <w:color w:val="005DA1"/>
          <w:u w:val="single" w:color="005DA1"/>
          <w:vertAlign w:val="superscript"/>
        </w:rPr>
        <w:t>471</w:t>
      </w:r>
      <w:r>
        <w:rPr>
          <w:color w:val="005DA1"/>
          <w:spacing w:val="-1"/>
          <w:vertAlign w:val="baseline"/>
        </w:rPr>
        <w:t> </w:t>
      </w:r>
      <w:r>
        <w:rPr>
          <w:vertAlign w:val="baseline"/>
        </w:rPr>
        <w:t>organisers or</w:t>
      </w:r>
      <w:r>
        <w:rPr>
          <w:spacing w:val="6"/>
          <w:vertAlign w:val="baseline"/>
        </w:rPr>
        <w:t> </w:t>
      </w:r>
      <w:r>
        <w:rPr>
          <w:vertAlign w:val="baseline"/>
        </w:rPr>
        <w:t>retailers</w:t>
      </w:r>
      <w:r>
        <w:rPr>
          <w:spacing w:val="6"/>
          <w:vertAlign w:val="baseline"/>
        </w:rPr>
        <w:t> </w:t>
      </w:r>
      <w:r>
        <w:rPr>
          <w:vertAlign w:val="baseline"/>
        </w:rPr>
        <w:t>of</w:t>
      </w:r>
      <w:r>
        <w:rPr>
          <w:spacing w:val="6"/>
          <w:vertAlign w:val="baseline"/>
        </w:rPr>
        <w:t> </w:t>
      </w:r>
      <w:r>
        <w:rPr>
          <w:vertAlign w:val="baseline"/>
        </w:rPr>
        <w:t>such</w:t>
      </w:r>
      <w:r>
        <w:rPr>
          <w:spacing w:val="6"/>
          <w:vertAlign w:val="baseline"/>
        </w:rPr>
        <w:t> </w:t>
      </w:r>
      <w:r>
        <w:rPr>
          <w:vertAlign w:val="baseline"/>
        </w:rPr>
        <w:t>packages</w:t>
      </w:r>
      <w:r>
        <w:rPr>
          <w:spacing w:val="6"/>
          <w:vertAlign w:val="baseline"/>
        </w:rPr>
        <w:t> </w:t>
      </w:r>
      <w:r>
        <w:rPr>
          <w:vertAlign w:val="baseline"/>
        </w:rPr>
        <w:t>must</w:t>
      </w:r>
      <w:r>
        <w:rPr>
          <w:spacing w:val="6"/>
          <w:vertAlign w:val="baseline"/>
        </w:rPr>
        <w:t> </w:t>
      </w:r>
      <w:r>
        <w:rPr>
          <w:vertAlign w:val="baseline"/>
        </w:rPr>
        <w:t>not</w:t>
      </w:r>
      <w:r>
        <w:rPr>
          <w:spacing w:val="6"/>
          <w:vertAlign w:val="baseline"/>
        </w:rPr>
        <w:t> </w:t>
      </w:r>
      <w:r>
        <w:rPr>
          <w:vertAlign w:val="baseline"/>
        </w:rPr>
        <w:t>supply</w:t>
      </w:r>
      <w:r>
        <w:rPr>
          <w:spacing w:val="6"/>
          <w:vertAlign w:val="baseline"/>
        </w:rPr>
        <w:t> </w:t>
      </w:r>
      <w:r>
        <w:rPr>
          <w:vertAlign w:val="baseline"/>
        </w:rPr>
        <w:t>any</w:t>
      </w:r>
      <w:r>
        <w:rPr>
          <w:spacing w:val="6"/>
          <w:vertAlign w:val="baseline"/>
        </w:rPr>
        <w:t> </w:t>
      </w:r>
      <w:r>
        <w:rPr>
          <w:vertAlign w:val="baseline"/>
        </w:rPr>
        <w:t>descriptive</w:t>
      </w:r>
      <w:r>
        <w:rPr>
          <w:spacing w:val="6"/>
          <w:vertAlign w:val="baseline"/>
        </w:rPr>
        <w:t> </w:t>
      </w:r>
      <w:r>
        <w:rPr>
          <w:vertAlign w:val="baseline"/>
        </w:rPr>
        <w:t>matter</w:t>
      </w:r>
      <w:r>
        <w:rPr>
          <w:spacing w:val="6"/>
          <w:vertAlign w:val="baseline"/>
        </w:rPr>
        <w:t> </w:t>
      </w:r>
      <w:r>
        <w:rPr>
          <w:vertAlign w:val="baseline"/>
        </w:rPr>
        <w:t>concerning</w:t>
      </w:r>
      <w:r>
        <w:rPr>
          <w:spacing w:val="6"/>
          <w:vertAlign w:val="baseline"/>
        </w:rPr>
        <w:t> </w:t>
      </w:r>
      <w:r>
        <w:rPr>
          <w:vertAlign w:val="baseline"/>
        </w:rPr>
        <w:t>a</w:t>
      </w:r>
      <w:r>
        <w:rPr>
          <w:spacing w:val="6"/>
          <w:vertAlign w:val="baseline"/>
        </w:rPr>
        <w:t> </w:t>
      </w:r>
      <w:r>
        <w:rPr>
          <w:vertAlign w:val="baseline"/>
        </w:rPr>
        <w:t>package,</w:t>
      </w:r>
      <w:r>
        <w:rPr>
          <w:spacing w:val="6"/>
          <w:vertAlign w:val="baseline"/>
        </w:rPr>
        <w:t> </w:t>
      </w:r>
      <w:r>
        <w:rPr>
          <w:vertAlign w:val="baseline"/>
        </w:rPr>
        <w:t>the</w:t>
      </w:r>
      <w:r>
        <w:rPr>
          <w:spacing w:val="6"/>
          <w:vertAlign w:val="baseline"/>
        </w:rPr>
        <w:t> </w:t>
      </w:r>
      <w:r>
        <w:rPr>
          <w:spacing w:val="-2"/>
          <w:vertAlign w:val="baseline"/>
        </w:rPr>
        <w:t>price</w:t>
      </w:r>
    </w:p>
    <w:p>
      <w:pPr>
        <w:pStyle w:val="BodyText"/>
        <w:spacing w:after="0" w:line="235" w:lineRule="auto"/>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r>
        <w:rPr/>
        <w:t>of</w:t>
      </w:r>
      <w:r>
        <w:rPr>
          <w:spacing w:val="-2"/>
        </w:rPr>
        <w:t> </w:t>
      </w:r>
      <w:r>
        <w:rPr/>
        <w:t>a</w:t>
      </w:r>
      <w:r>
        <w:rPr>
          <w:spacing w:val="-2"/>
        </w:rPr>
        <w:t> </w:t>
      </w:r>
      <w:r>
        <w:rPr/>
        <w:t>package</w:t>
      </w:r>
      <w:r>
        <w:rPr>
          <w:spacing w:val="-2"/>
        </w:rPr>
        <w:t> </w:t>
      </w:r>
      <w:r>
        <w:rPr/>
        <w:t>or</w:t>
      </w:r>
      <w:r>
        <w:rPr>
          <w:spacing w:val="-2"/>
        </w:rPr>
        <w:t> </w:t>
      </w:r>
      <w:r>
        <w:rPr/>
        <w:t>any</w:t>
      </w:r>
      <w:r>
        <w:rPr>
          <w:spacing w:val="-2"/>
        </w:rPr>
        <w:t> </w:t>
      </w:r>
      <w:r>
        <w:rPr/>
        <w:t>other</w:t>
      </w:r>
      <w:r>
        <w:rPr>
          <w:spacing w:val="-2"/>
        </w:rPr>
        <w:t> </w:t>
      </w:r>
      <w:r>
        <w:rPr/>
        <w:t>conditions</w:t>
      </w:r>
      <w:r>
        <w:rPr>
          <w:spacing w:val="-2"/>
        </w:rPr>
        <w:t> </w:t>
      </w:r>
      <w:r>
        <w:rPr/>
        <w:t>applying</w:t>
      </w:r>
      <w:r>
        <w:rPr>
          <w:spacing w:val="-2"/>
        </w:rPr>
        <w:t> </w:t>
      </w:r>
      <w:r>
        <w:rPr/>
        <w:t>to</w:t>
      </w:r>
      <w:r>
        <w:rPr>
          <w:spacing w:val="-2"/>
        </w:rPr>
        <w:t> </w:t>
      </w:r>
      <w:r>
        <w:rPr/>
        <w:t>the</w:t>
      </w:r>
      <w:r>
        <w:rPr>
          <w:spacing w:val="-2"/>
        </w:rPr>
        <w:t> </w:t>
      </w:r>
      <w:r>
        <w:rPr/>
        <w:t>contract</w:t>
      </w:r>
      <w:r>
        <w:rPr>
          <w:spacing w:val="-2"/>
        </w:rPr>
        <w:t> </w:t>
      </w:r>
      <w:r>
        <w:rPr/>
        <w:t>which</w:t>
      </w:r>
      <w:r>
        <w:rPr>
          <w:spacing w:val="-2"/>
        </w:rPr>
        <w:t> </w:t>
      </w:r>
      <w:r>
        <w:rPr/>
        <w:t>contains</w:t>
      </w:r>
      <w:r>
        <w:rPr>
          <w:spacing w:val="-2"/>
        </w:rPr>
        <w:t> </w:t>
      </w:r>
      <w:r>
        <w:rPr/>
        <w:t>misleading</w:t>
      </w:r>
      <w:r>
        <w:rPr>
          <w:spacing w:val="-2"/>
        </w:rPr>
        <w:t> </w:t>
      </w:r>
      <w:r>
        <w:rPr/>
        <w:t>information.</w:t>
      </w:r>
      <w:r>
        <w:rPr>
          <w:spacing w:val="-2"/>
        </w:rPr>
        <w:t> </w:t>
      </w:r>
      <w:r>
        <w:rPr/>
        <w:t>If </w:t>
      </w:r>
      <w:bookmarkStart w:name="_bookmark774" w:id="776"/>
      <w:bookmarkEnd w:id="776"/>
      <w:r>
        <w:rPr/>
        <w:t>a</w:t>
      </w:r>
      <w:r>
        <w:rPr/>
        <w:t> consumer suffers loss as a result of a breach of this requirement the organiser or retailer is liable to pay compensation. </w:t>
      </w:r>
      <w:r>
        <w:rPr>
          <w:color w:val="005DA1"/>
          <w:u w:val="single" w:color="005DA1"/>
          <w:vertAlign w:val="superscript"/>
        </w:rPr>
        <w:t>472</w:t>
      </w:r>
      <w:r>
        <w:rPr>
          <w:color w:val="005DA1"/>
          <w:vertAlign w:val="baseline"/>
        </w:rPr>
        <w:t> </w:t>
      </w:r>
      <w:r>
        <w:rPr>
          <w:vertAlign w:val="baseline"/>
        </w:rPr>
        <w:t>As liability appears to be strict it might be regarded as contractual than for </w:t>
      </w:r>
      <w:bookmarkStart w:name="_bookmark775" w:id="777"/>
      <w:bookmarkEnd w:id="777"/>
      <w:r>
        <w:rPr>
          <w:vertAlign w:val="baseline"/>
        </w:rPr>
        <w:t>misrepresentation;</w:t>
      </w:r>
      <w:r>
        <w:rPr>
          <w:spacing w:val="21"/>
          <w:vertAlign w:val="baseline"/>
        </w:rPr>
        <w:t> </w:t>
      </w:r>
      <w:r>
        <w:rPr>
          <w:vertAlign w:val="baseline"/>
        </w:rPr>
        <w:t>but</w:t>
      </w:r>
      <w:r>
        <w:rPr>
          <w:spacing w:val="21"/>
          <w:vertAlign w:val="baseline"/>
        </w:rPr>
        <w:t> </w:t>
      </w:r>
      <w:r>
        <w:rPr>
          <w:vertAlign w:val="baseline"/>
        </w:rPr>
        <w:t>it</w:t>
      </w:r>
      <w:r>
        <w:rPr>
          <w:spacing w:val="21"/>
          <w:vertAlign w:val="baseline"/>
        </w:rPr>
        <w:t> </w:t>
      </w:r>
      <w:r>
        <w:rPr>
          <w:vertAlign w:val="baseline"/>
        </w:rPr>
        <w:t>has</w:t>
      </w:r>
      <w:r>
        <w:rPr>
          <w:spacing w:val="21"/>
          <w:vertAlign w:val="baseline"/>
        </w:rPr>
        <w:t> </w:t>
      </w:r>
      <w:r>
        <w:rPr>
          <w:vertAlign w:val="baseline"/>
        </w:rPr>
        <w:t>been</w:t>
      </w:r>
      <w:r>
        <w:rPr>
          <w:spacing w:val="21"/>
          <w:vertAlign w:val="baseline"/>
        </w:rPr>
        <w:t> </w:t>
      </w:r>
      <w:r>
        <w:rPr>
          <w:vertAlign w:val="baseline"/>
        </w:rPr>
        <w:t>pointed</w:t>
      </w:r>
      <w:r>
        <w:rPr>
          <w:spacing w:val="21"/>
          <w:vertAlign w:val="baseline"/>
        </w:rPr>
        <w:t> </w:t>
      </w:r>
      <w:r>
        <w:rPr>
          <w:vertAlign w:val="baseline"/>
        </w:rPr>
        <w:t>out</w:t>
      </w:r>
      <w:r>
        <w:rPr>
          <w:spacing w:val="21"/>
          <w:vertAlign w:val="baseline"/>
        </w:rPr>
        <w:t> </w:t>
      </w:r>
      <w:r>
        <w:rPr>
          <w:vertAlign w:val="baseline"/>
        </w:rPr>
        <w:t>that</w:t>
      </w:r>
      <w:r>
        <w:rPr>
          <w:spacing w:val="21"/>
          <w:vertAlign w:val="baseline"/>
        </w:rPr>
        <w:t> </w:t>
      </w:r>
      <w:r>
        <w:rPr>
          <w:vertAlign w:val="baseline"/>
        </w:rPr>
        <w:t>the</w:t>
      </w:r>
      <w:r>
        <w:rPr>
          <w:spacing w:val="21"/>
          <w:vertAlign w:val="baseline"/>
        </w:rPr>
        <w:t> </w:t>
      </w:r>
      <w:r>
        <w:rPr>
          <w:vertAlign w:val="baseline"/>
        </w:rPr>
        <w:t>relevant</w:t>
      </w:r>
      <w:r>
        <w:rPr>
          <w:spacing w:val="21"/>
          <w:vertAlign w:val="baseline"/>
        </w:rPr>
        <w:t> </w:t>
      </w:r>
      <w:r>
        <w:rPr>
          <w:vertAlign w:val="baseline"/>
        </w:rPr>
        <w:t>regulation</w:t>
      </w:r>
      <w:r>
        <w:rPr>
          <w:spacing w:val="21"/>
          <w:vertAlign w:val="baseline"/>
        </w:rPr>
        <w:t> </w:t>
      </w:r>
      <w:r>
        <w:rPr>
          <w:vertAlign w:val="baseline"/>
        </w:rPr>
        <w:t>differs</w:t>
      </w:r>
      <w:r>
        <w:rPr>
          <w:spacing w:val="21"/>
          <w:vertAlign w:val="baseline"/>
        </w:rPr>
        <w:t> </w:t>
      </w:r>
      <w:r>
        <w:rPr>
          <w:vertAlign w:val="baseline"/>
        </w:rPr>
        <w:t>from</w:t>
      </w:r>
      <w:r>
        <w:rPr>
          <w:spacing w:val="21"/>
          <w:vertAlign w:val="baseline"/>
        </w:rPr>
        <w:t> </w:t>
      </w:r>
      <w:r>
        <w:rPr>
          <w:vertAlign w:val="baseline"/>
        </w:rPr>
        <w:t>others</w:t>
      </w:r>
      <w:r>
        <w:rPr>
          <w:spacing w:val="21"/>
          <w:vertAlign w:val="baseline"/>
        </w:rPr>
        <w:t> </w:t>
      </w:r>
      <w:r>
        <w:rPr>
          <w:spacing w:val="-2"/>
          <w:vertAlign w:val="baseline"/>
        </w:rPr>
        <w:t>which</w:t>
      </w:r>
    </w:p>
    <w:p>
      <w:pPr>
        <w:pStyle w:val="BodyText"/>
        <w:spacing w:line="360" w:lineRule="auto" w:before="114"/>
        <w:ind w:left="165" w:right="168"/>
        <w:jc w:val="both"/>
        <w:rPr>
          <w:position w:val="-2"/>
        </w:rPr>
      </w:pPr>
      <w:bookmarkStart w:name="_bookmark776" w:id="778"/>
      <w:bookmarkEnd w:id="778"/>
      <w:r>
        <w:rPr/>
      </w:r>
      <w:r>
        <w:rPr/>
        <w:t>imply terms into the contract. </w:t>
      </w:r>
      <w:r>
        <w:rPr>
          <w:color w:val="005DA1"/>
          <w:u w:val="single" w:color="005DA1"/>
          <w:vertAlign w:val="superscript"/>
        </w:rPr>
        <w:t>473</w:t>
      </w:r>
      <w:r>
        <w:rPr>
          <w:color w:val="005DA1"/>
          <w:spacing w:val="80"/>
          <w:vertAlign w:val="baseline"/>
        </w:rPr>
        <w:t> </w:t>
      </w:r>
      <w:r>
        <w:rPr>
          <w:color w:val="005DA1"/>
          <w:spacing w:val="21"/>
          <w:position w:val="-2"/>
          <w:vertAlign w:val="baseline"/>
        </w:rPr>
        <w:drawing>
          <wp:inline distT="0" distB="0" distL="0" distR="0">
            <wp:extent cx="107988" cy="107988"/>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color w:val="005DA1"/>
          <w:spacing w:val="-10"/>
          <w:vertAlign w:val="baseline"/>
        </w:rPr>
        <w:t> </w:t>
      </w:r>
      <w:r>
        <w:rPr>
          <w:vertAlign w:val="baseline"/>
        </w:rPr>
        <w:t>The measure of damages is not stated, but it seems likely that a tort measure would be applied. </w:t>
      </w:r>
      <w:r>
        <w:rPr>
          <w:color w:val="005DA1"/>
          <w:u w:val="single" w:color="005DA1"/>
          <w:vertAlign w:val="superscript"/>
        </w:rPr>
        <w:t>474</w:t>
      </w:r>
      <w:r>
        <w:rPr>
          <w:color w:val="005DA1"/>
          <w:spacing w:val="80"/>
          <w:vertAlign w:val="baseline"/>
        </w:rPr>
        <w:t> </w:t>
      </w:r>
      <w:r>
        <w:rPr>
          <w:color w:val="005DA1"/>
          <w:position w:val="-2"/>
          <w:vertAlign w:val="baseline"/>
        </w:rPr>
        <w:drawing>
          <wp:inline distT="0" distB="0" distL="0" distR="0">
            <wp:extent cx="107988" cy="107988"/>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76"/>
        <w:rPr>
          <w:sz w:val="18"/>
        </w:rPr>
      </w:pPr>
    </w:p>
    <w:p>
      <w:pPr>
        <w:spacing w:before="0"/>
        <w:ind w:left="165" w:right="0" w:firstLine="0"/>
        <w:jc w:val="left"/>
        <w:rPr>
          <w:rFonts w:ascii="Arial"/>
          <w:b/>
          <w:sz w:val="18"/>
        </w:rPr>
      </w:pPr>
      <w:r>
        <w:rPr>
          <w:rFonts w:ascii="Arial"/>
          <w:b/>
          <w:sz w:val="18"/>
        </w:rPr>
        <w:t>Home Information </w:t>
      </w:r>
      <w:r>
        <w:rPr>
          <w:rFonts w:ascii="Arial"/>
          <w:b/>
          <w:spacing w:val="-2"/>
          <w:sz w:val="18"/>
        </w:rPr>
        <w:t>Packs</w:t>
      </w:r>
    </w:p>
    <w:p>
      <w:pPr>
        <w:pStyle w:val="BodyText"/>
        <w:spacing w:before="41"/>
        <w:rPr>
          <w:rFonts w:ascii="Arial"/>
          <w:b/>
          <w:sz w:val="18"/>
        </w:rPr>
      </w:pPr>
    </w:p>
    <w:p>
      <w:pPr>
        <w:pStyle w:val="Heading2"/>
      </w:pPr>
      <w:r>
        <w:rPr/>
        <w:t>7-</w:t>
      </w:r>
      <w:r>
        <w:rPr>
          <w:spacing w:val="-5"/>
        </w:rPr>
        <w:t>101</w:t>
      </w:r>
    </w:p>
    <w:p>
      <w:pPr>
        <w:pStyle w:val="BodyText"/>
        <w:spacing w:line="235" w:lineRule="auto" w:before="203"/>
        <w:ind w:left="165" w:right="167"/>
        <w:jc w:val="both"/>
      </w:pPr>
      <w:r>
        <w:rPr/>
        <w:t>It had been intended that vendors (or their estate agents) of larger types of residential property would </w:t>
      </w:r>
      <w:bookmarkStart w:name="_bookmark777" w:id="779"/>
      <w:bookmarkEnd w:id="779"/>
      <w:r>
        <w:rPr/>
        <w:t>be</w:t>
      </w:r>
      <w:r>
        <w:rPr/>
        <w:t> required to provide on request a “Home Information Pack” including a “home condition </w:t>
      </w:r>
      <w:r>
        <w:rPr/>
        <w:t>report” </w:t>
      </w:r>
      <w:bookmarkStart w:name="_bookmark778" w:id="780"/>
      <w:bookmarkEnd w:id="780"/>
      <w:r>
        <w:rPr/>
        <w:t>prepared</w:t>
      </w:r>
      <w:r>
        <w:rPr/>
        <w:t> by a home inspector. </w:t>
      </w:r>
      <w:r>
        <w:rPr>
          <w:color w:val="005DA1"/>
          <w:u w:val="single" w:color="005DA1"/>
          <w:vertAlign w:val="superscript"/>
        </w:rPr>
        <w:t>475</w:t>
      </w:r>
      <w:r>
        <w:rPr>
          <w:color w:val="005DA1"/>
          <w:vertAlign w:val="baseline"/>
        </w:rPr>
        <w:t> </w:t>
      </w:r>
      <w:r>
        <w:rPr>
          <w:vertAlign w:val="baseline"/>
        </w:rPr>
        <w:t>However, the relevant Regulations were revoked before coming</w:t>
      </w:r>
      <w:r>
        <w:rPr>
          <w:spacing w:val="40"/>
          <w:vertAlign w:val="baseline"/>
        </w:rPr>
        <w:t> </w:t>
      </w:r>
      <w:bookmarkStart w:name="_bookmark779" w:id="781"/>
      <w:bookmarkEnd w:id="781"/>
      <w:r>
        <w:rPr>
          <w:vertAlign w:val="baseline"/>
        </w:rPr>
        <w:t>into</w:t>
      </w:r>
      <w:r>
        <w:rPr>
          <w:vertAlign w:val="baseline"/>
        </w:rPr>
        <w:t> force </w:t>
      </w:r>
      <w:r>
        <w:rPr>
          <w:color w:val="005DA1"/>
          <w:u w:val="single" w:color="005DA1"/>
          <w:vertAlign w:val="superscript"/>
        </w:rPr>
        <w:t>476</w:t>
      </w:r>
      <w:r>
        <w:rPr>
          <w:color w:val="005DA1"/>
          <w:vertAlign w:val="baseline"/>
        </w:rPr>
        <w:t> </w:t>
      </w:r>
      <w:r>
        <w:rPr>
          <w:vertAlign w:val="baseline"/>
        </w:rPr>
        <w:t>and a home condition report was made optional. </w:t>
      </w:r>
      <w:r>
        <w:rPr>
          <w:color w:val="005DA1"/>
          <w:u w:val="single" w:color="005DA1"/>
          <w:vertAlign w:val="superscript"/>
        </w:rPr>
        <w:t>477</w:t>
      </w:r>
      <w:r>
        <w:rPr>
          <w:color w:val="005DA1"/>
          <w:vertAlign w:val="baseline"/>
        </w:rPr>
        <w:t> </w:t>
      </w:r>
      <w:r>
        <w:rPr>
          <w:vertAlign w:val="baseline"/>
        </w:rPr>
        <w:t>The use of Home Information Packs </w:t>
      </w:r>
      <w:bookmarkStart w:name="_bookmark780" w:id="782"/>
      <w:bookmarkEnd w:id="782"/>
      <w:r>
        <w:rPr>
          <w:vertAlign w:val="baseline"/>
        </w:rPr>
        <w:t>was</w:t>
      </w:r>
      <w:r>
        <w:rPr>
          <w:vertAlign w:val="baseline"/>
        </w:rPr>
        <w:t> then suspended altogether with effect from May 21, 2010 </w:t>
      </w:r>
      <w:r>
        <w:rPr>
          <w:color w:val="005DA1"/>
          <w:u w:val="single" w:color="005DA1"/>
          <w:vertAlign w:val="superscript"/>
        </w:rPr>
        <w:t>478</w:t>
      </w:r>
      <w:r>
        <w:rPr>
          <w:color w:val="005DA1"/>
          <w:vertAlign w:val="baseline"/>
        </w:rPr>
        <w:t> </w:t>
      </w:r>
      <w:r>
        <w:rPr>
          <w:vertAlign w:val="baseline"/>
        </w:rPr>
        <w:t>and the relevant primary legislation was repealed. </w:t>
      </w:r>
      <w:r>
        <w:rPr>
          <w:color w:val="005DA1"/>
          <w:u w:val="single" w:color="005DA1"/>
          <w:vertAlign w:val="superscript"/>
        </w:rPr>
        <w:t>479</w:t>
      </w:r>
    </w:p>
    <w:p>
      <w:pPr>
        <w:pStyle w:val="BodyText"/>
      </w:pPr>
    </w:p>
    <w:p>
      <w:pPr>
        <w:pStyle w:val="BodyText"/>
        <w:spacing w:before="37"/>
      </w:pPr>
      <w:r>
        <w:rPr/>
        <mc:AlternateContent>
          <mc:Choice Requires="wps">
            <w:drawing>
              <wp:anchor distT="0" distB="0" distL="0" distR="0" allowOverlap="1" layoutInCell="1" locked="0" behindDoc="1" simplePos="0" relativeHeight="487622656">
                <wp:simplePos x="0" y="0"/>
                <wp:positionH relativeFrom="page">
                  <wp:posOffset>914400</wp:posOffset>
                </wp:positionH>
                <wp:positionV relativeFrom="paragraph">
                  <wp:posOffset>185216</wp:posOffset>
                </wp:positionV>
                <wp:extent cx="5724525" cy="1270"/>
                <wp:effectExtent l="0" t="0" r="0" b="0"/>
                <wp:wrapTopAndBottom/>
                <wp:docPr id="157" name="Graphic 157"/>
                <wp:cNvGraphicFramePr>
                  <a:graphicFrameLocks/>
                </wp:cNvGraphicFramePr>
                <a:graphic>
                  <a:graphicData uri="http://schemas.microsoft.com/office/word/2010/wordprocessingShape">
                    <wps:wsp>
                      <wps:cNvPr id="157" name="Graphic 15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83949pt;width:450.75pt;height:.1pt;mso-position-horizontal-relative:page;mso-position-vertical-relative:paragraph;z-index:-15693824;mso-wrap-distance-left:0;mso-wrap-distance-right:0" id="docshape14"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3897856">
                <wp:simplePos x="0" y="0"/>
                <wp:positionH relativeFrom="page">
                  <wp:posOffset>914400</wp:posOffset>
                </wp:positionH>
                <wp:positionV relativeFrom="paragraph">
                  <wp:posOffset>94576</wp:posOffset>
                </wp:positionV>
                <wp:extent cx="49530"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18624" from="72pt,7.446977pt" to="75.892pt,7.446977pt" stroked="true" strokeweight=".5pt" strokecolor="#005da1">
                <v:stroke dashstyle="solid"/>
                <w10:wrap type="none"/>
              </v:line>
            </w:pict>
          </mc:Fallback>
        </mc:AlternateContent>
      </w:r>
      <w:hyperlink w:history="true" w:anchor="_bookmark1576">
        <w:r>
          <w:rPr>
            <w:color w:val="005DA1"/>
            <w:spacing w:val="-6"/>
            <w:position w:val="5"/>
            <w:sz w:val="14"/>
          </w:rPr>
          <w:t>1</w:t>
        </w:r>
      </w:hyperlink>
      <w:r>
        <w:rPr>
          <w:spacing w:val="-6"/>
          <w:position w:val="5"/>
          <w:sz w:val="14"/>
        </w:rPr>
        <w:t>.</w:t>
      </w:r>
      <w:r>
        <w:rPr>
          <w:position w:val="5"/>
          <w:sz w:val="14"/>
        </w:rPr>
        <w:tab/>
      </w:r>
      <w:r>
        <w:rPr>
          <w:sz w:val="20"/>
        </w:rPr>
        <w:t>See Allen, </w:t>
      </w:r>
      <w:r>
        <w:rPr>
          <w:rFonts w:ascii="Arial"/>
          <w:i/>
          <w:sz w:val="20"/>
        </w:rPr>
        <w:t>Misrepresentation </w:t>
      </w:r>
      <w:r>
        <w:rPr>
          <w:sz w:val="20"/>
        </w:rPr>
        <w:t>(1988); Cartwright, </w:t>
      </w:r>
      <w:r>
        <w:rPr>
          <w:rFonts w:ascii="Arial"/>
          <w:i/>
          <w:sz w:val="20"/>
        </w:rPr>
        <w:t>Unequal Bargaining </w:t>
      </w:r>
      <w:r>
        <w:rPr>
          <w:sz w:val="20"/>
        </w:rPr>
        <w:t>(1991), Ch.3; </w:t>
      </w:r>
      <w:r>
        <w:rPr>
          <w:sz w:val="20"/>
        </w:rPr>
        <w:t>Cartwright, Misrepresentation, Mistake and Non-disclosure, 4th edn (2016); Spencer Bower and Handley, </w:t>
      </w:r>
      <w:r>
        <w:rPr>
          <w:rFonts w:ascii="Arial"/>
          <w:i/>
          <w:sz w:val="20"/>
        </w:rPr>
        <w:t>Actionable Misrepresentation</w:t>
      </w:r>
      <w:r>
        <w:rPr>
          <w:sz w:val="20"/>
        </w:rPr>
        <w:t>, 5th edn (2014).</w:t>
      </w:r>
    </w:p>
    <w:p>
      <w:pPr>
        <w:pStyle w:val="BodyText"/>
        <w:spacing w:before="5"/>
      </w:pPr>
    </w:p>
    <w:p>
      <w:pPr>
        <w:tabs>
          <w:tab w:pos="705" w:val="left" w:leader="none"/>
        </w:tabs>
        <w:spacing w:before="0"/>
        <w:ind w:left="165" w:right="0" w:firstLine="0"/>
        <w:jc w:val="left"/>
        <w:rPr>
          <w:sz w:val="20"/>
        </w:rPr>
      </w:pPr>
      <w:bookmarkStart w:name="_bookmark781" w:id="783"/>
      <w:bookmarkEnd w:id="783"/>
      <w:r>
        <w:rPr/>
      </w:r>
      <w:hyperlink w:history="true" w:anchor="_bookmark655">
        <w:r>
          <w:rPr>
            <w:color w:val="005DA1"/>
            <w:spacing w:val="-4"/>
            <w:position w:val="5"/>
            <w:sz w:val="14"/>
            <w:u w:val="single" w:color="005DA1"/>
          </w:rPr>
          <w:t>349</w:t>
        </w:r>
      </w:hyperlink>
      <w:r>
        <w:rPr>
          <w:spacing w:val="-4"/>
          <w:position w:val="5"/>
          <w:sz w:val="14"/>
        </w:rPr>
        <w:t>.</w:t>
      </w:r>
      <w:r>
        <w:rPr>
          <w:position w:val="5"/>
          <w:sz w:val="14"/>
        </w:rPr>
        <w:tab/>
      </w:r>
      <w:r>
        <w:rPr>
          <w:rFonts w:ascii="Arial" w:hAnsi="Arial"/>
          <w:i/>
          <w:sz w:val="20"/>
        </w:rPr>
        <w:t>(1889)</w:t>
      </w:r>
      <w:r>
        <w:rPr>
          <w:rFonts w:ascii="Arial" w:hAnsi="Arial"/>
          <w:i/>
          <w:spacing w:val="-1"/>
          <w:sz w:val="20"/>
        </w:rPr>
        <w:t> </w:t>
      </w:r>
      <w:r>
        <w:rPr>
          <w:rFonts w:ascii="Arial" w:hAnsi="Arial"/>
          <w:i/>
          <w:sz w:val="20"/>
        </w:rPr>
        <w:t>14 App. Cas. 337</w:t>
      </w:r>
      <w:r>
        <w:rPr>
          <w:sz w:val="20"/>
        </w:rPr>
        <w:t>; above, paras 7-048—7-</w:t>
      </w:r>
      <w:r>
        <w:rPr>
          <w:spacing w:val="-4"/>
          <w:sz w:val="20"/>
        </w:rPr>
        <w:t>049.</w:t>
      </w:r>
    </w:p>
    <w:p>
      <w:pPr>
        <w:pStyle w:val="BodyText"/>
        <w:spacing w:before="5"/>
      </w:pPr>
    </w:p>
    <w:p>
      <w:pPr>
        <w:tabs>
          <w:tab w:pos="705" w:val="left" w:leader="none"/>
        </w:tabs>
        <w:spacing w:before="0"/>
        <w:ind w:left="165" w:right="0" w:firstLine="0"/>
        <w:jc w:val="left"/>
        <w:rPr>
          <w:sz w:val="20"/>
        </w:rPr>
      </w:pPr>
      <w:bookmarkStart w:name="_bookmark782" w:id="784"/>
      <w:bookmarkEnd w:id="784"/>
      <w:r>
        <w:rPr/>
      </w:r>
      <w:hyperlink w:history="true" w:anchor="_bookmark656">
        <w:r>
          <w:rPr>
            <w:color w:val="005DA1"/>
            <w:spacing w:val="-4"/>
            <w:position w:val="5"/>
            <w:sz w:val="14"/>
            <w:u w:val="single" w:color="005DA1"/>
          </w:rPr>
          <w:t>350</w:t>
        </w:r>
      </w:hyperlink>
      <w:r>
        <w:rPr>
          <w:spacing w:val="-4"/>
          <w:position w:val="5"/>
          <w:sz w:val="14"/>
        </w:rPr>
        <w:t>.</w:t>
      </w:r>
      <w:r>
        <w:rPr>
          <w:position w:val="5"/>
          <w:sz w:val="14"/>
        </w:rPr>
        <w:tab/>
      </w:r>
      <w:r>
        <w:rPr>
          <w:rFonts w:ascii="Arial"/>
          <w:i/>
          <w:sz w:val="20"/>
        </w:rPr>
        <w:t>[1914]</w:t>
      </w:r>
      <w:r>
        <w:rPr>
          <w:rFonts w:ascii="Arial"/>
          <w:i/>
          <w:spacing w:val="-1"/>
          <w:sz w:val="20"/>
        </w:rPr>
        <w:t> </w:t>
      </w:r>
      <w:r>
        <w:rPr>
          <w:rFonts w:ascii="Arial"/>
          <w:i/>
          <w:sz w:val="20"/>
        </w:rPr>
        <w:t>A.C. 932</w:t>
      </w:r>
      <w:r>
        <w:rPr>
          <w:sz w:val="20"/>
        </w:rPr>
        <w:t>; see below, para.7-</w:t>
      </w:r>
      <w:r>
        <w:rPr>
          <w:spacing w:val="-4"/>
          <w:sz w:val="20"/>
        </w:rPr>
        <w:t>087.</w:t>
      </w:r>
    </w:p>
    <w:p>
      <w:pPr>
        <w:pStyle w:val="BodyText"/>
        <w:spacing w:before="5"/>
      </w:pPr>
    </w:p>
    <w:p>
      <w:pPr>
        <w:tabs>
          <w:tab w:pos="705" w:val="left" w:leader="none"/>
        </w:tabs>
        <w:spacing w:before="0"/>
        <w:ind w:left="165" w:right="0" w:firstLine="0"/>
        <w:jc w:val="left"/>
        <w:rPr>
          <w:sz w:val="20"/>
        </w:rPr>
      </w:pPr>
      <w:bookmarkStart w:name="_bookmark783" w:id="785"/>
      <w:bookmarkEnd w:id="785"/>
      <w:r>
        <w:rPr/>
      </w:r>
      <w:hyperlink w:history="true" w:anchor="_bookmark657">
        <w:r>
          <w:rPr>
            <w:color w:val="005DA1"/>
            <w:spacing w:val="-4"/>
            <w:position w:val="5"/>
            <w:sz w:val="14"/>
            <w:u w:val="single" w:color="005DA1"/>
          </w:rPr>
          <w:t>351</w:t>
        </w:r>
      </w:hyperlink>
      <w:r>
        <w:rPr>
          <w:spacing w:val="-4"/>
          <w:position w:val="5"/>
          <w:sz w:val="14"/>
        </w:rPr>
        <w:t>.</w:t>
      </w:r>
      <w:r>
        <w:rPr>
          <w:position w:val="5"/>
          <w:sz w:val="14"/>
        </w:rPr>
        <w:tab/>
      </w:r>
      <w:r>
        <w:rPr>
          <w:rFonts w:ascii="Arial"/>
          <w:i/>
          <w:sz w:val="20"/>
        </w:rPr>
        <w:t>[1964]</w:t>
      </w:r>
      <w:r>
        <w:rPr>
          <w:rFonts w:ascii="Arial"/>
          <w:i/>
          <w:spacing w:val="-1"/>
          <w:sz w:val="20"/>
        </w:rPr>
        <w:t> </w:t>
      </w:r>
      <w:r>
        <w:rPr>
          <w:rFonts w:ascii="Arial"/>
          <w:i/>
          <w:sz w:val="20"/>
        </w:rPr>
        <w:t>A.C. 465</w:t>
      </w:r>
      <w:r>
        <w:rPr>
          <w:sz w:val="20"/>
        </w:rPr>
        <w:t>; see below, para.7-</w:t>
      </w:r>
      <w:r>
        <w:rPr>
          <w:spacing w:val="-4"/>
          <w:sz w:val="20"/>
        </w:rPr>
        <w:t>089.</w:t>
      </w:r>
    </w:p>
    <w:p>
      <w:pPr>
        <w:pStyle w:val="BodyText"/>
        <w:spacing w:before="9"/>
      </w:pPr>
    </w:p>
    <w:p>
      <w:pPr>
        <w:pStyle w:val="BodyText"/>
        <w:spacing w:line="235" w:lineRule="auto"/>
        <w:ind w:left="705" w:right="167" w:hanging="541"/>
        <w:jc w:val="both"/>
      </w:pPr>
      <w:bookmarkStart w:name="_bookmark784" w:id="786"/>
      <w:bookmarkEnd w:id="786"/>
      <w:r>
        <w:rPr/>
      </w:r>
      <w:hyperlink w:history="true" w:anchor="_bookmark658">
        <w:r>
          <w:rPr>
            <w:color w:val="005DA1"/>
            <w:position w:val="5"/>
            <w:sz w:val="14"/>
            <w:u w:val="single" w:color="005DA1"/>
          </w:rPr>
          <w:t>352</w:t>
        </w:r>
      </w:hyperlink>
      <w:r>
        <w:rPr>
          <w:position w:val="5"/>
          <w:sz w:val="14"/>
        </w:rPr>
        <w:t>.</w:t>
      </w:r>
      <w:r>
        <w:rPr>
          <w:spacing w:val="80"/>
          <w:position w:val="5"/>
          <w:sz w:val="14"/>
        </w:rPr>
        <w:t> </w:t>
      </w:r>
      <w:r>
        <w:rPr/>
        <w:t>Note that under s.2(4) of the Misrepresentation Act 1967 (added by Consumer Protection (Amendment) Regulations 2014 (SI 2014/870) reg.5), a consumer who has a right to </w:t>
      </w:r>
      <w:r>
        <w:rPr/>
        <w:t>redress under Pt 4A of the Consumer Protection from Unfair Trading Regulations 2008 (on which see Vol.I, para.7-002 and Vol.II, paras 38-145 et seq.) in respect of the conduct constituting misrepresentation</w:t>
      </w:r>
      <w:r>
        <w:rPr>
          <w:spacing w:val="37"/>
        </w:rPr>
        <w:t> </w:t>
      </w:r>
      <w:r>
        <w:rPr/>
        <w:t>no</w:t>
      </w:r>
      <w:r>
        <w:rPr>
          <w:spacing w:val="37"/>
        </w:rPr>
        <w:t> </w:t>
      </w:r>
      <w:r>
        <w:rPr/>
        <w:t>longer</w:t>
      </w:r>
      <w:r>
        <w:rPr>
          <w:spacing w:val="37"/>
        </w:rPr>
        <w:t> </w:t>
      </w:r>
      <w:r>
        <w:rPr/>
        <w:t>has</w:t>
      </w:r>
      <w:r>
        <w:rPr>
          <w:spacing w:val="37"/>
        </w:rPr>
        <w:t> </w:t>
      </w:r>
      <w:r>
        <w:rPr/>
        <w:t>a</w:t>
      </w:r>
      <w:r>
        <w:rPr>
          <w:spacing w:val="37"/>
        </w:rPr>
        <w:t> </w:t>
      </w:r>
      <w:r>
        <w:rPr/>
        <w:t>right</w:t>
      </w:r>
      <w:r>
        <w:rPr>
          <w:spacing w:val="37"/>
        </w:rPr>
        <w:t> </w:t>
      </w:r>
      <w:r>
        <w:rPr/>
        <w:t>to</w:t>
      </w:r>
      <w:r>
        <w:rPr>
          <w:spacing w:val="37"/>
        </w:rPr>
        <w:t> </w:t>
      </w:r>
      <w:r>
        <w:rPr/>
        <w:t>damages</w:t>
      </w:r>
      <w:r>
        <w:rPr>
          <w:spacing w:val="37"/>
        </w:rPr>
        <w:t> </w:t>
      </w:r>
      <w:r>
        <w:rPr/>
        <w:t>under</w:t>
      </w:r>
      <w:r>
        <w:rPr>
          <w:spacing w:val="37"/>
        </w:rPr>
        <w:t> </w:t>
      </w:r>
      <w:r>
        <w:rPr/>
        <w:t>s.2</w:t>
      </w:r>
      <w:r>
        <w:rPr>
          <w:spacing w:val="37"/>
        </w:rPr>
        <w:t> </w:t>
      </w:r>
      <w:r>
        <w:rPr/>
        <w:t>of</w:t>
      </w:r>
      <w:r>
        <w:rPr>
          <w:spacing w:val="37"/>
        </w:rPr>
        <w:t> </w:t>
      </w:r>
      <w:r>
        <w:rPr/>
        <w:t>the</w:t>
      </w:r>
      <w:r>
        <w:rPr>
          <w:spacing w:val="37"/>
        </w:rPr>
        <w:t> </w:t>
      </w:r>
      <w:r>
        <w:rPr/>
        <w:t>Act:</w:t>
      </w:r>
      <w:r>
        <w:rPr>
          <w:spacing w:val="37"/>
        </w:rPr>
        <w:t> </w:t>
      </w:r>
      <w:r>
        <w:rPr/>
        <w:t>see</w:t>
      </w:r>
      <w:r>
        <w:rPr>
          <w:spacing w:val="37"/>
        </w:rPr>
        <w:t> </w:t>
      </w:r>
      <w:r>
        <w:rPr/>
        <w:t>Vol.II,</w:t>
      </w:r>
      <w:r>
        <w:rPr>
          <w:spacing w:val="37"/>
        </w:rPr>
        <w:t> </w:t>
      </w:r>
      <w:r>
        <w:rPr/>
        <w:t>para. </w:t>
      </w:r>
      <w:r>
        <w:rPr>
          <w:spacing w:val="-2"/>
        </w:rPr>
        <w:t>38-188.</w:t>
      </w:r>
    </w:p>
    <w:p>
      <w:pPr>
        <w:pStyle w:val="BodyText"/>
        <w:spacing w:before="7"/>
      </w:pPr>
    </w:p>
    <w:p>
      <w:pPr>
        <w:spacing w:line="235" w:lineRule="auto" w:before="1"/>
        <w:ind w:left="705" w:right="167" w:hanging="541"/>
        <w:jc w:val="both"/>
        <w:rPr>
          <w:sz w:val="20"/>
        </w:rPr>
      </w:pPr>
      <w:bookmarkStart w:name="_bookmark785" w:id="787"/>
      <w:bookmarkEnd w:id="787"/>
      <w:r>
        <w:rPr/>
      </w:r>
      <w:hyperlink w:history="true" w:anchor="_bookmark659">
        <w:r>
          <w:rPr>
            <w:color w:val="005DA1"/>
            <w:position w:val="5"/>
            <w:sz w:val="14"/>
            <w:u w:val="single" w:color="005DA1"/>
          </w:rPr>
          <w:t>353</w:t>
        </w:r>
      </w:hyperlink>
      <w:r>
        <w:rPr>
          <w:position w:val="5"/>
          <w:sz w:val="14"/>
        </w:rPr>
        <w:t>.</w:t>
      </w:r>
      <w:r>
        <w:rPr>
          <w:spacing w:val="80"/>
          <w:w w:val="150"/>
          <w:position w:val="5"/>
          <w:sz w:val="14"/>
        </w:rPr>
        <w:t> </w:t>
      </w:r>
      <w:r>
        <w:rPr>
          <w:sz w:val="20"/>
        </w:rPr>
        <w:t>There</w:t>
      </w:r>
      <w:r>
        <w:rPr>
          <w:spacing w:val="40"/>
          <w:sz w:val="20"/>
        </w:rPr>
        <w:t> </w:t>
      </w:r>
      <w:r>
        <w:rPr>
          <w:sz w:val="20"/>
        </w:rPr>
        <w:t>seems</w:t>
      </w:r>
      <w:r>
        <w:rPr>
          <w:spacing w:val="40"/>
          <w:sz w:val="20"/>
        </w:rPr>
        <w:t> </w:t>
      </w:r>
      <w:r>
        <w:rPr>
          <w:sz w:val="20"/>
        </w:rPr>
        <w:t>no</w:t>
      </w:r>
      <w:r>
        <w:rPr>
          <w:spacing w:val="40"/>
          <w:sz w:val="20"/>
        </w:rPr>
        <w:t> </w:t>
      </w:r>
      <w:r>
        <w:rPr>
          <w:sz w:val="20"/>
        </w:rPr>
        <w:t>reason</w:t>
      </w:r>
      <w:r>
        <w:rPr>
          <w:spacing w:val="40"/>
          <w:sz w:val="20"/>
        </w:rPr>
        <w:t> </w:t>
      </w:r>
      <w:r>
        <w:rPr>
          <w:sz w:val="20"/>
        </w:rPr>
        <w:t>why</w:t>
      </w:r>
      <w:r>
        <w:rPr>
          <w:spacing w:val="40"/>
          <w:sz w:val="20"/>
        </w:rPr>
        <w:t> </w:t>
      </w:r>
      <w:r>
        <w:rPr>
          <w:sz w:val="20"/>
        </w:rPr>
        <w:t>s.2(1)</w:t>
      </w:r>
      <w:r>
        <w:rPr>
          <w:spacing w:val="40"/>
          <w:sz w:val="20"/>
        </w:rPr>
        <w:t> </w:t>
      </w:r>
      <w:r>
        <w:rPr>
          <w:sz w:val="20"/>
        </w:rPr>
        <w:t>should</w:t>
      </w:r>
      <w:r>
        <w:rPr>
          <w:spacing w:val="40"/>
          <w:sz w:val="20"/>
        </w:rPr>
        <w:t> </w:t>
      </w:r>
      <w:r>
        <w:rPr>
          <w:sz w:val="20"/>
        </w:rPr>
        <w:t>not</w:t>
      </w:r>
      <w:r>
        <w:rPr>
          <w:spacing w:val="40"/>
          <w:sz w:val="20"/>
        </w:rPr>
        <w:t> </w:t>
      </w:r>
      <w:r>
        <w:rPr>
          <w:sz w:val="20"/>
        </w:rPr>
        <w:t>apply</w:t>
      </w:r>
      <w:r>
        <w:rPr>
          <w:spacing w:val="40"/>
          <w:sz w:val="20"/>
        </w:rPr>
        <w:t> </w:t>
      </w:r>
      <w:r>
        <w:rPr>
          <w:sz w:val="20"/>
        </w:rPr>
        <w:t>in</w:t>
      </w:r>
      <w:r>
        <w:rPr>
          <w:spacing w:val="40"/>
          <w:sz w:val="20"/>
        </w:rPr>
        <w:t> </w:t>
      </w:r>
      <w:r>
        <w:rPr>
          <w:sz w:val="20"/>
        </w:rPr>
        <w:t>cases</w:t>
      </w:r>
      <w:r>
        <w:rPr>
          <w:spacing w:val="40"/>
          <w:sz w:val="20"/>
        </w:rPr>
        <w:t> </w:t>
      </w:r>
      <w:r>
        <w:rPr>
          <w:sz w:val="20"/>
        </w:rPr>
        <w:t>of</w:t>
      </w:r>
      <w:r>
        <w:rPr>
          <w:spacing w:val="40"/>
          <w:sz w:val="20"/>
        </w:rPr>
        <w:t> </w:t>
      </w:r>
      <w:r>
        <w:rPr>
          <w:sz w:val="20"/>
        </w:rPr>
        <w:t>insurance</w:t>
      </w:r>
      <w:r>
        <w:rPr>
          <w:spacing w:val="40"/>
          <w:sz w:val="20"/>
        </w:rPr>
        <w:t> </w:t>
      </w:r>
      <w:r>
        <w:rPr>
          <w:sz w:val="20"/>
        </w:rPr>
        <w:t>when</w:t>
      </w:r>
      <w:r>
        <w:rPr>
          <w:spacing w:val="40"/>
          <w:sz w:val="20"/>
        </w:rPr>
        <w:t> </w:t>
      </w:r>
      <w:r>
        <w:rPr>
          <w:sz w:val="20"/>
        </w:rPr>
        <w:t>the policyholder has made a misrepresentation, and on occasion it has been assumed that it </w:t>
      </w:r>
      <w:r>
        <w:rPr>
          <w:sz w:val="20"/>
        </w:rPr>
        <w:t>does: see</w:t>
      </w:r>
      <w:r>
        <w:rPr>
          <w:spacing w:val="19"/>
          <w:sz w:val="20"/>
        </w:rPr>
        <w:t> </w:t>
      </w:r>
      <w:r>
        <w:rPr>
          <w:rFonts w:ascii="Arial" w:hAnsi="Arial"/>
          <w:i/>
          <w:sz w:val="20"/>
        </w:rPr>
        <w:t>HIH</w:t>
      </w:r>
      <w:r>
        <w:rPr>
          <w:rFonts w:ascii="Arial" w:hAnsi="Arial"/>
          <w:i/>
          <w:spacing w:val="19"/>
          <w:sz w:val="20"/>
        </w:rPr>
        <w:t> </w:t>
      </w:r>
      <w:r>
        <w:rPr>
          <w:rFonts w:ascii="Arial" w:hAnsi="Arial"/>
          <w:i/>
          <w:sz w:val="20"/>
        </w:rPr>
        <w:t>Casualty</w:t>
      </w:r>
      <w:r>
        <w:rPr>
          <w:rFonts w:ascii="Arial" w:hAnsi="Arial"/>
          <w:i/>
          <w:spacing w:val="19"/>
          <w:sz w:val="20"/>
        </w:rPr>
        <w:t> </w:t>
      </w:r>
      <w:r>
        <w:rPr>
          <w:rFonts w:ascii="Arial" w:hAnsi="Arial"/>
          <w:i/>
          <w:sz w:val="20"/>
        </w:rPr>
        <w:t>&amp;</w:t>
      </w:r>
      <w:r>
        <w:rPr>
          <w:rFonts w:ascii="Arial" w:hAnsi="Arial"/>
          <w:i/>
          <w:spacing w:val="19"/>
          <w:sz w:val="20"/>
        </w:rPr>
        <w:t> </w:t>
      </w:r>
      <w:r>
        <w:rPr>
          <w:rFonts w:ascii="Arial" w:hAnsi="Arial"/>
          <w:i/>
          <w:sz w:val="20"/>
        </w:rPr>
        <w:t>General</w:t>
      </w:r>
      <w:r>
        <w:rPr>
          <w:rFonts w:ascii="Arial" w:hAnsi="Arial"/>
          <w:i/>
          <w:spacing w:val="19"/>
          <w:sz w:val="20"/>
        </w:rPr>
        <w:t> </w:t>
      </w:r>
      <w:r>
        <w:rPr>
          <w:rFonts w:ascii="Arial" w:hAnsi="Arial"/>
          <w:i/>
          <w:sz w:val="20"/>
        </w:rPr>
        <w:t>Insurance</w:t>
      </w:r>
      <w:r>
        <w:rPr>
          <w:rFonts w:ascii="Arial" w:hAnsi="Arial"/>
          <w:i/>
          <w:spacing w:val="19"/>
          <w:sz w:val="20"/>
        </w:rPr>
        <w:t> </w:t>
      </w:r>
      <w:r>
        <w:rPr>
          <w:rFonts w:ascii="Arial" w:hAnsi="Arial"/>
          <w:i/>
          <w:sz w:val="20"/>
        </w:rPr>
        <w:t>v</w:t>
      </w:r>
      <w:r>
        <w:rPr>
          <w:rFonts w:ascii="Arial" w:hAnsi="Arial"/>
          <w:i/>
          <w:spacing w:val="19"/>
          <w:sz w:val="20"/>
        </w:rPr>
        <w:t> </w:t>
      </w:r>
      <w:r>
        <w:rPr>
          <w:rFonts w:ascii="Arial" w:hAnsi="Arial"/>
          <w:i/>
          <w:sz w:val="20"/>
        </w:rPr>
        <w:t>Chase</w:t>
      </w:r>
      <w:r>
        <w:rPr>
          <w:rFonts w:ascii="Arial" w:hAnsi="Arial"/>
          <w:i/>
          <w:spacing w:val="19"/>
          <w:sz w:val="20"/>
        </w:rPr>
        <w:t> </w:t>
      </w:r>
      <w:r>
        <w:rPr>
          <w:rFonts w:ascii="Arial" w:hAnsi="Arial"/>
          <w:i/>
          <w:sz w:val="20"/>
        </w:rPr>
        <w:t>Manhattan</w:t>
      </w:r>
      <w:r>
        <w:rPr>
          <w:rFonts w:ascii="Arial" w:hAnsi="Arial"/>
          <w:i/>
          <w:spacing w:val="19"/>
          <w:sz w:val="20"/>
        </w:rPr>
        <w:t> </w:t>
      </w:r>
      <w:r>
        <w:rPr>
          <w:rFonts w:ascii="Arial" w:hAnsi="Arial"/>
          <w:i/>
          <w:sz w:val="20"/>
        </w:rPr>
        <w:t>Bank</w:t>
      </w:r>
      <w:r>
        <w:rPr>
          <w:rFonts w:ascii="Arial" w:hAnsi="Arial"/>
          <w:i/>
          <w:spacing w:val="19"/>
          <w:sz w:val="20"/>
        </w:rPr>
        <w:t> </w:t>
      </w:r>
      <w:r>
        <w:rPr>
          <w:rFonts w:ascii="Arial" w:hAnsi="Arial"/>
          <w:i/>
          <w:sz w:val="20"/>
        </w:rPr>
        <w:t>[2001]</w:t>
      </w:r>
      <w:r>
        <w:rPr>
          <w:rFonts w:ascii="Arial" w:hAnsi="Arial"/>
          <w:i/>
          <w:spacing w:val="19"/>
          <w:sz w:val="20"/>
        </w:rPr>
        <w:t> </w:t>
      </w:r>
      <w:r>
        <w:rPr>
          <w:rFonts w:ascii="Arial" w:hAnsi="Arial"/>
          <w:i/>
          <w:sz w:val="20"/>
        </w:rPr>
        <w:t>1</w:t>
      </w:r>
      <w:r>
        <w:rPr>
          <w:rFonts w:ascii="Arial" w:hAnsi="Arial"/>
          <w:i/>
          <w:spacing w:val="19"/>
          <w:sz w:val="20"/>
        </w:rPr>
        <w:t> </w:t>
      </w:r>
      <w:r>
        <w:rPr>
          <w:rFonts w:ascii="Arial" w:hAnsi="Arial"/>
          <w:i/>
          <w:sz w:val="20"/>
        </w:rPr>
        <w:t>Lloyd’s</w:t>
      </w:r>
      <w:r>
        <w:rPr>
          <w:rFonts w:ascii="Arial" w:hAnsi="Arial"/>
          <w:i/>
          <w:spacing w:val="19"/>
          <w:sz w:val="20"/>
        </w:rPr>
        <w:t> </w:t>
      </w:r>
      <w:r>
        <w:rPr>
          <w:rFonts w:ascii="Arial" w:hAnsi="Arial"/>
          <w:i/>
          <w:sz w:val="20"/>
        </w:rPr>
        <w:t>Rep.</w:t>
      </w:r>
      <w:r>
        <w:rPr>
          <w:rFonts w:ascii="Arial" w:hAnsi="Arial"/>
          <w:i/>
          <w:spacing w:val="19"/>
          <w:sz w:val="20"/>
        </w:rPr>
        <w:t> </w:t>
      </w:r>
      <w:r>
        <w:rPr>
          <w:rFonts w:ascii="Arial" w:hAnsi="Arial"/>
          <w:i/>
          <w:sz w:val="20"/>
        </w:rPr>
        <w:t>30</w:t>
      </w:r>
      <w:r>
        <w:rPr>
          <w:rFonts w:ascii="Arial" w:hAnsi="Arial"/>
          <w:i/>
          <w:spacing w:val="18"/>
          <w:sz w:val="20"/>
        </w:rPr>
        <w:t> </w:t>
      </w:r>
      <w:r>
        <w:rPr>
          <w:spacing w:val="-5"/>
          <w:sz w:val="20"/>
        </w:rPr>
        <w:t>at</w:t>
      </w:r>
    </w:p>
    <w:p>
      <w:pPr>
        <w:spacing w:line="223" w:lineRule="exact" w:before="0"/>
        <w:ind w:left="705" w:right="0" w:firstLine="0"/>
        <w:jc w:val="both"/>
        <w:rPr>
          <w:rFonts w:ascii="Arial"/>
          <w:i/>
          <w:sz w:val="20"/>
        </w:rPr>
      </w:pPr>
      <w:r>
        <w:rPr>
          <w:sz w:val="20"/>
        </w:rPr>
        <w:t>[90]</w:t>
      </w:r>
      <w:r>
        <w:rPr>
          <w:spacing w:val="35"/>
          <w:sz w:val="20"/>
        </w:rPr>
        <w:t> </w:t>
      </w:r>
      <w:r>
        <w:rPr>
          <w:sz w:val="20"/>
        </w:rPr>
        <w:t>(for</w:t>
      </w:r>
      <w:r>
        <w:rPr>
          <w:spacing w:val="35"/>
          <w:sz w:val="20"/>
        </w:rPr>
        <w:t> </w:t>
      </w:r>
      <w:r>
        <w:rPr>
          <w:sz w:val="20"/>
        </w:rPr>
        <w:t>further</w:t>
      </w:r>
      <w:r>
        <w:rPr>
          <w:spacing w:val="35"/>
          <w:sz w:val="20"/>
        </w:rPr>
        <w:t> </w:t>
      </w:r>
      <w:r>
        <w:rPr>
          <w:sz w:val="20"/>
        </w:rPr>
        <w:t>proceedings</w:t>
      </w:r>
      <w:r>
        <w:rPr>
          <w:spacing w:val="35"/>
          <w:sz w:val="20"/>
        </w:rPr>
        <w:t> </w:t>
      </w:r>
      <w:r>
        <w:rPr>
          <w:sz w:val="20"/>
        </w:rPr>
        <w:t>not</w:t>
      </w:r>
      <w:r>
        <w:rPr>
          <w:spacing w:val="35"/>
          <w:sz w:val="20"/>
        </w:rPr>
        <w:t> </w:t>
      </w:r>
      <w:r>
        <w:rPr>
          <w:sz w:val="20"/>
        </w:rPr>
        <w:t>related</w:t>
      </w:r>
      <w:r>
        <w:rPr>
          <w:spacing w:val="35"/>
          <w:sz w:val="20"/>
        </w:rPr>
        <w:t> </w:t>
      </w:r>
      <w:r>
        <w:rPr>
          <w:sz w:val="20"/>
        </w:rPr>
        <w:t>to</w:t>
      </w:r>
      <w:r>
        <w:rPr>
          <w:spacing w:val="35"/>
          <w:sz w:val="20"/>
        </w:rPr>
        <w:t> </w:t>
      </w:r>
      <w:r>
        <w:rPr>
          <w:sz w:val="20"/>
        </w:rPr>
        <w:t>this</w:t>
      </w:r>
      <w:r>
        <w:rPr>
          <w:spacing w:val="35"/>
          <w:sz w:val="20"/>
        </w:rPr>
        <w:t> </w:t>
      </w:r>
      <w:r>
        <w:rPr>
          <w:sz w:val="20"/>
        </w:rPr>
        <w:t>point,</w:t>
      </w:r>
      <w:r>
        <w:rPr>
          <w:spacing w:val="35"/>
          <w:sz w:val="20"/>
        </w:rPr>
        <w:t> </w:t>
      </w:r>
      <w:r>
        <w:rPr>
          <w:sz w:val="20"/>
        </w:rPr>
        <w:t>see</w:t>
      </w:r>
      <w:r>
        <w:rPr>
          <w:spacing w:val="35"/>
          <w:sz w:val="20"/>
        </w:rPr>
        <w:t> </w:t>
      </w:r>
      <w:r>
        <w:rPr>
          <w:rFonts w:ascii="Arial"/>
          <w:i/>
          <w:sz w:val="20"/>
        </w:rPr>
        <w:t>[2001]</w:t>
      </w:r>
      <w:r>
        <w:rPr>
          <w:rFonts w:ascii="Arial"/>
          <w:i/>
          <w:spacing w:val="35"/>
          <w:sz w:val="20"/>
        </w:rPr>
        <w:t> </w:t>
      </w:r>
      <w:r>
        <w:rPr>
          <w:rFonts w:ascii="Arial"/>
          <w:i/>
          <w:sz w:val="20"/>
        </w:rPr>
        <w:t>EWCA</w:t>
      </w:r>
      <w:r>
        <w:rPr>
          <w:rFonts w:ascii="Arial"/>
          <w:i/>
          <w:spacing w:val="35"/>
          <w:sz w:val="20"/>
        </w:rPr>
        <w:t> </w:t>
      </w:r>
      <w:r>
        <w:rPr>
          <w:rFonts w:ascii="Arial"/>
          <w:i/>
          <w:sz w:val="20"/>
        </w:rPr>
        <w:t>Civ</w:t>
      </w:r>
      <w:r>
        <w:rPr>
          <w:rFonts w:ascii="Arial"/>
          <w:i/>
          <w:spacing w:val="35"/>
          <w:sz w:val="20"/>
        </w:rPr>
        <w:t> </w:t>
      </w:r>
      <w:r>
        <w:rPr>
          <w:rFonts w:ascii="Arial"/>
          <w:i/>
          <w:sz w:val="20"/>
        </w:rPr>
        <w:t>1250,</w:t>
      </w:r>
      <w:r>
        <w:rPr>
          <w:rFonts w:ascii="Arial"/>
          <w:i/>
          <w:spacing w:val="35"/>
          <w:sz w:val="20"/>
        </w:rPr>
        <w:t> </w:t>
      </w:r>
      <w:r>
        <w:rPr>
          <w:rFonts w:ascii="Arial"/>
          <w:i/>
          <w:sz w:val="20"/>
        </w:rPr>
        <w:t>[2001]</w:t>
      </w:r>
      <w:r>
        <w:rPr>
          <w:rFonts w:ascii="Arial"/>
          <w:i/>
          <w:spacing w:val="35"/>
          <w:sz w:val="20"/>
        </w:rPr>
        <w:t> </w:t>
      </w:r>
      <w:r>
        <w:rPr>
          <w:rFonts w:ascii="Arial"/>
          <w:i/>
          <w:spacing w:val="-10"/>
          <w:sz w:val="20"/>
        </w:rPr>
        <w:t>2</w:t>
      </w:r>
    </w:p>
    <w:p>
      <w:pPr>
        <w:spacing w:line="235" w:lineRule="auto" w:before="1"/>
        <w:ind w:left="705" w:right="167" w:firstLine="0"/>
        <w:jc w:val="both"/>
        <w:rPr>
          <w:sz w:val="20"/>
        </w:rPr>
      </w:pPr>
      <w:r>
        <w:rPr>
          <w:rFonts w:ascii="Arial" w:hAnsi="Arial"/>
          <w:i/>
          <w:sz w:val="20"/>
        </w:rPr>
        <w:t>Lloyd’s Rep. 483 and [2003] UKHL 6, [2003] 2 Lloyd’s Rep. 61</w:t>
      </w:r>
      <w:r>
        <w:rPr>
          <w:sz w:val="20"/>
        </w:rPr>
        <w:t>). However, it has been questioned whether it is correct to permit an insurer who has lost the right to avoid the </w:t>
      </w:r>
      <w:r>
        <w:rPr>
          <w:sz w:val="20"/>
        </w:rPr>
        <w:t>policy nonetheless to recover damages equivalent to the benefit it would have received from avoidance under s.2(1): </w:t>
      </w:r>
      <w:r>
        <w:rPr>
          <w:rFonts w:ascii="Arial" w:hAnsi="Arial"/>
          <w:i/>
          <w:sz w:val="20"/>
        </w:rPr>
        <w:t>Argo Systems FZE v Liberty Insurance Pte Ltd [2011] EWHC 301 (Comm) </w:t>
      </w:r>
      <w:r>
        <w:rPr>
          <w:sz w:val="20"/>
        </w:rPr>
        <w:t>at [45]; reversed on other grounds</w:t>
      </w:r>
      <w:r>
        <w:rPr>
          <w:spacing w:val="-1"/>
          <w:sz w:val="20"/>
        </w:rPr>
        <w:t> </w:t>
      </w:r>
      <w:r>
        <w:rPr>
          <w:rFonts w:ascii="Arial" w:hAnsi="Arial"/>
          <w:i/>
          <w:sz w:val="20"/>
        </w:rPr>
        <w:t>[2011] EWCA Civ 1572, [2012] Lloyd’s Rep. I.R. 67</w:t>
      </w:r>
      <w:r>
        <w:rPr>
          <w:sz w:val="20"/>
        </w:rPr>
        <w:t>, compare below, para.7-109.</w:t>
      </w:r>
    </w:p>
    <w:p>
      <w:pPr>
        <w:pStyle w:val="BodyText"/>
        <w:spacing w:before="4"/>
      </w:pPr>
    </w:p>
    <w:p>
      <w:pPr>
        <w:tabs>
          <w:tab w:pos="705" w:val="left" w:leader="none"/>
        </w:tabs>
        <w:spacing w:before="0"/>
        <w:ind w:left="165" w:right="0" w:firstLine="0"/>
        <w:jc w:val="left"/>
        <w:rPr>
          <w:sz w:val="20"/>
        </w:rPr>
      </w:pPr>
      <w:bookmarkStart w:name="_bookmark786" w:id="788"/>
      <w:bookmarkEnd w:id="788"/>
      <w:r>
        <w:rPr/>
      </w:r>
      <w:hyperlink w:history="true" w:anchor="_bookmark660">
        <w:r>
          <w:rPr>
            <w:color w:val="005DA1"/>
            <w:spacing w:val="-4"/>
            <w:position w:val="5"/>
            <w:sz w:val="14"/>
            <w:u w:val="single" w:color="005DA1"/>
          </w:rPr>
          <w:t>354</w:t>
        </w:r>
      </w:hyperlink>
      <w:r>
        <w:rPr>
          <w:spacing w:val="-4"/>
          <w:position w:val="5"/>
          <w:sz w:val="14"/>
        </w:rPr>
        <w:t>.</w:t>
      </w:r>
      <w:r>
        <w:rPr>
          <w:position w:val="5"/>
          <w:sz w:val="14"/>
        </w:rPr>
        <w:tab/>
      </w:r>
      <w:r>
        <w:rPr>
          <w:rFonts w:ascii="Arial"/>
          <w:i/>
          <w:sz w:val="20"/>
        </w:rPr>
        <w:t>[1978] Q.B. 574, noted (1978) 94 L.Q.R. </w:t>
      </w:r>
      <w:r>
        <w:rPr>
          <w:rFonts w:ascii="Arial"/>
          <w:i/>
          <w:spacing w:val="-4"/>
          <w:sz w:val="20"/>
        </w:rPr>
        <w:t>334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87" w:id="789"/>
      <w:bookmarkEnd w:id="789"/>
      <w:r>
        <w:rPr/>
      </w:r>
      <w:hyperlink w:history="true" w:anchor="_bookmark661">
        <w:r>
          <w:rPr>
            <w:color w:val="005DA1"/>
            <w:spacing w:val="-4"/>
            <w:position w:val="5"/>
            <w:sz w:val="14"/>
            <w:u w:val="single" w:color="005DA1"/>
          </w:rPr>
          <w:t>355</w:t>
        </w:r>
      </w:hyperlink>
      <w:r>
        <w:rPr>
          <w:spacing w:val="-4"/>
          <w:position w:val="5"/>
          <w:sz w:val="14"/>
        </w:rPr>
        <w:t>.</w:t>
      </w:r>
      <w:r>
        <w:rPr>
          <w:position w:val="5"/>
          <w:sz w:val="14"/>
        </w:rPr>
        <w:tab/>
      </w:r>
      <w:r>
        <w:rPr>
          <w:rFonts w:ascii="Arial"/>
          <w:i/>
          <w:sz w:val="20"/>
        </w:rPr>
        <w:t>[1978] Q.B. 574, noted (1978) 94 L.Q.R. </w:t>
      </w:r>
      <w:r>
        <w:rPr>
          <w:rFonts w:ascii="Arial"/>
          <w:i/>
          <w:spacing w:val="-4"/>
          <w:sz w:val="20"/>
        </w:rPr>
        <w:t>334</w:t>
      </w:r>
      <w:r>
        <w:rPr>
          <w:spacing w:val="-4"/>
          <w:sz w:val="20"/>
        </w:rPr>
        <w:t>.</w:t>
      </w:r>
    </w:p>
    <w:p>
      <w:pPr>
        <w:pStyle w:val="BodyText"/>
        <w:spacing w:before="8"/>
      </w:pPr>
    </w:p>
    <w:p>
      <w:pPr>
        <w:spacing w:line="235" w:lineRule="auto" w:before="1"/>
        <w:ind w:left="705" w:right="167" w:hanging="541"/>
        <w:jc w:val="both"/>
        <w:rPr>
          <w:sz w:val="20"/>
        </w:rPr>
      </w:pPr>
      <w:bookmarkStart w:name="_bookmark788" w:id="790"/>
      <w:bookmarkEnd w:id="790"/>
      <w:r>
        <w:rPr/>
      </w:r>
      <w:hyperlink w:history="true" w:anchor="_bookmark662">
        <w:r>
          <w:rPr>
            <w:color w:val="005DA1"/>
            <w:position w:val="5"/>
            <w:sz w:val="14"/>
            <w:u w:val="single" w:color="005DA1"/>
          </w:rPr>
          <w:t>356</w:t>
        </w:r>
      </w:hyperlink>
      <w:r>
        <w:rPr>
          <w:position w:val="5"/>
          <w:sz w:val="14"/>
        </w:rPr>
        <w:t>.</w:t>
      </w:r>
      <w:r>
        <w:rPr>
          <w:spacing w:val="80"/>
          <w:position w:val="5"/>
          <w:sz w:val="14"/>
        </w:rPr>
        <w:t>  </w:t>
      </w:r>
      <w:r>
        <w:rPr>
          <w:sz w:val="20"/>
        </w:rPr>
        <w:t>An action under s.2(1) is not an action for negligence within the meaning of the Limitation </w:t>
      </w:r>
      <w:r>
        <w:rPr>
          <w:sz w:val="20"/>
        </w:rPr>
        <w:t>Act 1980 s.14A, since it is not necessary for the claimant to aver any negligent act or omission: </w:t>
      </w:r>
      <w:r>
        <w:rPr>
          <w:rFonts w:ascii="Arial" w:hAnsi="Arial"/>
          <w:i/>
          <w:sz w:val="20"/>
        </w:rPr>
        <w:t>Laws v Society of Lloyd’s [2003] EWCA Civ 1887, The Times, January 23, 2004 </w:t>
      </w:r>
      <w:r>
        <w:rPr>
          <w:sz w:val="20"/>
        </w:rPr>
        <w:t>at [91]. Whether it is an action in tort within s.2 of that Act was left open (see at [92]).</w:t>
      </w:r>
    </w:p>
    <w:p>
      <w:pPr>
        <w:pStyle w:val="BodyText"/>
        <w:spacing w:before="4"/>
      </w:pPr>
    </w:p>
    <w:p>
      <w:pPr>
        <w:pStyle w:val="BodyText"/>
        <w:tabs>
          <w:tab w:pos="705" w:val="left" w:leader="none"/>
        </w:tabs>
        <w:ind w:left="165"/>
      </w:pPr>
      <w:bookmarkStart w:name="_bookmark789" w:id="791"/>
      <w:bookmarkEnd w:id="791"/>
      <w:r>
        <w:rPr/>
      </w:r>
      <w:hyperlink w:history="true" w:anchor="_bookmark663">
        <w:r>
          <w:rPr>
            <w:color w:val="005DA1"/>
            <w:spacing w:val="-4"/>
            <w:position w:val="5"/>
            <w:sz w:val="14"/>
            <w:u w:val="single" w:color="005DA1"/>
          </w:rPr>
          <w:t>357</w:t>
        </w:r>
      </w:hyperlink>
      <w:r>
        <w:rPr>
          <w:spacing w:val="-4"/>
          <w:position w:val="5"/>
          <w:sz w:val="14"/>
        </w:rPr>
        <w:t>.</w:t>
      </w:r>
      <w:r>
        <w:rPr>
          <w:position w:val="5"/>
          <w:sz w:val="14"/>
        </w:rPr>
        <w:tab/>
      </w:r>
      <w:r>
        <w:rPr/>
        <w:t>s.2(1)</w:t>
      </w:r>
      <w:r>
        <w:rPr>
          <w:spacing w:val="7"/>
        </w:rPr>
        <w:t> </w:t>
      </w:r>
      <w:r>
        <w:rPr/>
        <w:t>only</w:t>
      </w:r>
      <w:r>
        <w:rPr>
          <w:spacing w:val="7"/>
        </w:rPr>
        <w:t> </w:t>
      </w:r>
      <w:r>
        <w:rPr/>
        <w:t>gives</w:t>
      </w:r>
      <w:r>
        <w:rPr>
          <w:spacing w:val="7"/>
        </w:rPr>
        <w:t> </w:t>
      </w:r>
      <w:r>
        <w:rPr/>
        <w:t>rise</w:t>
      </w:r>
      <w:r>
        <w:rPr>
          <w:spacing w:val="7"/>
        </w:rPr>
        <w:t> </w:t>
      </w:r>
      <w:r>
        <w:rPr/>
        <w:t>to</w:t>
      </w:r>
      <w:r>
        <w:rPr>
          <w:spacing w:val="7"/>
        </w:rPr>
        <w:t> </w:t>
      </w:r>
      <w:r>
        <w:rPr/>
        <w:t>a</w:t>
      </w:r>
      <w:r>
        <w:rPr>
          <w:spacing w:val="7"/>
        </w:rPr>
        <w:t> </w:t>
      </w:r>
      <w:r>
        <w:rPr/>
        <w:t>right</w:t>
      </w:r>
      <w:r>
        <w:rPr>
          <w:spacing w:val="7"/>
        </w:rPr>
        <w:t> </w:t>
      </w:r>
      <w:r>
        <w:rPr/>
        <w:t>to</w:t>
      </w:r>
      <w:r>
        <w:rPr>
          <w:spacing w:val="7"/>
        </w:rPr>
        <w:t> </w:t>
      </w:r>
      <w:r>
        <w:rPr/>
        <w:t>damages</w:t>
      </w:r>
      <w:r>
        <w:rPr>
          <w:spacing w:val="7"/>
        </w:rPr>
        <w:t> </w:t>
      </w:r>
      <w:r>
        <w:rPr/>
        <w:t>and</w:t>
      </w:r>
      <w:r>
        <w:rPr>
          <w:spacing w:val="7"/>
        </w:rPr>
        <w:t> </w:t>
      </w:r>
      <w:r>
        <w:rPr/>
        <w:t>cannot</w:t>
      </w:r>
      <w:r>
        <w:rPr>
          <w:spacing w:val="7"/>
        </w:rPr>
        <w:t> </w:t>
      </w:r>
      <w:r>
        <w:rPr/>
        <w:t>be</w:t>
      </w:r>
      <w:r>
        <w:rPr>
          <w:spacing w:val="7"/>
        </w:rPr>
        <w:t> </w:t>
      </w:r>
      <w:r>
        <w:rPr/>
        <w:t>relied</w:t>
      </w:r>
      <w:r>
        <w:rPr>
          <w:spacing w:val="7"/>
        </w:rPr>
        <w:t> </w:t>
      </w:r>
      <w:r>
        <w:rPr/>
        <w:t>on</w:t>
      </w:r>
      <w:r>
        <w:rPr>
          <w:spacing w:val="7"/>
        </w:rPr>
        <w:t> </w:t>
      </w:r>
      <w:r>
        <w:rPr/>
        <w:t>as</w:t>
      </w:r>
      <w:r>
        <w:rPr>
          <w:spacing w:val="7"/>
        </w:rPr>
        <w:t> </w:t>
      </w:r>
      <w:r>
        <w:rPr/>
        <w:t>a</w:t>
      </w:r>
      <w:r>
        <w:rPr>
          <w:spacing w:val="7"/>
        </w:rPr>
        <w:t> </w:t>
      </w:r>
      <w:r>
        <w:rPr/>
        <w:t>defence</w:t>
      </w:r>
      <w:r>
        <w:rPr>
          <w:spacing w:val="7"/>
        </w:rPr>
        <w:t> </w:t>
      </w:r>
      <w:r>
        <w:rPr/>
        <w:t>to</w:t>
      </w:r>
      <w:r>
        <w:rPr>
          <w:spacing w:val="7"/>
        </w:rPr>
        <w:t> </w:t>
      </w:r>
      <w:r>
        <w:rPr/>
        <w:t>a</w:t>
      </w:r>
      <w:r>
        <w:rPr>
          <w:spacing w:val="7"/>
        </w:rPr>
        <w:t> </w:t>
      </w:r>
      <w:r>
        <w:rPr/>
        <w:t>claim</w:t>
      </w:r>
      <w:r>
        <w:rPr>
          <w:spacing w:val="7"/>
        </w:rPr>
        <w:t> </w:t>
      </w:r>
      <w:r>
        <w:rPr>
          <w:spacing w:val="-5"/>
        </w:rPr>
        <w:t>for</w:t>
      </w:r>
    </w:p>
    <w:p>
      <w:pPr>
        <w:pStyle w:val="BodyText"/>
        <w:spacing w:after="0"/>
        <w:sectPr>
          <w:pgSz w:w="11900" w:h="16840"/>
          <w:pgMar w:header="971" w:footer="0" w:top="1160" w:bottom="280" w:left="1275" w:right="1275"/>
        </w:sectPr>
      </w:pPr>
    </w:p>
    <w:p>
      <w:pPr>
        <w:pStyle w:val="BodyText"/>
        <w:spacing w:before="84"/>
      </w:pPr>
    </w:p>
    <w:p>
      <w:pPr>
        <w:spacing w:line="235" w:lineRule="auto" w:before="1"/>
        <w:ind w:left="705" w:right="167" w:firstLine="0"/>
        <w:jc w:val="both"/>
        <w:rPr>
          <w:sz w:val="20"/>
        </w:rPr>
      </w:pPr>
      <w:r>
        <w:rPr>
          <w:sz w:val="20"/>
        </w:rPr>
        <w:t>injunctive relief by a misrepresentee who does not wish to avoid the contract as a whole but </w:t>
      </w:r>
      <w:r>
        <w:rPr>
          <w:sz w:val="20"/>
        </w:rPr>
        <w:t>to repudiate just one of its terms: </w:t>
      </w:r>
      <w:r>
        <w:rPr>
          <w:rFonts w:ascii="Arial"/>
          <w:i/>
          <w:sz w:val="20"/>
        </w:rPr>
        <w:t>Inntrepreneur Pub Company (CPC) v Sweeney, The Times,</w:t>
      </w:r>
      <w:r>
        <w:rPr>
          <w:rFonts w:ascii="Arial"/>
          <w:i/>
          <w:spacing w:val="40"/>
          <w:sz w:val="20"/>
        </w:rPr>
        <w:t> </w:t>
      </w:r>
      <w:r>
        <w:rPr>
          <w:rFonts w:ascii="Arial"/>
          <w:i/>
          <w:sz w:val="20"/>
        </w:rPr>
        <w:t>June 26, 2002</w:t>
      </w:r>
      <w:r>
        <w:rPr>
          <w:sz w:val="20"/>
        </w:rPr>
        <w:t>.</w:t>
      </w:r>
    </w:p>
    <w:p>
      <w:pPr>
        <w:pStyle w:val="BodyText"/>
        <w:spacing w:before="5"/>
      </w:pPr>
    </w:p>
    <w:p>
      <w:pPr>
        <w:pStyle w:val="BodyText"/>
        <w:tabs>
          <w:tab w:pos="705" w:val="left" w:leader="none"/>
        </w:tabs>
        <w:ind w:left="165"/>
      </w:pPr>
      <w:bookmarkStart w:name="_bookmark790" w:id="792"/>
      <w:bookmarkEnd w:id="792"/>
      <w:r>
        <w:rPr/>
      </w:r>
      <w:hyperlink w:history="true" w:anchor="_bookmark664">
        <w:r>
          <w:rPr>
            <w:color w:val="005DA1"/>
            <w:spacing w:val="-4"/>
            <w:position w:val="5"/>
            <w:sz w:val="14"/>
            <w:u w:val="single" w:color="005DA1"/>
          </w:rPr>
          <w:t>358</w:t>
        </w:r>
      </w:hyperlink>
      <w:r>
        <w:rPr>
          <w:spacing w:val="-4"/>
          <w:position w:val="5"/>
          <w:sz w:val="14"/>
        </w:rPr>
        <w:t>.</w:t>
      </w:r>
      <w:r>
        <w:rPr>
          <w:position w:val="5"/>
          <w:sz w:val="14"/>
        </w:rPr>
        <w:tab/>
      </w:r>
      <w:r>
        <w:rPr/>
        <w:t>Above,</w:t>
      </w:r>
      <w:r>
        <w:rPr>
          <w:spacing w:val="-2"/>
        </w:rPr>
        <w:t> </w:t>
      </w:r>
      <w:r>
        <w:rPr/>
        <w:t>paras 7-006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791" w:id="793"/>
      <w:bookmarkEnd w:id="793"/>
      <w:r>
        <w:rPr/>
      </w:r>
      <w:hyperlink w:history="true" w:anchor="_bookmark665">
        <w:r>
          <w:rPr>
            <w:color w:val="005DA1"/>
            <w:spacing w:val="-4"/>
            <w:position w:val="5"/>
            <w:sz w:val="14"/>
            <w:u w:val="single" w:color="005DA1"/>
          </w:rPr>
          <w:t>359</w:t>
        </w:r>
      </w:hyperlink>
      <w:r>
        <w:rPr>
          <w:spacing w:val="-4"/>
          <w:position w:val="5"/>
          <w:sz w:val="14"/>
        </w:rPr>
        <w:t>.</w:t>
      </w:r>
      <w:r>
        <w:rPr>
          <w:position w:val="5"/>
          <w:sz w:val="14"/>
        </w:rPr>
        <w:tab/>
      </w:r>
      <w:r>
        <w:rPr>
          <w:sz w:val="20"/>
        </w:rPr>
        <w:t>Above, paras 7-035 et seq. See the</w:t>
      </w:r>
      <w:r>
        <w:rPr>
          <w:spacing w:val="-1"/>
          <w:sz w:val="20"/>
        </w:rPr>
        <w:t> </w:t>
      </w:r>
      <w:r>
        <w:rPr>
          <w:rFonts w:ascii="Arial"/>
          <w:i/>
          <w:sz w:val="20"/>
        </w:rPr>
        <w:t>Howard Marine case [1978] Q.B. </w:t>
      </w:r>
      <w:r>
        <w:rPr>
          <w:rFonts w:ascii="Arial"/>
          <w:i/>
          <w:spacing w:val="-4"/>
          <w:sz w:val="20"/>
        </w:rPr>
        <w:t>574</w:t>
      </w:r>
      <w:r>
        <w:rPr>
          <w:spacing w:val="-4"/>
          <w:sz w:val="20"/>
        </w:rPr>
        <w:t>.</w:t>
      </w:r>
    </w:p>
    <w:p>
      <w:pPr>
        <w:pStyle w:val="BodyText"/>
        <w:spacing w:before="8"/>
      </w:pPr>
    </w:p>
    <w:p>
      <w:pPr>
        <w:spacing w:line="235" w:lineRule="auto" w:before="1"/>
        <w:ind w:left="705" w:right="168" w:hanging="541"/>
        <w:jc w:val="both"/>
        <w:rPr>
          <w:sz w:val="20"/>
        </w:rPr>
      </w:pPr>
      <w:bookmarkStart w:name="_bookmark792" w:id="794"/>
      <w:bookmarkEnd w:id="794"/>
      <w:r>
        <w:rPr/>
      </w:r>
      <w:hyperlink w:history="true" w:anchor="_bookmark666">
        <w:r>
          <w:rPr>
            <w:color w:val="005DA1"/>
            <w:position w:val="5"/>
            <w:sz w:val="14"/>
            <w:u w:val="single" w:color="005DA1"/>
          </w:rPr>
          <w:t>360</w:t>
        </w:r>
      </w:hyperlink>
      <w:r>
        <w:rPr>
          <w:position w:val="5"/>
          <w:sz w:val="14"/>
        </w:rPr>
        <w:t>.</w:t>
      </w:r>
      <w:r>
        <w:rPr>
          <w:spacing w:val="80"/>
          <w:position w:val="5"/>
          <w:sz w:val="14"/>
        </w:rPr>
        <w:t>  </w:t>
      </w:r>
      <w:r>
        <w:rPr>
          <w:rFonts w:ascii="Arial" w:hAnsi="Arial"/>
          <w:i/>
          <w:sz w:val="20"/>
        </w:rPr>
        <w:t>Royscot Trust Ltd v Rogerson [1991] 2 Q.B. 297</w:t>
      </w:r>
      <w:r>
        <w:rPr>
          <w:sz w:val="20"/>
        </w:rPr>
        <w:t>. See also </w:t>
      </w:r>
      <w:r>
        <w:rPr>
          <w:rFonts w:ascii="Arial" w:hAnsi="Arial"/>
          <w:i/>
          <w:sz w:val="20"/>
        </w:rPr>
        <w:t>F. &amp; H. Entertainments Ltd v </w:t>
      </w:r>
      <w:r>
        <w:rPr>
          <w:rFonts w:ascii="Arial" w:hAnsi="Arial"/>
          <w:i/>
          <w:sz w:val="20"/>
        </w:rPr>
        <w:t>Leisure Enterprises Ltd (1976) 120 S.J. 331</w:t>
      </w:r>
      <w:r>
        <w:rPr>
          <w:sz w:val="20"/>
        </w:rPr>
        <w:t>; </w:t>
      </w:r>
      <w:r>
        <w:rPr>
          <w:rFonts w:ascii="Arial" w:hAnsi="Arial"/>
          <w:i/>
          <w:sz w:val="20"/>
        </w:rPr>
        <w:t>André &amp; Cie SA v Ets Michel Blanc &amp; Fils [1977] 2 Lloyd’s Rep. 166</w:t>
      </w:r>
      <w:r>
        <w:rPr>
          <w:sz w:val="20"/>
        </w:rPr>
        <w:t>; </w:t>
      </w:r>
      <w:r>
        <w:rPr>
          <w:rFonts w:ascii="Arial" w:hAnsi="Arial"/>
          <w:i/>
          <w:sz w:val="20"/>
        </w:rPr>
        <w:t>McNally v Welltrade International Ltd [1978] I.R.L.R. 497</w:t>
      </w:r>
      <w:r>
        <w:rPr>
          <w:sz w:val="20"/>
        </w:rPr>
        <w:t>; </w:t>
      </w:r>
      <w:r>
        <w:rPr>
          <w:rFonts w:ascii="Arial" w:hAnsi="Arial"/>
          <w:i/>
          <w:sz w:val="20"/>
        </w:rPr>
        <w:t>Chesnau v Interhomes (1983)</w:t>
      </w:r>
      <w:r>
        <w:rPr>
          <w:rFonts w:ascii="Arial" w:hAnsi="Arial"/>
          <w:i/>
          <w:spacing w:val="31"/>
          <w:sz w:val="20"/>
        </w:rPr>
        <w:t> </w:t>
      </w:r>
      <w:r>
        <w:rPr>
          <w:rFonts w:ascii="Arial" w:hAnsi="Arial"/>
          <w:i/>
          <w:sz w:val="20"/>
        </w:rPr>
        <w:t>134</w:t>
      </w:r>
      <w:r>
        <w:rPr>
          <w:rFonts w:ascii="Arial" w:hAnsi="Arial"/>
          <w:i/>
          <w:spacing w:val="34"/>
          <w:sz w:val="20"/>
        </w:rPr>
        <w:t> </w:t>
      </w:r>
      <w:r>
        <w:rPr>
          <w:rFonts w:ascii="Arial" w:hAnsi="Arial"/>
          <w:i/>
          <w:sz w:val="20"/>
        </w:rPr>
        <w:t>New.</w:t>
      </w:r>
      <w:r>
        <w:rPr>
          <w:rFonts w:ascii="Arial" w:hAnsi="Arial"/>
          <w:i/>
          <w:spacing w:val="34"/>
          <w:sz w:val="20"/>
        </w:rPr>
        <w:t> </w:t>
      </w:r>
      <w:r>
        <w:rPr>
          <w:rFonts w:ascii="Arial" w:hAnsi="Arial"/>
          <w:i/>
          <w:sz w:val="20"/>
        </w:rPr>
        <w:t>L.J.</w:t>
      </w:r>
      <w:r>
        <w:rPr>
          <w:rFonts w:ascii="Arial" w:hAnsi="Arial"/>
          <w:i/>
          <w:spacing w:val="34"/>
          <w:sz w:val="20"/>
        </w:rPr>
        <w:t> </w:t>
      </w:r>
      <w:r>
        <w:rPr>
          <w:rFonts w:ascii="Arial" w:hAnsi="Arial"/>
          <w:i/>
          <w:sz w:val="20"/>
        </w:rPr>
        <w:t>341</w:t>
      </w:r>
      <w:r>
        <w:rPr>
          <w:sz w:val="20"/>
        </w:rPr>
        <w:t>;</w:t>
      </w:r>
      <w:r>
        <w:rPr>
          <w:spacing w:val="34"/>
          <w:sz w:val="20"/>
        </w:rPr>
        <w:t> </w:t>
      </w:r>
      <w:r>
        <w:rPr>
          <w:rFonts w:ascii="Arial" w:hAnsi="Arial"/>
          <w:i/>
          <w:sz w:val="20"/>
        </w:rPr>
        <w:t>Heineman</w:t>
      </w:r>
      <w:r>
        <w:rPr>
          <w:rFonts w:ascii="Arial" w:hAnsi="Arial"/>
          <w:i/>
          <w:spacing w:val="34"/>
          <w:sz w:val="20"/>
        </w:rPr>
        <w:t> </w:t>
      </w:r>
      <w:r>
        <w:rPr>
          <w:rFonts w:ascii="Arial" w:hAnsi="Arial"/>
          <w:i/>
          <w:sz w:val="20"/>
        </w:rPr>
        <w:t>v</w:t>
      </w:r>
      <w:r>
        <w:rPr>
          <w:rFonts w:ascii="Arial" w:hAnsi="Arial"/>
          <w:i/>
          <w:spacing w:val="34"/>
          <w:sz w:val="20"/>
        </w:rPr>
        <w:t> </w:t>
      </w:r>
      <w:r>
        <w:rPr>
          <w:rFonts w:ascii="Arial" w:hAnsi="Arial"/>
          <w:i/>
          <w:sz w:val="20"/>
        </w:rPr>
        <w:t>Cooper</w:t>
      </w:r>
      <w:r>
        <w:rPr>
          <w:rFonts w:ascii="Arial" w:hAnsi="Arial"/>
          <w:i/>
          <w:spacing w:val="34"/>
          <w:sz w:val="20"/>
        </w:rPr>
        <w:t> </w:t>
      </w:r>
      <w:r>
        <w:rPr>
          <w:rFonts w:ascii="Arial" w:hAnsi="Arial"/>
          <w:i/>
          <w:sz w:val="20"/>
        </w:rPr>
        <w:t>(1987)</w:t>
      </w:r>
      <w:r>
        <w:rPr>
          <w:rFonts w:ascii="Arial" w:hAnsi="Arial"/>
          <w:i/>
          <w:spacing w:val="34"/>
          <w:sz w:val="20"/>
        </w:rPr>
        <w:t> </w:t>
      </w:r>
      <w:r>
        <w:rPr>
          <w:rFonts w:ascii="Arial" w:hAnsi="Arial"/>
          <w:i/>
          <w:sz w:val="20"/>
        </w:rPr>
        <w:t>19</w:t>
      </w:r>
      <w:r>
        <w:rPr>
          <w:rFonts w:ascii="Arial" w:hAnsi="Arial"/>
          <w:i/>
          <w:spacing w:val="34"/>
          <w:sz w:val="20"/>
        </w:rPr>
        <w:t> </w:t>
      </w:r>
      <w:r>
        <w:rPr>
          <w:rFonts w:ascii="Arial" w:hAnsi="Arial"/>
          <w:i/>
          <w:sz w:val="20"/>
        </w:rPr>
        <w:t>H.L.R.</w:t>
      </w:r>
      <w:r>
        <w:rPr>
          <w:rFonts w:ascii="Arial" w:hAnsi="Arial"/>
          <w:i/>
          <w:spacing w:val="34"/>
          <w:sz w:val="20"/>
        </w:rPr>
        <w:t> </w:t>
      </w:r>
      <w:r>
        <w:rPr>
          <w:rFonts w:ascii="Arial" w:hAnsi="Arial"/>
          <w:i/>
          <w:sz w:val="20"/>
        </w:rPr>
        <w:t>262</w:t>
      </w:r>
      <w:r>
        <w:rPr>
          <w:rFonts w:ascii="Arial" w:hAnsi="Arial"/>
          <w:i/>
          <w:spacing w:val="33"/>
          <w:sz w:val="20"/>
        </w:rPr>
        <w:t> </w:t>
      </w:r>
      <w:r>
        <w:rPr>
          <w:sz w:val="20"/>
        </w:rPr>
        <w:t>(apparently</w:t>
      </w:r>
      <w:r>
        <w:rPr>
          <w:spacing w:val="34"/>
          <w:sz w:val="20"/>
        </w:rPr>
        <w:t> </w:t>
      </w:r>
      <w:r>
        <w:rPr>
          <w:sz w:val="20"/>
        </w:rPr>
        <w:t>an</w:t>
      </w:r>
      <w:r>
        <w:rPr>
          <w:spacing w:val="34"/>
          <w:sz w:val="20"/>
        </w:rPr>
        <w:t> </w:t>
      </w:r>
      <w:r>
        <w:rPr>
          <w:spacing w:val="-2"/>
          <w:sz w:val="20"/>
        </w:rPr>
        <w:t>action</w:t>
      </w:r>
    </w:p>
    <w:p>
      <w:pPr>
        <w:spacing w:line="225" w:lineRule="exact" w:before="0"/>
        <w:ind w:left="705" w:right="0" w:firstLine="0"/>
        <w:jc w:val="both"/>
        <w:rPr>
          <w:sz w:val="20"/>
        </w:rPr>
      </w:pPr>
      <w:r>
        <w:rPr>
          <w:sz w:val="20"/>
        </w:rPr>
        <w:t>under s.2(1));</w:t>
      </w:r>
      <w:r>
        <w:rPr>
          <w:spacing w:val="-1"/>
          <w:sz w:val="20"/>
        </w:rPr>
        <w:t> </w:t>
      </w:r>
      <w:r>
        <w:rPr>
          <w:rFonts w:ascii="Arial"/>
          <w:i/>
          <w:sz w:val="20"/>
        </w:rPr>
        <w:t>Cooper v Tamms [1988] 1 E.G.L.R. </w:t>
      </w:r>
      <w:r>
        <w:rPr>
          <w:rFonts w:ascii="Arial"/>
          <w:i/>
          <w:spacing w:val="-4"/>
          <w:sz w:val="20"/>
        </w:rPr>
        <w:t>257</w:t>
      </w:r>
      <w:r>
        <w:rPr>
          <w:spacing w:val="-4"/>
          <w:sz w:val="20"/>
        </w:rPr>
        <w:t>.</w:t>
      </w:r>
    </w:p>
    <w:p>
      <w:pPr>
        <w:pStyle w:val="BodyText"/>
        <w:spacing w:before="8"/>
      </w:pPr>
    </w:p>
    <w:p>
      <w:pPr>
        <w:spacing w:line="235" w:lineRule="auto" w:before="0"/>
        <w:ind w:left="705" w:right="168" w:hanging="541"/>
        <w:jc w:val="both"/>
        <w:rPr>
          <w:sz w:val="20"/>
        </w:rPr>
      </w:pPr>
      <w:bookmarkStart w:name="_bookmark793" w:id="795"/>
      <w:bookmarkEnd w:id="795"/>
      <w:r>
        <w:rPr/>
      </w:r>
      <w:hyperlink w:history="true" w:anchor="_bookmark667">
        <w:r>
          <w:rPr>
            <w:color w:val="005DA1"/>
            <w:position w:val="5"/>
            <w:sz w:val="14"/>
            <w:u w:val="single" w:color="005DA1"/>
          </w:rPr>
          <w:t>361</w:t>
        </w:r>
      </w:hyperlink>
      <w:r>
        <w:rPr>
          <w:position w:val="5"/>
          <w:sz w:val="14"/>
        </w:rPr>
        <w:t>.</w:t>
      </w:r>
      <w:r>
        <w:rPr>
          <w:spacing w:val="80"/>
          <w:position w:val="5"/>
          <w:sz w:val="14"/>
        </w:rPr>
        <w:t>  </w:t>
      </w:r>
      <w:r>
        <w:rPr>
          <w:rFonts w:ascii="Arial" w:hAnsi="Arial"/>
          <w:i/>
          <w:sz w:val="20"/>
        </w:rPr>
        <w:t>Royscot Trust Ltd v Rogerson [1991] 2 Q.B. 297</w:t>
      </w:r>
      <w:r>
        <w:rPr>
          <w:sz w:val="20"/>
        </w:rPr>
        <w:t>. Note that actual fraud still has to be proved if</w:t>
      </w:r>
      <w:r>
        <w:rPr>
          <w:spacing w:val="80"/>
          <w:sz w:val="20"/>
        </w:rPr>
        <w:t> </w:t>
      </w:r>
      <w:r>
        <w:rPr>
          <w:sz w:val="20"/>
        </w:rPr>
        <w:t>it becomes relevant for other purposes: </w:t>
      </w:r>
      <w:r>
        <w:rPr>
          <w:rFonts w:ascii="Arial" w:hAnsi="Arial"/>
          <w:i/>
          <w:sz w:val="20"/>
        </w:rPr>
        <w:t>Garden Neptune Shipping Ltd v Occidental World </w:t>
      </w:r>
      <w:r>
        <w:rPr>
          <w:rFonts w:ascii="Arial" w:hAnsi="Arial"/>
          <w:i/>
          <w:sz w:val="20"/>
        </w:rPr>
        <w:t>Wide Investment Ltd [1990] 1 Lloyd’s Rep. 330</w:t>
      </w:r>
      <w:r>
        <w:rPr>
          <w:sz w:val="20"/>
        </w:rPr>
        <w:t>.</w:t>
      </w:r>
    </w:p>
    <w:p>
      <w:pPr>
        <w:pStyle w:val="BodyText"/>
        <w:spacing w:before="9"/>
      </w:pPr>
    </w:p>
    <w:p>
      <w:pPr>
        <w:spacing w:line="235" w:lineRule="auto" w:before="0"/>
        <w:ind w:left="705" w:right="167" w:hanging="541"/>
        <w:jc w:val="both"/>
        <w:rPr>
          <w:sz w:val="20"/>
        </w:rPr>
      </w:pPr>
      <w:bookmarkStart w:name="_bookmark794" w:id="796"/>
      <w:bookmarkEnd w:id="796"/>
      <w:r>
        <w:rPr/>
      </w:r>
      <w:hyperlink w:history="true" w:anchor="_bookmark668">
        <w:r>
          <w:rPr>
            <w:color w:val="005DA1"/>
            <w:position w:val="5"/>
            <w:sz w:val="14"/>
            <w:u w:val="single" w:color="005DA1"/>
          </w:rPr>
          <w:t>362</w:t>
        </w:r>
      </w:hyperlink>
      <w:r>
        <w:rPr>
          <w:position w:val="5"/>
          <w:sz w:val="14"/>
        </w:rPr>
        <w:t>.</w:t>
      </w:r>
      <w:r>
        <w:rPr>
          <w:spacing w:val="40"/>
          <w:position w:val="5"/>
          <w:sz w:val="14"/>
        </w:rPr>
        <w:t>  </w:t>
      </w:r>
      <w:r>
        <w:rPr>
          <w:sz w:val="20"/>
        </w:rPr>
        <w:t>Though see the contrary suggestion in </w:t>
      </w:r>
      <w:r>
        <w:rPr>
          <w:rFonts w:ascii="Arial" w:hAnsi="Arial"/>
          <w:i/>
          <w:sz w:val="20"/>
        </w:rPr>
        <w:t>Jarvis v Swan Tours Ltd [1973] Q.B. 233, 237</w:t>
      </w:r>
      <w:r>
        <w:rPr>
          <w:sz w:val="20"/>
        </w:rPr>
        <w:t>. See also </w:t>
      </w:r>
      <w:r>
        <w:rPr>
          <w:rFonts w:ascii="Arial" w:hAnsi="Arial"/>
          <w:i/>
          <w:sz w:val="20"/>
        </w:rPr>
        <w:t>Davis &amp; Co (Wines) Ltd v Afa-Minerva (EMI) Ltd [1974] 2 Lloyd’s Rep. 27</w:t>
      </w:r>
      <w:r>
        <w:rPr>
          <w:sz w:val="20"/>
        </w:rPr>
        <w:t>; </w:t>
      </w:r>
      <w:r>
        <w:rPr>
          <w:rFonts w:ascii="Arial" w:hAnsi="Arial"/>
          <w:i/>
          <w:sz w:val="20"/>
        </w:rPr>
        <w:t>Esso Petroleum Co Ltd v Mardon [1976] Q.B. 801</w:t>
      </w:r>
      <w:r>
        <w:rPr>
          <w:sz w:val="20"/>
        </w:rPr>
        <w:t>. </w:t>
      </w:r>
      <w:r>
        <w:rPr>
          <w:rFonts w:ascii="Arial" w:hAnsi="Arial"/>
          <w:i/>
          <w:sz w:val="20"/>
        </w:rPr>
        <w:t>Watts v Spence [1976] Ch. 165</w:t>
      </w:r>
      <w:r>
        <w:rPr>
          <w:sz w:val="20"/>
        </w:rPr>
        <w:t>, which suggested that damages under s.2(1) might be on a loss of bargain basis, has been disapproved: see above, para.7-058 </w:t>
      </w:r>
      <w:r>
        <w:rPr>
          <w:spacing w:val="-2"/>
          <w:sz w:val="20"/>
        </w:rPr>
        <w:t>n.285.</w:t>
      </w:r>
    </w:p>
    <w:p>
      <w:pPr>
        <w:pStyle w:val="BodyText"/>
        <w:spacing w:before="4"/>
      </w:pPr>
    </w:p>
    <w:p>
      <w:pPr>
        <w:tabs>
          <w:tab w:pos="705" w:val="left" w:leader="none"/>
        </w:tabs>
        <w:spacing w:before="1"/>
        <w:ind w:left="165" w:right="0" w:firstLine="0"/>
        <w:jc w:val="left"/>
        <w:rPr>
          <w:sz w:val="20"/>
        </w:rPr>
      </w:pPr>
      <w:bookmarkStart w:name="_bookmark795" w:id="797"/>
      <w:bookmarkEnd w:id="797"/>
      <w:r>
        <w:rPr/>
      </w:r>
      <w:hyperlink w:history="true" w:anchor="_bookmark669">
        <w:r>
          <w:rPr>
            <w:color w:val="005DA1"/>
            <w:spacing w:val="-4"/>
            <w:position w:val="5"/>
            <w:sz w:val="14"/>
            <w:u w:val="single" w:color="005DA1"/>
          </w:rPr>
          <w:t>363</w:t>
        </w:r>
      </w:hyperlink>
      <w:r>
        <w:rPr>
          <w:spacing w:val="-4"/>
          <w:position w:val="5"/>
          <w:sz w:val="14"/>
        </w:rPr>
        <w:t>.</w:t>
      </w:r>
      <w:r>
        <w:rPr>
          <w:position w:val="5"/>
          <w:sz w:val="14"/>
        </w:rPr>
        <w:tab/>
      </w:r>
      <w:r>
        <w:rPr>
          <w:sz w:val="20"/>
        </w:rPr>
        <w:t>Above, para.7-</w:t>
      </w:r>
      <w:r>
        <w:rPr>
          <w:spacing w:val="-4"/>
          <w:sz w:val="20"/>
        </w:rPr>
        <w:t>056.</w:t>
      </w:r>
    </w:p>
    <w:p>
      <w:pPr>
        <w:pStyle w:val="BodyText"/>
        <w:spacing w:before="8"/>
      </w:pPr>
    </w:p>
    <w:p>
      <w:pPr>
        <w:tabs>
          <w:tab w:pos="705" w:val="left" w:leader="none"/>
        </w:tabs>
        <w:spacing w:line="235" w:lineRule="auto" w:before="0"/>
        <w:ind w:left="705" w:right="168" w:hanging="541"/>
        <w:jc w:val="left"/>
        <w:rPr>
          <w:sz w:val="20"/>
        </w:rPr>
      </w:pPr>
      <w:bookmarkStart w:name="_bookmark796" w:id="798"/>
      <w:bookmarkEnd w:id="798"/>
      <w:r>
        <w:rPr/>
      </w:r>
      <w:hyperlink w:history="true" w:anchor="_bookmark670">
        <w:r>
          <w:rPr>
            <w:color w:val="005DA1"/>
            <w:spacing w:val="-4"/>
            <w:position w:val="5"/>
            <w:sz w:val="14"/>
            <w:u w:val="single" w:color="005DA1"/>
          </w:rPr>
          <w:t>364</w:t>
        </w:r>
      </w:hyperlink>
      <w:r>
        <w:rPr>
          <w:spacing w:val="-4"/>
          <w:position w:val="5"/>
          <w:sz w:val="14"/>
        </w:rPr>
        <w:t>.</w:t>
      </w:r>
      <w:r>
        <w:rPr>
          <w:position w:val="5"/>
          <w:sz w:val="14"/>
        </w:rPr>
        <w:tab/>
      </w:r>
      <w:r>
        <w:rPr>
          <w:sz w:val="20"/>
        </w:rPr>
        <w:t>Above,</w:t>
      </w:r>
      <w:r>
        <w:rPr>
          <w:spacing w:val="29"/>
          <w:sz w:val="20"/>
        </w:rPr>
        <w:t> </w:t>
      </w:r>
      <w:r>
        <w:rPr>
          <w:sz w:val="20"/>
        </w:rPr>
        <w:t>paras</w:t>
      </w:r>
      <w:r>
        <w:rPr>
          <w:spacing w:val="29"/>
          <w:sz w:val="20"/>
        </w:rPr>
        <w:t> </w:t>
      </w:r>
      <w:r>
        <w:rPr>
          <w:sz w:val="20"/>
        </w:rPr>
        <w:t>7-061—7-066.</w:t>
      </w:r>
      <w:r>
        <w:rPr>
          <w:spacing w:val="29"/>
          <w:sz w:val="20"/>
        </w:rPr>
        <w:t> </w:t>
      </w:r>
      <w:r>
        <w:rPr>
          <w:sz w:val="20"/>
        </w:rPr>
        <w:t>In</w:t>
      </w:r>
      <w:r>
        <w:rPr>
          <w:spacing w:val="28"/>
          <w:sz w:val="20"/>
        </w:rPr>
        <w:t> </w:t>
      </w:r>
      <w:r>
        <w:rPr>
          <w:rFonts w:ascii="Arial" w:hAnsi="Arial"/>
          <w:i/>
          <w:sz w:val="20"/>
        </w:rPr>
        <w:t>Young</w:t>
      </w:r>
      <w:r>
        <w:rPr>
          <w:rFonts w:ascii="Arial" w:hAnsi="Arial"/>
          <w:i/>
          <w:spacing w:val="29"/>
          <w:sz w:val="20"/>
        </w:rPr>
        <w:t> </w:t>
      </w:r>
      <w:r>
        <w:rPr>
          <w:rFonts w:ascii="Arial" w:hAnsi="Arial"/>
          <w:i/>
          <w:sz w:val="20"/>
        </w:rPr>
        <w:t>v</w:t>
      </w:r>
      <w:r>
        <w:rPr>
          <w:rFonts w:ascii="Arial" w:hAnsi="Arial"/>
          <w:i/>
          <w:spacing w:val="29"/>
          <w:sz w:val="20"/>
        </w:rPr>
        <w:t> </w:t>
      </w:r>
      <w:r>
        <w:rPr>
          <w:rFonts w:ascii="Arial" w:hAnsi="Arial"/>
          <w:i/>
          <w:sz w:val="20"/>
        </w:rPr>
        <w:t>Hamilton</w:t>
      </w:r>
      <w:r>
        <w:rPr>
          <w:rFonts w:ascii="Arial" w:hAnsi="Arial"/>
          <w:i/>
          <w:spacing w:val="29"/>
          <w:sz w:val="20"/>
        </w:rPr>
        <w:t> </w:t>
      </w:r>
      <w:r>
        <w:rPr>
          <w:rFonts w:ascii="Arial" w:hAnsi="Arial"/>
          <w:i/>
          <w:sz w:val="20"/>
        </w:rPr>
        <w:t>[2012]</w:t>
      </w:r>
      <w:r>
        <w:rPr>
          <w:rFonts w:ascii="Arial" w:hAnsi="Arial"/>
          <w:i/>
          <w:spacing w:val="29"/>
          <w:sz w:val="20"/>
        </w:rPr>
        <w:t> </w:t>
      </w:r>
      <w:r>
        <w:rPr>
          <w:rFonts w:ascii="Arial" w:hAnsi="Arial"/>
          <w:i/>
          <w:sz w:val="20"/>
        </w:rPr>
        <w:t>NICh</w:t>
      </w:r>
      <w:r>
        <w:rPr>
          <w:rFonts w:ascii="Arial" w:hAnsi="Arial"/>
          <w:i/>
          <w:spacing w:val="29"/>
          <w:sz w:val="20"/>
        </w:rPr>
        <w:t> </w:t>
      </w:r>
      <w:r>
        <w:rPr>
          <w:rFonts w:ascii="Arial" w:hAnsi="Arial"/>
          <w:i/>
          <w:sz w:val="20"/>
        </w:rPr>
        <w:t>4</w:t>
      </w:r>
      <w:r>
        <w:rPr>
          <w:rFonts w:ascii="Arial" w:hAnsi="Arial"/>
          <w:i/>
          <w:spacing w:val="28"/>
          <w:sz w:val="20"/>
        </w:rPr>
        <w:t> </w:t>
      </w:r>
      <w:r>
        <w:rPr>
          <w:sz w:val="20"/>
        </w:rPr>
        <w:t>damages</w:t>
      </w:r>
      <w:r>
        <w:rPr>
          <w:spacing w:val="29"/>
          <w:sz w:val="20"/>
        </w:rPr>
        <w:t> </w:t>
      </w:r>
      <w:r>
        <w:rPr>
          <w:sz w:val="20"/>
        </w:rPr>
        <w:t>for</w:t>
      </w:r>
      <w:r>
        <w:rPr>
          <w:spacing w:val="29"/>
          <w:sz w:val="20"/>
        </w:rPr>
        <w:t> </w:t>
      </w:r>
      <w:r>
        <w:rPr>
          <w:sz w:val="20"/>
        </w:rPr>
        <w:t>distress</w:t>
      </w:r>
      <w:r>
        <w:rPr>
          <w:spacing w:val="29"/>
          <w:sz w:val="20"/>
        </w:rPr>
        <w:t> </w:t>
      </w:r>
      <w:r>
        <w:rPr>
          <w:sz w:val="20"/>
        </w:rPr>
        <w:t>were awarded (cf. above, para.7-068) under s.2(1) without referring to the fiction of fraud.</w:t>
      </w:r>
    </w:p>
    <w:p>
      <w:pPr>
        <w:pStyle w:val="BodyText"/>
        <w:spacing w:before="10"/>
      </w:pPr>
    </w:p>
    <w:p>
      <w:pPr>
        <w:tabs>
          <w:tab w:pos="705" w:val="left" w:leader="none"/>
        </w:tabs>
        <w:spacing w:line="235" w:lineRule="auto" w:before="0"/>
        <w:ind w:left="705" w:right="168" w:hanging="541"/>
        <w:jc w:val="left"/>
        <w:rPr>
          <w:sz w:val="20"/>
        </w:rPr>
      </w:pPr>
      <w:bookmarkStart w:name="_bookmark797" w:id="799"/>
      <w:bookmarkEnd w:id="799"/>
      <w:r>
        <w:rPr/>
      </w:r>
      <w:hyperlink w:history="true" w:anchor="_bookmark671">
        <w:r>
          <w:rPr>
            <w:color w:val="005DA1"/>
            <w:spacing w:val="-4"/>
            <w:position w:val="5"/>
            <w:sz w:val="14"/>
            <w:u w:val="single" w:color="005DA1"/>
          </w:rPr>
          <w:t>365</w:t>
        </w:r>
      </w:hyperlink>
      <w:r>
        <w:rPr>
          <w:spacing w:val="-4"/>
          <w:position w:val="5"/>
          <w:sz w:val="14"/>
        </w:rPr>
        <w:t>.</w:t>
      </w:r>
      <w:r>
        <w:rPr>
          <w:position w:val="5"/>
          <w:sz w:val="14"/>
        </w:rPr>
        <w:tab/>
      </w:r>
      <w:r>
        <w:rPr>
          <w:sz w:val="20"/>
        </w:rPr>
        <w:t>See</w:t>
      </w:r>
      <w:r>
        <w:rPr>
          <w:spacing w:val="20"/>
          <w:sz w:val="20"/>
        </w:rPr>
        <w:t> </w:t>
      </w:r>
      <w:r>
        <w:rPr>
          <w:sz w:val="20"/>
        </w:rPr>
        <w:t>the</w:t>
      </w:r>
      <w:r>
        <w:rPr>
          <w:spacing w:val="20"/>
          <w:sz w:val="20"/>
        </w:rPr>
        <w:t> </w:t>
      </w:r>
      <w:r>
        <w:rPr>
          <w:sz w:val="20"/>
        </w:rPr>
        <w:t>words</w:t>
      </w:r>
      <w:r>
        <w:rPr>
          <w:spacing w:val="20"/>
          <w:sz w:val="20"/>
        </w:rPr>
        <w:t> </w:t>
      </w:r>
      <w:r>
        <w:rPr>
          <w:sz w:val="20"/>
        </w:rPr>
        <w:t>of</w:t>
      </w:r>
      <w:r>
        <w:rPr>
          <w:spacing w:val="20"/>
          <w:sz w:val="20"/>
        </w:rPr>
        <w:t> </w:t>
      </w:r>
      <w:r>
        <w:rPr>
          <w:sz w:val="20"/>
        </w:rPr>
        <w:t>Lord</w:t>
      </w:r>
      <w:r>
        <w:rPr>
          <w:spacing w:val="20"/>
          <w:sz w:val="20"/>
        </w:rPr>
        <w:t> </w:t>
      </w:r>
      <w:r>
        <w:rPr>
          <w:sz w:val="20"/>
        </w:rPr>
        <w:t>Steyn</w:t>
      </w:r>
      <w:r>
        <w:rPr>
          <w:spacing w:val="20"/>
          <w:sz w:val="20"/>
        </w:rPr>
        <w:t> </w:t>
      </w:r>
      <w:r>
        <w:rPr>
          <w:sz w:val="20"/>
        </w:rPr>
        <w:t>in</w:t>
      </w:r>
      <w:r>
        <w:rPr>
          <w:spacing w:val="20"/>
          <w:sz w:val="20"/>
        </w:rPr>
        <w:t> </w:t>
      </w:r>
      <w:r>
        <w:rPr>
          <w:rFonts w:ascii="Arial"/>
          <w:i/>
          <w:sz w:val="20"/>
        </w:rPr>
        <w:t>Smith</w:t>
      </w:r>
      <w:r>
        <w:rPr>
          <w:rFonts w:ascii="Arial"/>
          <w:i/>
          <w:spacing w:val="20"/>
          <w:sz w:val="20"/>
        </w:rPr>
        <w:t> </w:t>
      </w:r>
      <w:r>
        <w:rPr>
          <w:rFonts w:ascii="Arial"/>
          <w:i/>
          <w:sz w:val="20"/>
        </w:rPr>
        <w:t>New</w:t>
      </w:r>
      <w:r>
        <w:rPr>
          <w:rFonts w:ascii="Arial"/>
          <w:i/>
          <w:spacing w:val="20"/>
          <w:sz w:val="20"/>
        </w:rPr>
        <w:t> </w:t>
      </w:r>
      <w:r>
        <w:rPr>
          <w:rFonts w:ascii="Arial"/>
          <w:i/>
          <w:sz w:val="20"/>
        </w:rPr>
        <w:t>Court</w:t>
      </w:r>
      <w:r>
        <w:rPr>
          <w:rFonts w:ascii="Arial"/>
          <w:i/>
          <w:spacing w:val="20"/>
          <w:sz w:val="20"/>
        </w:rPr>
        <w:t> </w:t>
      </w:r>
      <w:r>
        <w:rPr>
          <w:rFonts w:ascii="Arial"/>
          <w:i/>
          <w:sz w:val="20"/>
        </w:rPr>
        <w:t>Securities</w:t>
      </w:r>
      <w:r>
        <w:rPr>
          <w:rFonts w:ascii="Arial"/>
          <w:i/>
          <w:spacing w:val="20"/>
          <w:sz w:val="20"/>
        </w:rPr>
        <w:t> </w:t>
      </w:r>
      <w:r>
        <w:rPr>
          <w:rFonts w:ascii="Arial"/>
          <w:i/>
          <w:sz w:val="20"/>
        </w:rPr>
        <w:t>Ltd</w:t>
      </w:r>
      <w:r>
        <w:rPr>
          <w:rFonts w:ascii="Arial"/>
          <w:i/>
          <w:spacing w:val="20"/>
          <w:sz w:val="20"/>
        </w:rPr>
        <w:t> </w:t>
      </w:r>
      <w:r>
        <w:rPr>
          <w:rFonts w:ascii="Arial"/>
          <w:i/>
          <w:sz w:val="20"/>
        </w:rPr>
        <w:t>v</w:t>
      </w:r>
      <w:r>
        <w:rPr>
          <w:rFonts w:ascii="Arial"/>
          <w:i/>
          <w:spacing w:val="20"/>
          <w:sz w:val="20"/>
        </w:rPr>
        <w:t> </w:t>
      </w:r>
      <w:r>
        <w:rPr>
          <w:rFonts w:ascii="Arial"/>
          <w:i/>
          <w:sz w:val="20"/>
        </w:rPr>
        <w:t>Scrimgeour</w:t>
      </w:r>
      <w:r>
        <w:rPr>
          <w:rFonts w:ascii="Arial"/>
          <w:i/>
          <w:spacing w:val="20"/>
          <w:sz w:val="20"/>
        </w:rPr>
        <w:t> </w:t>
      </w:r>
      <w:r>
        <w:rPr>
          <w:rFonts w:ascii="Arial"/>
          <w:i/>
          <w:sz w:val="20"/>
        </w:rPr>
        <w:t>Vickers</w:t>
      </w:r>
      <w:r>
        <w:rPr>
          <w:rFonts w:ascii="Arial"/>
          <w:i/>
          <w:spacing w:val="20"/>
          <w:sz w:val="20"/>
        </w:rPr>
        <w:t> </w:t>
      </w:r>
      <w:r>
        <w:rPr>
          <w:rFonts w:ascii="Arial"/>
          <w:i/>
          <w:sz w:val="20"/>
        </w:rPr>
        <w:t>(Asset Management) Ltd [1997] A.C. 254, 280</w:t>
      </w:r>
      <w:r>
        <w:rPr>
          <w:sz w:val="20"/>
        </w:rPr>
        <w:t>, referred to earlier, para.7-064.</w:t>
      </w:r>
    </w:p>
    <w:p>
      <w:pPr>
        <w:pStyle w:val="BodyText"/>
        <w:spacing w:before="9"/>
      </w:pPr>
    </w:p>
    <w:p>
      <w:pPr>
        <w:tabs>
          <w:tab w:pos="705" w:val="left" w:leader="none"/>
        </w:tabs>
        <w:spacing w:line="235" w:lineRule="auto" w:before="0"/>
        <w:ind w:left="705" w:right="168" w:hanging="541"/>
        <w:jc w:val="left"/>
        <w:rPr>
          <w:sz w:val="20"/>
        </w:rPr>
      </w:pPr>
      <w:bookmarkStart w:name="_bookmark798" w:id="800"/>
      <w:bookmarkEnd w:id="800"/>
      <w:r>
        <w:rPr/>
      </w:r>
      <w:hyperlink w:history="true" w:anchor="_bookmark672">
        <w:r>
          <w:rPr>
            <w:color w:val="005DA1"/>
            <w:spacing w:val="-4"/>
            <w:position w:val="5"/>
            <w:sz w:val="14"/>
            <w:u w:val="single" w:color="005DA1"/>
          </w:rPr>
          <w:t>366</w:t>
        </w:r>
      </w:hyperlink>
      <w:r>
        <w:rPr>
          <w:spacing w:val="-4"/>
          <w:position w:val="5"/>
          <w:sz w:val="14"/>
        </w:rPr>
        <w:t>.</w:t>
      </w:r>
      <w:r>
        <w:rPr>
          <w:position w:val="5"/>
          <w:sz w:val="14"/>
        </w:rPr>
        <w:tab/>
      </w:r>
      <w:r>
        <w:rPr>
          <w:sz w:val="20"/>
        </w:rPr>
        <w:t>Chitty,</w:t>
      </w:r>
      <w:r>
        <w:rPr>
          <w:spacing w:val="28"/>
          <w:sz w:val="20"/>
        </w:rPr>
        <w:t> </w:t>
      </w:r>
      <w:r>
        <w:rPr>
          <w:sz w:val="20"/>
        </w:rPr>
        <w:t>26th</w:t>
      </w:r>
      <w:r>
        <w:rPr>
          <w:spacing w:val="28"/>
          <w:sz w:val="20"/>
        </w:rPr>
        <w:t> </w:t>
      </w:r>
      <w:r>
        <w:rPr>
          <w:sz w:val="20"/>
        </w:rPr>
        <w:t>edn,</w:t>
      </w:r>
      <w:r>
        <w:rPr>
          <w:spacing w:val="28"/>
          <w:sz w:val="20"/>
        </w:rPr>
        <w:t> </w:t>
      </w:r>
      <w:r>
        <w:rPr>
          <w:sz w:val="20"/>
        </w:rPr>
        <w:t>Ch.6,</w:t>
      </w:r>
      <w:r>
        <w:rPr>
          <w:spacing w:val="28"/>
          <w:sz w:val="20"/>
        </w:rPr>
        <w:t> </w:t>
      </w:r>
      <w:r>
        <w:rPr>
          <w:sz w:val="20"/>
        </w:rPr>
        <w:t>para.439,</w:t>
      </w:r>
      <w:r>
        <w:rPr>
          <w:spacing w:val="28"/>
          <w:sz w:val="20"/>
        </w:rPr>
        <w:t> </w:t>
      </w:r>
      <w:r>
        <w:rPr>
          <w:sz w:val="20"/>
        </w:rPr>
        <w:t>referring</w:t>
      </w:r>
      <w:r>
        <w:rPr>
          <w:spacing w:val="28"/>
          <w:sz w:val="20"/>
        </w:rPr>
        <w:t> </w:t>
      </w:r>
      <w:r>
        <w:rPr>
          <w:sz w:val="20"/>
        </w:rPr>
        <w:t>to</w:t>
      </w:r>
      <w:r>
        <w:rPr>
          <w:spacing w:val="28"/>
          <w:sz w:val="20"/>
        </w:rPr>
        <w:t> </w:t>
      </w:r>
      <w:r>
        <w:rPr>
          <w:sz w:val="20"/>
        </w:rPr>
        <w:t>Peel,</w:t>
      </w:r>
      <w:r>
        <w:rPr>
          <w:spacing w:val="28"/>
          <w:sz w:val="20"/>
        </w:rPr>
        <w:t> </w:t>
      </w:r>
      <w:r>
        <w:rPr>
          <w:rFonts w:ascii="Arial"/>
          <w:i/>
          <w:sz w:val="20"/>
        </w:rPr>
        <w:t>Treitel</w:t>
      </w:r>
      <w:r>
        <w:rPr>
          <w:rFonts w:ascii="Arial"/>
          <w:i/>
          <w:spacing w:val="28"/>
          <w:sz w:val="20"/>
        </w:rPr>
        <w:t> </w:t>
      </w:r>
      <w:r>
        <w:rPr>
          <w:rFonts w:ascii="Arial"/>
          <w:i/>
          <w:sz w:val="20"/>
        </w:rPr>
        <w:t>on</w:t>
      </w:r>
      <w:r>
        <w:rPr>
          <w:rFonts w:ascii="Arial"/>
          <w:i/>
          <w:spacing w:val="28"/>
          <w:sz w:val="20"/>
        </w:rPr>
        <w:t> </w:t>
      </w:r>
      <w:r>
        <w:rPr>
          <w:rFonts w:ascii="Arial"/>
          <w:i/>
          <w:sz w:val="20"/>
        </w:rPr>
        <w:t>The</w:t>
      </w:r>
      <w:r>
        <w:rPr>
          <w:rFonts w:ascii="Arial"/>
          <w:i/>
          <w:spacing w:val="28"/>
          <w:sz w:val="20"/>
        </w:rPr>
        <w:t> </w:t>
      </w:r>
      <w:r>
        <w:rPr>
          <w:rFonts w:ascii="Arial"/>
          <w:i/>
          <w:sz w:val="20"/>
        </w:rPr>
        <w:t>Law</w:t>
      </w:r>
      <w:r>
        <w:rPr>
          <w:rFonts w:ascii="Arial"/>
          <w:i/>
          <w:spacing w:val="28"/>
          <w:sz w:val="20"/>
        </w:rPr>
        <w:t> </w:t>
      </w:r>
      <w:r>
        <w:rPr>
          <w:rFonts w:ascii="Arial"/>
          <w:i/>
          <w:sz w:val="20"/>
        </w:rPr>
        <w:t>of</w:t>
      </w:r>
      <w:r>
        <w:rPr>
          <w:rFonts w:ascii="Arial"/>
          <w:i/>
          <w:spacing w:val="28"/>
          <w:sz w:val="20"/>
        </w:rPr>
        <w:t> </w:t>
      </w:r>
      <w:r>
        <w:rPr>
          <w:rFonts w:ascii="Arial"/>
          <w:i/>
          <w:sz w:val="20"/>
        </w:rPr>
        <w:t>Contract</w:t>
      </w:r>
      <w:r>
        <w:rPr>
          <w:sz w:val="20"/>
        </w:rPr>
        <w:t>,</w:t>
      </w:r>
      <w:r>
        <w:rPr>
          <w:spacing w:val="28"/>
          <w:sz w:val="20"/>
        </w:rPr>
        <w:t> </w:t>
      </w:r>
      <w:r>
        <w:rPr>
          <w:sz w:val="20"/>
        </w:rPr>
        <w:t>7th</w:t>
      </w:r>
      <w:r>
        <w:rPr>
          <w:spacing w:val="28"/>
          <w:sz w:val="20"/>
        </w:rPr>
        <w:t> </w:t>
      </w:r>
      <w:r>
        <w:rPr>
          <w:sz w:val="20"/>
        </w:rPr>
        <w:t>edn, </w:t>
      </w:r>
      <w:r>
        <w:rPr>
          <w:spacing w:val="-2"/>
          <w:sz w:val="20"/>
        </w:rPr>
        <w:t>p.278.</w:t>
      </w:r>
    </w:p>
    <w:p>
      <w:pPr>
        <w:pStyle w:val="BodyText"/>
        <w:spacing w:before="5"/>
      </w:pPr>
    </w:p>
    <w:p>
      <w:pPr>
        <w:tabs>
          <w:tab w:pos="705" w:val="left" w:leader="none"/>
        </w:tabs>
        <w:spacing w:before="0"/>
        <w:ind w:left="165" w:right="0" w:firstLine="0"/>
        <w:jc w:val="left"/>
        <w:rPr>
          <w:sz w:val="20"/>
        </w:rPr>
      </w:pPr>
      <w:bookmarkStart w:name="_bookmark799" w:id="801"/>
      <w:bookmarkEnd w:id="801"/>
      <w:r>
        <w:rPr/>
      </w:r>
      <w:hyperlink w:history="true" w:anchor="_bookmark673">
        <w:r>
          <w:rPr>
            <w:color w:val="005DA1"/>
            <w:spacing w:val="-4"/>
            <w:position w:val="5"/>
            <w:sz w:val="14"/>
            <w:u w:val="single" w:color="005DA1"/>
          </w:rPr>
          <w:t>367</w:t>
        </w:r>
      </w:hyperlink>
      <w:r>
        <w:rPr>
          <w:spacing w:val="-4"/>
          <w:position w:val="5"/>
          <w:sz w:val="14"/>
        </w:rPr>
        <w:t>.</w:t>
      </w:r>
      <w:r>
        <w:rPr>
          <w:position w:val="5"/>
          <w:sz w:val="14"/>
        </w:rPr>
        <w:tab/>
      </w:r>
      <w:r>
        <w:rPr>
          <w:rFonts w:ascii="Arial"/>
          <w:i/>
          <w:sz w:val="20"/>
        </w:rPr>
        <w:t>[1991]</w:t>
      </w:r>
      <w:r>
        <w:rPr>
          <w:rFonts w:ascii="Arial"/>
          <w:i/>
          <w:spacing w:val="-1"/>
          <w:sz w:val="20"/>
        </w:rPr>
        <w:t> </w:t>
      </w:r>
      <w:r>
        <w:rPr>
          <w:rFonts w:ascii="Arial"/>
          <w:i/>
          <w:sz w:val="20"/>
        </w:rPr>
        <w:t>2 Q.B. 297</w:t>
      </w:r>
      <w:r>
        <w:rPr>
          <w:sz w:val="20"/>
        </w:rPr>
        <w:t>. See the criticisms of that case in (1991) 107 L.Q.R. </w:t>
      </w:r>
      <w:r>
        <w:rPr>
          <w:spacing w:val="-4"/>
          <w:sz w:val="20"/>
        </w:rPr>
        <w:t>547.</w:t>
      </w:r>
    </w:p>
    <w:p>
      <w:pPr>
        <w:pStyle w:val="BodyText"/>
        <w:spacing w:before="5"/>
      </w:pPr>
    </w:p>
    <w:p>
      <w:pPr>
        <w:tabs>
          <w:tab w:pos="705" w:val="left" w:leader="none"/>
        </w:tabs>
        <w:spacing w:before="1"/>
        <w:ind w:left="165" w:right="0" w:firstLine="0"/>
        <w:jc w:val="left"/>
        <w:rPr>
          <w:sz w:val="20"/>
        </w:rPr>
      </w:pPr>
      <w:bookmarkStart w:name="_bookmark800" w:id="802"/>
      <w:bookmarkEnd w:id="802"/>
      <w:r>
        <w:rPr/>
      </w:r>
      <w:hyperlink w:history="true" w:anchor="_bookmark674">
        <w:r>
          <w:rPr>
            <w:color w:val="005DA1"/>
            <w:spacing w:val="-4"/>
            <w:position w:val="5"/>
            <w:sz w:val="14"/>
            <w:u w:val="single" w:color="005DA1"/>
          </w:rPr>
          <w:t>368</w:t>
        </w:r>
      </w:hyperlink>
      <w:r>
        <w:rPr>
          <w:spacing w:val="-4"/>
          <w:position w:val="5"/>
          <w:sz w:val="14"/>
        </w:rPr>
        <w:t>.</w:t>
      </w:r>
      <w:r>
        <w:rPr>
          <w:position w:val="5"/>
          <w:sz w:val="14"/>
        </w:rPr>
        <w:tab/>
      </w:r>
      <w:r>
        <w:rPr>
          <w:rFonts w:ascii="Arial"/>
          <w:i/>
          <w:sz w:val="20"/>
        </w:rPr>
        <w:t>[1991] 2 Q.B. 297</w:t>
      </w:r>
      <w:r>
        <w:rPr>
          <w:rFonts w:ascii="Arial"/>
          <w:i/>
          <w:spacing w:val="-1"/>
          <w:sz w:val="20"/>
        </w:rPr>
        <w:t> </w:t>
      </w:r>
      <w:r>
        <w:rPr>
          <w:sz w:val="20"/>
        </w:rPr>
        <w:t>at 307 and </w:t>
      </w:r>
      <w:r>
        <w:rPr>
          <w:spacing w:val="-4"/>
          <w:sz w:val="20"/>
        </w:rPr>
        <w:t>309.</w:t>
      </w:r>
    </w:p>
    <w:p>
      <w:pPr>
        <w:pStyle w:val="BodyText"/>
        <w:spacing w:before="8"/>
      </w:pPr>
    </w:p>
    <w:p>
      <w:pPr>
        <w:spacing w:line="235" w:lineRule="auto" w:before="0"/>
        <w:ind w:left="705" w:right="167" w:hanging="541"/>
        <w:jc w:val="both"/>
        <w:rPr>
          <w:sz w:val="20"/>
        </w:rPr>
      </w:pPr>
      <w:bookmarkStart w:name="_bookmark801" w:id="803"/>
      <w:bookmarkEnd w:id="803"/>
      <w:r>
        <w:rPr/>
      </w:r>
      <w:hyperlink w:history="true" w:anchor="_bookmark675">
        <w:r>
          <w:rPr>
            <w:color w:val="005DA1"/>
            <w:position w:val="5"/>
            <w:sz w:val="14"/>
            <w:u w:val="single" w:color="005DA1"/>
          </w:rPr>
          <w:t>369</w:t>
        </w:r>
      </w:hyperlink>
      <w:r>
        <w:rPr>
          <w:position w:val="5"/>
          <w:sz w:val="14"/>
        </w:rPr>
        <w:t>.</w:t>
      </w:r>
      <w:r>
        <w:rPr>
          <w:spacing w:val="80"/>
          <w:w w:val="150"/>
          <w:position w:val="5"/>
          <w:sz w:val="14"/>
        </w:rPr>
        <w:t> </w:t>
      </w:r>
      <w:r>
        <w:rPr>
          <w:rFonts w:ascii="Arial" w:hAnsi="Arial"/>
          <w:i/>
          <w:sz w:val="20"/>
        </w:rPr>
        <w:t>[1997] A.C. 254 </w:t>
      </w:r>
      <w:r>
        <w:rPr>
          <w:sz w:val="20"/>
        </w:rPr>
        <w:t>at 267 and 283. In </w:t>
      </w:r>
      <w:r>
        <w:rPr>
          <w:rFonts w:ascii="Arial" w:hAnsi="Arial"/>
          <w:i/>
          <w:sz w:val="20"/>
        </w:rPr>
        <w:t>Avon Insurance v Swire [2000] 1 All E.R. (Comm) 573 </w:t>
      </w:r>
      <w:r>
        <w:rPr>
          <w:sz w:val="20"/>
        </w:rPr>
        <w:t>the defendants reserved the right to argue the correctness of the </w:t>
      </w:r>
      <w:r>
        <w:rPr>
          <w:rFonts w:ascii="Arial" w:hAnsi="Arial"/>
          <w:i/>
          <w:sz w:val="20"/>
        </w:rPr>
        <w:t>Royscot </w:t>
      </w:r>
      <w:r>
        <w:rPr>
          <w:sz w:val="20"/>
        </w:rPr>
        <w:t>case in a higher </w:t>
      </w:r>
      <w:r>
        <w:rPr>
          <w:sz w:val="20"/>
        </w:rPr>
        <w:t>court. See also </w:t>
      </w:r>
      <w:r>
        <w:rPr>
          <w:rFonts w:ascii="Arial" w:hAnsi="Arial"/>
          <w:i/>
          <w:sz w:val="20"/>
        </w:rPr>
        <w:t>Cheltenham BC v Laird [2009] I.R.L.R. </w:t>
      </w:r>
      <w:r>
        <w:rPr>
          <w:sz w:val="20"/>
        </w:rPr>
        <w:t>at [524]; </w:t>
      </w:r>
      <w:r>
        <w:rPr>
          <w:rFonts w:ascii="Arial" w:hAnsi="Arial"/>
          <w:i/>
          <w:sz w:val="20"/>
        </w:rPr>
        <w:t>Cassa di Risparmio della Repubblica di San Marino SpA v Barclays Bank Ltd [2011] EWHC 484 (Comm), [2011] 1 C.L.R. 701 </w:t>
      </w:r>
      <w:r>
        <w:rPr>
          <w:sz w:val="20"/>
        </w:rPr>
        <w:t>at [223]. But see </w:t>
      </w:r>
      <w:r>
        <w:rPr>
          <w:rFonts w:ascii="Arial" w:hAnsi="Arial"/>
          <w:i/>
          <w:sz w:val="20"/>
        </w:rPr>
        <w:t>Forest International Gaskets Ltd v Fosters Marketing Ltd [2005] EWCA Civ 700</w:t>
      </w:r>
      <w:r>
        <w:rPr>
          <w:rFonts w:ascii="Arial" w:hAnsi="Arial"/>
          <w:i/>
          <w:spacing w:val="40"/>
          <w:sz w:val="20"/>
        </w:rPr>
        <w:t> </w:t>
      </w:r>
      <w:r>
        <w:rPr>
          <w:sz w:val="20"/>
        </w:rPr>
        <w:t>at [15]–[16].</w:t>
      </w:r>
    </w:p>
    <w:p>
      <w:pPr>
        <w:pStyle w:val="BodyText"/>
        <w:spacing w:before="8"/>
      </w:pPr>
    </w:p>
    <w:p>
      <w:pPr>
        <w:tabs>
          <w:tab w:pos="705" w:val="left" w:leader="none"/>
        </w:tabs>
        <w:spacing w:line="235" w:lineRule="auto" w:before="0"/>
        <w:ind w:left="705" w:right="168" w:hanging="541"/>
        <w:jc w:val="left"/>
        <w:rPr>
          <w:sz w:val="20"/>
        </w:rPr>
      </w:pPr>
      <w:bookmarkStart w:name="_bookmark802" w:id="804"/>
      <w:bookmarkEnd w:id="804"/>
      <w:r>
        <w:rPr/>
      </w:r>
      <w:hyperlink w:history="true" w:anchor="_bookmark676">
        <w:r>
          <w:rPr>
            <w:color w:val="005DA1"/>
            <w:spacing w:val="-4"/>
            <w:position w:val="5"/>
            <w:sz w:val="14"/>
            <w:u w:val="single" w:color="005DA1"/>
          </w:rPr>
          <w:t>370</w:t>
        </w:r>
      </w:hyperlink>
      <w:r>
        <w:rPr>
          <w:spacing w:val="-4"/>
          <w:position w:val="5"/>
          <w:sz w:val="14"/>
        </w:rPr>
        <w:t>.</w:t>
      </w:r>
      <w:r>
        <w:rPr>
          <w:position w:val="5"/>
          <w:sz w:val="14"/>
        </w:rPr>
        <w:tab/>
      </w:r>
      <w:r>
        <w:rPr>
          <w:sz w:val="20"/>
        </w:rPr>
        <w:t>Above,</w:t>
      </w:r>
      <w:r>
        <w:rPr>
          <w:spacing w:val="39"/>
          <w:sz w:val="20"/>
        </w:rPr>
        <w:t> </w:t>
      </w:r>
      <w:r>
        <w:rPr>
          <w:sz w:val="20"/>
        </w:rPr>
        <w:t>paras</w:t>
      </w:r>
      <w:r>
        <w:rPr>
          <w:spacing w:val="39"/>
          <w:sz w:val="20"/>
        </w:rPr>
        <w:t> </w:t>
      </w:r>
      <w:r>
        <w:rPr>
          <w:sz w:val="20"/>
        </w:rPr>
        <w:t>7-061—7-066.</w:t>
      </w:r>
      <w:r>
        <w:rPr>
          <w:spacing w:val="39"/>
          <w:sz w:val="20"/>
        </w:rPr>
        <w:t> </w:t>
      </w:r>
      <w:r>
        <w:rPr>
          <w:sz w:val="20"/>
        </w:rPr>
        <w:t>See</w:t>
      </w:r>
      <w:r>
        <w:rPr>
          <w:spacing w:val="39"/>
          <w:sz w:val="20"/>
        </w:rPr>
        <w:t> </w:t>
      </w:r>
      <w:r>
        <w:rPr>
          <w:rFonts w:ascii="Arial" w:hAnsi="Arial"/>
          <w:i/>
          <w:sz w:val="20"/>
        </w:rPr>
        <w:t>Yam</w:t>
      </w:r>
      <w:r>
        <w:rPr>
          <w:rFonts w:ascii="Arial" w:hAnsi="Arial"/>
          <w:i/>
          <w:spacing w:val="39"/>
          <w:sz w:val="20"/>
        </w:rPr>
        <w:t> </w:t>
      </w:r>
      <w:r>
        <w:rPr>
          <w:rFonts w:ascii="Arial" w:hAnsi="Arial"/>
          <w:i/>
          <w:sz w:val="20"/>
        </w:rPr>
        <w:t>Seng</w:t>
      </w:r>
      <w:r>
        <w:rPr>
          <w:rFonts w:ascii="Arial" w:hAnsi="Arial"/>
          <w:i/>
          <w:spacing w:val="39"/>
          <w:sz w:val="20"/>
        </w:rPr>
        <w:t> </w:t>
      </w:r>
      <w:r>
        <w:rPr>
          <w:rFonts w:ascii="Arial" w:hAnsi="Arial"/>
          <w:i/>
          <w:sz w:val="20"/>
        </w:rPr>
        <w:t>Pte</w:t>
      </w:r>
      <w:r>
        <w:rPr>
          <w:rFonts w:ascii="Arial" w:hAnsi="Arial"/>
          <w:i/>
          <w:spacing w:val="39"/>
          <w:sz w:val="20"/>
        </w:rPr>
        <w:t> </w:t>
      </w:r>
      <w:r>
        <w:rPr>
          <w:rFonts w:ascii="Arial" w:hAnsi="Arial"/>
          <w:i/>
          <w:sz w:val="20"/>
        </w:rPr>
        <w:t>Ltd</w:t>
      </w:r>
      <w:r>
        <w:rPr>
          <w:rFonts w:ascii="Arial" w:hAnsi="Arial"/>
          <w:i/>
          <w:spacing w:val="39"/>
          <w:sz w:val="20"/>
        </w:rPr>
        <w:t> </w:t>
      </w:r>
      <w:r>
        <w:rPr>
          <w:rFonts w:ascii="Arial" w:hAnsi="Arial"/>
          <w:i/>
          <w:sz w:val="20"/>
        </w:rPr>
        <w:t>v</w:t>
      </w:r>
      <w:r>
        <w:rPr>
          <w:rFonts w:ascii="Arial" w:hAnsi="Arial"/>
          <w:i/>
          <w:spacing w:val="39"/>
          <w:sz w:val="20"/>
        </w:rPr>
        <w:t> </w:t>
      </w:r>
      <w:r>
        <w:rPr>
          <w:rFonts w:ascii="Arial" w:hAnsi="Arial"/>
          <w:i/>
          <w:sz w:val="20"/>
        </w:rPr>
        <w:t>International</w:t>
      </w:r>
      <w:r>
        <w:rPr>
          <w:rFonts w:ascii="Arial" w:hAnsi="Arial"/>
          <w:i/>
          <w:spacing w:val="39"/>
          <w:sz w:val="20"/>
        </w:rPr>
        <w:t> </w:t>
      </w:r>
      <w:r>
        <w:rPr>
          <w:rFonts w:ascii="Arial" w:hAnsi="Arial"/>
          <w:i/>
          <w:sz w:val="20"/>
        </w:rPr>
        <w:t>Trade</w:t>
      </w:r>
      <w:r>
        <w:rPr>
          <w:rFonts w:ascii="Arial" w:hAnsi="Arial"/>
          <w:i/>
          <w:spacing w:val="39"/>
          <w:sz w:val="20"/>
        </w:rPr>
        <w:t> </w:t>
      </w:r>
      <w:r>
        <w:rPr>
          <w:rFonts w:ascii="Arial" w:hAnsi="Arial"/>
          <w:i/>
          <w:sz w:val="20"/>
        </w:rPr>
        <w:t>Corp</w:t>
      </w:r>
      <w:r>
        <w:rPr>
          <w:rFonts w:ascii="Arial" w:hAnsi="Arial"/>
          <w:i/>
          <w:spacing w:val="39"/>
          <w:sz w:val="20"/>
        </w:rPr>
        <w:t> </w:t>
      </w:r>
      <w:r>
        <w:rPr>
          <w:rFonts w:ascii="Arial" w:hAnsi="Arial"/>
          <w:i/>
          <w:sz w:val="20"/>
        </w:rPr>
        <w:t>Ltd</w:t>
      </w:r>
      <w:r>
        <w:rPr>
          <w:rFonts w:ascii="Arial" w:hAnsi="Arial"/>
          <w:i/>
          <w:spacing w:val="39"/>
          <w:sz w:val="20"/>
        </w:rPr>
        <w:t> </w:t>
      </w:r>
      <w:r>
        <w:rPr>
          <w:rFonts w:ascii="Arial" w:hAnsi="Arial"/>
          <w:i/>
          <w:sz w:val="20"/>
        </w:rPr>
        <w:t>[2013] EWHC 111 (QB), [2013] 1 Lloyd’s Rep. 526 </w:t>
      </w:r>
      <w:r>
        <w:rPr>
          <w:sz w:val="20"/>
        </w:rPr>
        <w:t>at [207].</w:t>
      </w:r>
    </w:p>
    <w:p>
      <w:pPr>
        <w:pStyle w:val="BodyText"/>
        <w:spacing w:before="9"/>
      </w:pPr>
    </w:p>
    <w:p>
      <w:pPr>
        <w:pStyle w:val="BodyText"/>
        <w:tabs>
          <w:tab w:pos="705" w:val="left" w:leader="none"/>
        </w:tabs>
        <w:spacing w:line="235" w:lineRule="auto"/>
        <w:ind w:left="705" w:right="168" w:hanging="541"/>
      </w:pPr>
      <w:bookmarkStart w:name="_bookmark803" w:id="805"/>
      <w:bookmarkEnd w:id="805"/>
      <w:r>
        <w:rPr/>
      </w:r>
      <w:hyperlink w:history="true" w:anchor="_bookmark677">
        <w:r>
          <w:rPr>
            <w:color w:val="005DA1"/>
            <w:spacing w:val="-4"/>
            <w:position w:val="5"/>
            <w:sz w:val="14"/>
            <w:u w:val="single" w:color="005DA1"/>
          </w:rPr>
          <w:t>371</w:t>
        </w:r>
      </w:hyperlink>
      <w:r>
        <w:rPr>
          <w:spacing w:val="-4"/>
          <w:position w:val="5"/>
          <w:sz w:val="14"/>
        </w:rPr>
        <w:t>.</w:t>
      </w:r>
      <w:r>
        <w:rPr>
          <w:position w:val="5"/>
          <w:sz w:val="14"/>
        </w:rPr>
        <w:tab/>
      </w:r>
      <w:r>
        <w:rPr/>
        <w:t>See</w:t>
      </w:r>
      <w:r>
        <w:rPr>
          <w:spacing w:val="40"/>
        </w:rPr>
        <w:t> </w:t>
      </w:r>
      <w:r>
        <w:rPr/>
        <w:t>above,</w:t>
      </w:r>
      <w:r>
        <w:rPr>
          <w:spacing w:val="40"/>
        </w:rPr>
        <w:t> </w:t>
      </w:r>
      <w:r>
        <w:rPr/>
        <w:t>para.7-071</w:t>
      </w:r>
      <w:r>
        <w:rPr>
          <w:spacing w:val="40"/>
        </w:rPr>
        <w:t> </w:t>
      </w:r>
      <w:r>
        <w:rPr/>
        <w:t>and</w:t>
      </w:r>
      <w:r>
        <w:rPr>
          <w:spacing w:val="40"/>
        </w:rPr>
        <w:t> </w:t>
      </w:r>
      <w:r>
        <w:rPr/>
        <w:t>below,</w:t>
      </w:r>
      <w:r>
        <w:rPr>
          <w:spacing w:val="40"/>
        </w:rPr>
        <w:t> </w:t>
      </w:r>
      <w:r>
        <w:rPr/>
        <w:t>para.7-082.</w:t>
      </w:r>
      <w:r>
        <w:rPr>
          <w:spacing w:val="40"/>
        </w:rPr>
        <w:t> </w:t>
      </w:r>
      <w:r>
        <w:rPr/>
        <w:t>Lord</w:t>
      </w:r>
      <w:r>
        <w:rPr>
          <w:spacing w:val="40"/>
        </w:rPr>
        <w:t> </w:t>
      </w:r>
      <w:r>
        <w:rPr/>
        <w:t>Tenterden’s</w:t>
      </w:r>
      <w:r>
        <w:rPr>
          <w:spacing w:val="40"/>
        </w:rPr>
        <w:t> </w:t>
      </w:r>
      <w:r>
        <w:rPr/>
        <w:t>Act</w:t>
      </w:r>
      <w:r>
        <w:rPr>
          <w:spacing w:val="40"/>
        </w:rPr>
        <w:t> </w:t>
      </w:r>
      <w:r>
        <w:rPr/>
        <w:t>may</w:t>
      </w:r>
      <w:r>
        <w:rPr>
          <w:spacing w:val="40"/>
        </w:rPr>
        <w:t> </w:t>
      </w:r>
      <w:r>
        <w:rPr/>
        <w:t>also</w:t>
      </w:r>
      <w:r>
        <w:rPr>
          <w:spacing w:val="40"/>
        </w:rPr>
        <w:t> </w:t>
      </w:r>
      <w:r>
        <w:rPr/>
        <w:t>apply:</w:t>
      </w:r>
      <w:r>
        <w:rPr>
          <w:spacing w:val="40"/>
        </w:rPr>
        <w:t> </w:t>
      </w:r>
      <w:r>
        <w:rPr/>
        <w:t>see above, para.7-046 n.244.</w:t>
      </w:r>
    </w:p>
    <w:p>
      <w:pPr>
        <w:pStyle w:val="BodyText"/>
        <w:spacing w:before="9"/>
      </w:pPr>
    </w:p>
    <w:p>
      <w:pPr>
        <w:pStyle w:val="BodyText"/>
        <w:spacing w:line="235" w:lineRule="auto" w:before="1"/>
        <w:ind w:left="705" w:right="167" w:hanging="541"/>
        <w:jc w:val="both"/>
      </w:pPr>
      <w:bookmarkStart w:name="_bookmark804" w:id="806"/>
      <w:bookmarkEnd w:id="806"/>
      <w:r>
        <w:rPr/>
      </w:r>
      <w:hyperlink w:history="true" w:anchor="_bookmark677">
        <w:r>
          <w:rPr>
            <w:color w:val="005DA1"/>
            <w:position w:val="5"/>
            <w:sz w:val="14"/>
            <w:u w:val="single" w:color="005DA1"/>
          </w:rPr>
          <w:t>372</w:t>
        </w:r>
      </w:hyperlink>
      <w:r>
        <w:rPr>
          <w:position w:val="5"/>
          <w:sz w:val="14"/>
        </w:rPr>
        <w:t>.</w:t>
      </w:r>
      <w:r>
        <w:rPr>
          <w:spacing w:val="80"/>
          <w:position w:val="5"/>
          <w:sz w:val="14"/>
        </w:rPr>
        <w:t>  </w:t>
      </w:r>
      <w:r>
        <w:rPr/>
        <w:t>In </w:t>
      </w:r>
      <w:r>
        <w:rPr>
          <w:rFonts w:ascii="Arial" w:hAnsi="Arial"/>
          <w:i/>
        </w:rPr>
        <w:t>Yam Seng Pte Ltd v International Trade Corp Ltd [2013] EWHC 111 (QB), [2013] 1 </w:t>
      </w:r>
      <w:r>
        <w:rPr>
          <w:rFonts w:ascii="Arial" w:hAnsi="Arial"/>
          <w:i/>
        </w:rPr>
        <w:t>Lloyd’s Rep. 526 </w:t>
      </w:r>
      <w:r>
        <w:rPr/>
        <w:t>Leggatt J. said (at [206]) that “It is possible to construe the words ‘and as a result thereof has suffered loss’ as requiring the claimant to show that he has suffered loss as a reasonably foreseeable result of a misrepresentation having been made to him, and to treat the following words as imposing an additional requirement (that the defendant would be liable to damages had the misrepresentation been made fraudulently) which must also be satisfied”, but held that unless and until </w:t>
      </w:r>
      <w:r>
        <w:rPr>
          <w:rFonts w:ascii="Arial" w:hAnsi="Arial"/>
          <w:i/>
        </w:rPr>
        <w:t>Royscot Trust </w:t>
      </w:r>
      <w:r>
        <w:rPr/>
        <w:t>is over-ruled he was bound to apply it.</w:t>
      </w:r>
    </w:p>
    <w:p>
      <w:pPr>
        <w:pStyle w:val="BodyText"/>
        <w:spacing w:after="0" w:line="235" w:lineRule="auto"/>
        <w:jc w:val="both"/>
        <w:sectPr>
          <w:pgSz w:w="11900" w:h="16840"/>
          <w:pgMar w:header="971" w:footer="0" w:top="1160" w:bottom="280" w:left="1275" w:right="1275"/>
        </w:sectPr>
      </w:pPr>
    </w:p>
    <w:p>
      <w:pPr>
        <w:pStyle w:val="BodyText"/>
        <w:spacing w:before="81"/>
      </w:pPr>
    </w:p>
    <w:p>
      <w:pPr>
        <w:pStyle w:val="BodyText"/>
        <w:tabs>
          <w:tab w:pos="705" w:val="left" w:leader="none"/>
        </w:tabs>
        <w:ind w:left="165"/>
      </w:pPr>
      <w:hyperlink w:history="true" w:anchor="_bookmark678">
        <w:r>
          <w:rPr>
            <w:color w:val="005DA1"/>
            <w:spacing w:val="-4"/>
            <w:position w:val="5"/>
            <w:sz w:val="14"/>
            <w:u w:val="single" w:color="005DA1"/>
          </w:rPr>
          <w:t>373</w:t>
        </w:r>
      </w:hyperlink>
      <w:r>
        <w:rPr>
          <w:spacing w:val="-4"/>
          <w:position w:val="5"/>
          <w:sz w:val="14"/>
        </w:rPr>
        <w:t>.</w:t>
      </w:r>
      <w:r>
        <w:rPr>
          <w:position w:val="5"/>
          <w:sz w:val="14"/>
        </w:rPr>
        <w:tab/>
      </w:r>
      <w:r>
        <w:rPr/>
        <w:t>See</w:t>
      </w:r>
      <w:r>
        <w:rPr>
          <w:spacing w:val="-2"/>
        </w:rPr>
        <w:t> </w:t>
      </w:r>
      <w:r>
        <w:rPr/>
        <w:t>above, para.7-</w:t>
      </w:r>
      <w:r>
        <w:rPr>
          <w:spacing w:val="-4"/>
        </w:rPr>
        <w:t>064.</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4480">
            <wp:simplePos x="0" y="0"/>
            <wp:positionH relativeFrom="page">
              <wp:posOffset>1257846</wp:posOffset>
            </wp:positionH>
            <wp:positionV relativeFrom="paragraph">
              <wp:posOffset>160187</wp:posOffset>
            </wp:positionV>
            <wp:extent cx="107988" cy="107988"/>
            <wp:effectExtent l="0" t="0" r="0" b="0"/>
            <wp:wrapNone/>
            <wp:docPr id="159" name="Image 159"/>
            <wp:cNvGraphicFramePr>
              <a:graphicFrameLocks/>
            </wp:cNvGraphicFramePr>
            <a:graphic>
              <a:graphicData uri="http://schemas.openxmlformats.org/drawingml/2006/picture">
                <pic:pic>
                  <pic:nvPicPr>
                    <pic:cNvPr id="159" name="Image 15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805" w:id="807"/>
      <w:bookmarkEnd w:id="807"/>
      <w:r>
        <w:rPr/>
      </w:r>
      <w:hyperlink w:history="true" w:anchor="_bookmark679">
        <w:r>
          <w:rPr>
            <w:color w:val="005DA1"/>
            <w:spacing w:val="-4"/>
            <w:sz w:val="14"/>
            <w:u w:val="single" w:color="005DA1"/>
          </w:rPr>
          <w:t>374</w:t>
        </w:r>
      </w:hyperlink>
      <w:r>
        <w:rPr>
          <w:spacing w:val="-4"/>
          <w:sz w:val="14"/>
        </w:rPr>
        <w:t>.</w:t>
      </w:r>
    </w:p>
    <w:p>
      <w:pPr>
        <w:spacing w:before="208"/>
        <w:ind w:left="335" w:right="0" w:firstLine="0"/>
        <w:jc w:val="left"/>
        <w:rPr>
          <w:rFonts w:ascii="Arial"/>
          <w:i/>
          <w:sz w:val="20"/>
        </w:rPr>
      </w:pPr>
      <w:r>
        <w:rPr/>
        <w:br w:type="column"/>
      </w:r>
      <w:r>
        <w:rPr>
          <w:sz w:val="20"/>
        </w:rPr>
        <w:t>cf.</w:t>
      </w:r>
      <w:r>
        <w:rPr>
          <w:spacing w:val="56"/>
          <w:sz w:val="20"/>
        </w:rPr>
        <w:t> </w:t>
      </w:r>
      <w:r>
        <w:rPr>
          <w:sz w:val="20"/>
        </w:rPr>
        <w:t>McGregor</w:t>
      </w:r>
      <w:r>
        <w:rPr>
          <w:spacing w:val="56"/>
          <w:sz w:val="20"/>
        </w:rPr>
        <w:t> </w:t>
      </w:r>
      <w:r>
        <w:rPr>
          <w:sz w:val="20"/>
        </w:rPr>
        <w:t>on</w:t>
      </w:r>
      <w:r>
        <w:rPr>
          <w:spacing w:val="56"/>
          <w:sz w:val="20"/>
        </w:rPr>
        <w:t> </w:t>
      </w:r>
      <w:r>
        <w:rPr>
          <w:sz w:val="20"/>
        </w:rPr>
        <w:t>Damages,</w:t>
      </w:r>
      <w:r>
        <w:rPr>
          <w:spacing w:val="56"/>
          <w:sz w:val="20"/>
        </w:rPr>
        <w:t> </w:t>
      </w:r>
      <w:r>
        <w:rPr>
          <w:sz w:val="20"/>
        </w:rPr>
        <w:t>19th</w:t>
      </w:r>
      <w:r>
        <w:rPr>
          <w:spacing w:val="56"/>
          <w:sz w:val="20"/>
        </w:rPr>
        <w:t> </w:t>
      </w:r>
      <w:r>
        <w:rPr>
          <w:sz w:val="20"/>
        </w:rPr>
        <w:t>edn</w:t>
      </w:r>
      <w:r>
        <w:rPr>
          <w:spacing w:val="56"/>
          <w:sz w:val="20"/>
        </w:rPr>
        <w:t> </w:t>
      </w:r>
      <w:r>
        <w:rPr>
          <w:sz w:val="20"/>
        </w:rPr>
        <w:t>(2014),</w:t>
      </w:r>
      <w:r>
        <w:rPr>
          <w:spacing w:val="56"/>
          <w:sz w:val="20"/>
        </w:rPr>
        <w:t> </w:t>
      </w:r>
      <w:r>
        <w:rPr>
          <w:sz w:val="20"/>
        </w:rPr>
        <w:t>para.47-053;</w:t>
      </w:r>
      <w:r>
        <w:rPr>
          <w:spacing w:val="56"/>
          <w:sz w:val="20"/>
        </w:rPr>
        <w:t> </w:t>
      </w:r>
      <w:r>
        <w:rPr>
          <w:sz w:val="20"/>
        </w:rPr>
        <w:t>Peel,</w:t>
      </w:r>
      <w:r>
        <w:rPr>
          <w:spacing w:val="56"/>
          <w:sz w:val="20"/>
        </w:rPr>
        <w:t> </w:t>
      </w:r>
      <w:r>
        <w:rPr>
          <w:rFonts w:ascii="Arial"/>
          <w:i/>
          <w:sz w:val="20"/>
        </w:rPr>
        <w:t>Treitel</w:t>
      </w:r>
      <w:r>
        <w:rPr>
          <w:rFonts w:ascii="Arial"/>
          <w:i/>
          <w:spacing w:val="56"/>
          <w:sz w:val="20"/>
        </w:rPr>
        <w:t> </w:t>
      </w:r>
      <w:r>
        <w:rPr>
          <w:rFonts w:ascii="Arial"/>
          <w:i/>
          <w:sz w:val="20"/>
        </w:rPr>
        <w:t>on</w:t>
      </w:r>
      <w:r>
        <w:rPr>
          <w:rFonts w:ascii="Arial"/>
          <w:i/>
          <w:spacing w:val="56"/>
          <w:sz w:val="20"/>
        </w:rPr>
        <w:t> </w:t>
      </w:r>
      <w:r>
        <w:rPr>
          <w:rFonts w:ascii="Arial"/>
          <w:i/>
          <w:sz w:val="20"/>
        </w:rPr>
        <w:t>The</w:t>
      </w:r>
      <w:r>
        <w:rPr>
          <w:rFonts w:ascii="Arial"/>
          <w:i/>
          <w:spacing w:val="56"/>
          <w:sz w:val="20"/>
        </w:rPr>
        <w:t> </w:t>
      </w:r>
      <w:r>
        <w:rPr>
          <w:rFonts w:ascii="Arial"/>
          <w:i/>
          <w:sz w:val="20"/>
        </w:rPr>
        <w:t>Law</w:t>
      </w:r>
      <w:r>
        <w:rPr>
          <w:rFonts w:ascii="Arial"/>
          <w:i/>
          <w:spacing w:val="56"/>
          <w:sz w:val="20"/>
        </w:rPr>
        <w:t> </w:t>
      </w:r>
      <w:r>
        <w:rPr>
          <w:rFonts w:ascii="Arial"/>
          <w:i/>
          <w:spacing w:val="-5"/>
          <w:sz w:val="20"/>
        </w:rPr>
        <w:t>of</w:t>
      </w:r>
    </w:p>
    <w:p>
      <w:pPr>
        <w:spacing w:after="0"/>
        <w:jc w:val="left"/>
        <w:rPr>
          <w:rFonts w:ascii="Arial"/>
          <w:i/>
          <w:sz w:val="20"/>
        </w:rPr>
        <w:sectPr>
          <w:type w:val="continuous"/>
          <w:pgSz w:w="11900" w:h="16840"/>
          <w:pgMar w:header="971" w:footer="0" w:top="1160" w:bottom="280" w:left="1275" w:right="1275"/>
          <w:cols w:num="2" w:equalWidth="0">
            <w:col w:w="478" w:space="63"/>
            <w:col w:w="8809"/>
          </w:cols>
        </w:sect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3764"/>
      </w:tblGrid>
      <w:tr>
        <w:trPr>
          <w:trHeight w:val="344" w:hRule="atLeast"/>
        </w:trPr>
        <w:tc>
          <w:tcPr>
            <w:tcW w:w="457" w:type="dxa"/>
          </w:tcPr>
          <w:p>
            <w:pPr>
              <w:pStyle w:val="TableParagraph"/>
              <w:spacing w:before="0"/>
              <w:rPr>
                <w:rFonts w:ascii="Times New Roman"/>
                <w:sz w:val="18"/>
              </w:rPr>
            </w:pPr>
          </w:p>
        </w:tc>
        <w:tc>
          <w:tcPr>
            <w:tcW w:w="3764" w:type="dxa"/>
          </w:tcPr>
          <w:p>
            <w:pPr>
              <w:pStyle w:val="TableParagraph"/>
              <w:spacing w:line="223" w:lineRule="exact" w:before="0"/>
              <w:ind w:left="133"/>
              <w:rPr>
                <w:rFonts w:ascii="Arial MT"/>
                <w:sz w:val="20"/>
              </w:rPr>
            </w:pPr>
            <w:r>
              <w:rPr>
                <w:i/>
                <w:sz w:val="20"/>
              </w:rPr>
              <w:t>Contract</w:t>
            </w:r>
            <w:r>
              <w:rPr>
                <w:rFonts w:ascii="Arial MT"/>
                <w:sz w:val="20"/>
              </w:rPr>
              <w:t>,</w:t>
            </w:r>
            <w:r>
              <w:rPr>
                <w:rFonts w:ascii="Arial MT"/>
                <w:spacing w:val="-1"/>
                <w:sz w:val="20"/>
              </w:rPr>
              <w:t> </w:t>
            </w:r>
            <w:r>
              <w:rPr>
                <w:rFonts w:ascii="Arial MT"/>
                <w:sz w:val="20"/>
              </w:rPr>
              <w:t>14th edn (2015), para.9-</w:t>
            </w:r>
            <w:r>
              <w:rPr>
                <w:rFonts w:ascii="Arial MT"/>
                <w:spacing w:val="-4"/>
                <w:sz w:val="20"/>
              </w:rPr>
              <w:t>072.</w:t>
            </w:r>
          </w:p>
        </w:tc>
      </w:tr>
      <w:tr>
        <w:trPr>
          <w:trHeight w:val="465" w:hRule="atLeast"/>
        </w:trPr>
        <w:tc>
          <w:tcPr>
            <w:tcW w:w="457" w:type="dxa"/>
          </w:tcPr>
          <w:p>
            <w:pPr>
              <w:pStyle w:val="TableParagraph"/>
              <w:ind w:right="82"/>
              <w:jc w:val="center"/>
              <w:rPr>
                <w:rFonts w:ascii="Arial MT"/>
                <w:sz w:val="14"/>
              </w:rPr>
            </w:pPr>
            <w:bookmarkStart w:name="_bookmark806" w:id="808"/>
            <w:bookmarkEnd w:id="808"/>
            <w:r>
              <w:rPr/>
            </w:r>
            <w:hyperlink w:history="true" w:anchor="_bookmark680">
              <w:r>
                <w:rPr>
                  <w:rFonts w:ascii="Arial MT"/>
                  <w:color w:val="005DA1"/>
                  <w:spacing w:val="-4"/>
                  <w:sz w:val="14"/>
                  <w:u w:val="single" w:color="005DA1"/>
                </w:rPr>
                <w:t>375</w:t>
              </w:r>
            </w:hyperlink>
            <w:r>
              <w:rPr>
                <w:rFonts w:ascii="Arial MT"/>
                <w:spacing w:val="-4"/>
                <w:sz w:val="14"/>
              </w:rPr>
              <w:t>.</w:t>
            </w:r>
          </w:p>
        </w:tc>
        <w:tc>
          <w:tcPr>
            <w:tcW w:w="3764" w:type="dxa"/>
          </w:tcPr>
          <w:p>
            <w:pPr>
              <w:pStyle w:val="TableParagraph"/>
              <w:spacing w:before="114"/>
              <w:ind w:left="133"/>
              <w:rPr>
                <w:rFonts w:ascii="Arial MT"/>
                <w:sz w:val="20"/>
              </w:rPr>
            </w:pPr>
            <w:r>
              <w:rPr>
                <w:i/>
                <w:sz w:val="20"/>
              </w:rPr>
              <w:t>[1991]</w:t>
            </w:r>
            <w:r>
              <w:rPr>
                <w:i/>
                <w:spacing w:val="-2"/>
                <w:sz w:val="20"/>
              </w:rPr>
              <w:t> </w:t>
            </w:r>
            <w:r>
              <w:rPr>
                <w:i/>
                <w:sz w:val="20"/>
              </w:rPr>
              <w:t>2 Q.B. </w:t>
            </w:r>
            <w:r>
              <w:rPr>
                <w:i/>
                <w:spacing w:val="-4"/>
                <w:sz w:val="20"/>
              </w:rPr>
              <w:t>297</w:t>
            </w:r>
            <w:r>
              <w:rPr>
                <w:rFonts w:ascii="Arial MT"/>
                <w:spacing w:val="-4"/>
                <w:sz w:val="20"/>
              </w:rPr>
              <w:t>.</w:t>
            </w:r>
          </w:p>
        </w:tc>
      </w:tr>
      <w:tr>
        <w:trPr>
          <w:trHeight w:val="465" w:hRule="atLeast"/>
        </w:trPr>
        <w:tc>
          <w:tcPr>
            <w:tcW w:w="457" w:type="dxa"/>
          </w:tcPr>
          <w:p>
            <w:pPr>
              <w:pStyle w:val="TableParagraph"/>
              <w:ind w:right="82"/>
              <w:jc w:val="center"/>
              <w:rPr>
                <w:rFonts w:ascii="Arial MT"/>
                <w:sz w:val="14"/>
              </w:rPr>
            </w:pPr>
            <w:bookmarkStart w:name="_bookmark807" w:id="809"/>
            <w:bookmarkEnd w:id="809"/>
            <w:r>
              <w:rPr/>
            </w:r>
            <w:hyperlink w:history="true" w:anchor="_bookmark681">
              <w:r>
                <w:rPr>
                  <w:rFonts w:ascii="Arial MT"/>
                  <w:color w:val="005DA1"/>
                  <w:spacing w:val="-4"/>
                  <w:sz w:val="14"/>
                  <w:u w:val="single" w:color="005DA1"/>
                </w:rPr>
                <w:t>376</w:t>
              </w:r>
            </w:hyperlink>
            <w:r>
              <w:rPr>
                <w:rFonts w:ascii="Arial MT"/>
                <w:spacing w:val="-4"/>
                <w:sz w:val="14"/>
              </w:rPr>
              <w:t>.</w:t>
            </w:r>
          </w:p>
        </w:tc>
        <w:tc>
          <w:tcPr>
            <w:tcW w:w="3764" w:type="dxa"/>
          </w:tcPr>
          <w:p>
            <w:pPr>
              <w:pStyle w:val="TableParagraph"/>
              <w:spacing w:before="114"/>
              <w:ind w:left="133"/>
              <w:rPr>
                <w:rFonts w:ascii="Arial MT"/>
                <w:sz w:val="20"/>
              </w:rPr>
            </w:pPr>
            <w:r>
              <w:rPr>
                <w:rFonts w:ascii="Arial MT"/>
                <w:sz w:val="20"/>
              </w:rPr>
              <w:t>Above, para.7-</w:t>
            </w:r>
            <w:r>
              <w:rPr>
                <w:rFonts w:ascii="Arial MT"/>
                <w:spacing w:val="-4"/>
                <w:sz w:val="20"/>
              </w:rPr>
              <w:t>053.</w:t>
            </w:r>
          </w:p>
        </w:tc>
      </w:tr>
      <w:tr>
        <w:trPr>
          <w:trHeight w:val="344" w:hRule="atLeast"/>
        </w:trPr>
        <w:tc>
          <w:tcPr>
            <w:tcW w:w="457" w:type="dxa"/>
          </w:tcPr>
          <w:p>
            <w:pPr>
              <w:pStyle w:val="TableParagraph"/>
              <w:ind w:right="82"/>
              <w:jc w:val="center"/>
              <w:rPr>
                <w:rFonts w:ascii="Arial MT"/>
                <w:sz w:val="14"/>
              </w:rPr>
            </w:pPr>
            <w:bookmarkStart w:name="_bookmark808" w:id="810"/>
            <w:bookmarkEnd w:id="810"/>
            <w:r>
              <w:rPr/>
            </w:r>
            <w:hyperlink w:history="true" w:anchor="_bookmark682">
              <w:r>
                <w:rPr>
                  <w:rFonts w:ascii="Arial MT"/>
                  <w:color w:val="005DA1"/>
                  <w:spacing w:val="-4"/>
                  <w:sz w:val="14"/>
                  <w:u w:val="single" w:color="005DA1"/>
                </w:rPr>
                <w:t>377</w:t>
              </w:r>
            </w:hyperlink>
            <w:r>
              <w:rPr>
                <w:rFonts w:ascii="Arial MT"/>
                <w:spacing w:val="-4"/>
                <w:sz w:val="14"/>
              </w:rPr>
              <w:t>.</w:t>
            </w:r>
          </w:p>
        </w:tc>
        <w:tc>
          <w:tcPr>
            <w:tcW w:w="3764" w:type="dxa"/>
          </w:tcPr>
          <w:p>
            <w:pPr>
              <w:pStyle w:val="TableParagraph"/>
              <w:spacing w:line="210" w:lineRule="exact" w:before="114"/>
              <w:ind w:left="133"/>
              <w:rPr>
                <w:rFonts w:ascii="Arial MT"/>
                <w:sz w:val="20"/>
              </w:rPr>
            </w:pPr>
            <w:r>
              <w:rPr>
                <w:rFonts w:ascii="Arial MT"/>
                <w:sz w:val="20"/>
              </w:rPr>
              <w:t>cf. </w:t>
            </w:r>
            <w:r>
              <w:rPr>
                <w:i/>
                <w:sz w:val="20"/>
              </w:rPr>
              <w:t>Armstrong v Strain [1952] 1 K.B. </w:t>
            </w:r>
            <w:r>
              <w:rPr>
                <w:i/>
                <w:spacing w:val="-4"/>
                <w:sz w:val="20"/>
              </w:rPr>
              <w:t>232</w:t>
            </w:r>
            <w:r>
              <w:rPr>
                <w:rFonts w:ascii="Arial MT"/>
                <w:spacing w:val="-4"/>
                <w:sz w:val="20"/>
              </w:rPr>
              <w:t>.</w:t>
            </w:r>
          </w:p>
        </w:tc>
      </w:tr>
    </w:tbl>
    <w:p>
      <w:pPr>
        <w:pStyle w:val="BodyText"/>
        <w:spacing w:before="9"/>
        <w:rPr>
          <w:rFonts w:ascii="Arial"/>
          <w:i/>
          <w:sz w:val="12"/>
        </w:rPr>
      </w:pPr>
    </w:p>
    <w:p>
      <w:pPr>
        <w:pStyle w:val="BodyText"/>
        <w:spacing w:after="0"/>
        <w:rPr>
          <w:rFonts w:ascii="Arial"/>
          <w:i/>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4992">
            <wp:simplePos x="0" y="0"/>
            <wp:positionH relativeFrom="page">
              <wp:posOffset>1257846</wp:posOffset>
            </wp:positionH>
            <wp:positionV relativeFrom="paragraph">
              <wp:posOffset>160316</wp:posOffset>
            </wp:positionV>
            <wp:extent cx="107988" cy="107988"/>
            <wp:effectExtent l="0" t="0" r="0" b="0"/>
            <wp:wrapNone/>
            <wp:docPr id="160" name="Image 160"/>
            <wp:cNvGraphicFramePr>
              <a:graphicFrameLocks/>
            </wp:cNvGraphicFramePr>
            <a:graphic>
              <a:graphicData uri="http://schemas.openxmlformats.org/drawingml/2006/picture">
                <pic:pic>
                  <pic:nvPicPr>
                    <pic:cNvPr id="160" name="Image 16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809" w:id="811"/>
      <w:bookmarkEnd w:id="811"/>
      <w:r>
        <w:rPr/>
      </w:r>
      <w:hyperlink w:history="true" w:anchor="_bookmark683">
        <w:r>
          <w:rPr>
            <w:color w:val="005DA1"/>
            <w:spacing w:val="-4"/>
            <w:sz w:val="14"/>
            <w:u w:val="single" w:color="005DA1"/>
          </w:rPr>
          <w:t>378</w:t>
        </w:r>
      </w:hyperlink>
      <w:r>
        <w:rPr>
          <w:spacing w:val="-4"/>
          <w:sz w:val="14"/>
        </w:rPr>
        <w:t>.</w:t>
      </w:r>
    </w:p>
    <w:p>
      <w:pPr>
        <w:spacing w:line="235" w:lineRule="auto" w:before="212"/>
        <w:ind w:left="165" w:right="167" w:firstLine="170"/>
        <w:jc w:val="both"/>
        <w:rPr>
          <w:sz w:val="20"/>
        </w:rPr>
      </w:pPr>
      <w:r>
        <w:rPr/>
        <w:br w:type="column"/>
      </w:r>
      <w:r>
        <w:rPr>
          <w:sz w:val="20"/>
        </w:rPr>
        <w:t>See </w:t>
      </w:r>
      <w:r>
        <w:rPr>
          <w:rFonts w:ascii="Arial"/>
          <w:i/>
          <w:sz w:val="20"/>
        </w:rPr>
        <w:t>Taberna Europe CDO II Plc v Selskabet [2015] EWHC 871 (Comm) </w:t>
      </w:r>
      <w:r>
        <w:rPr>
          <w:sz w:val="20"/>
        </w:rPr>
        <w:t>at [128] (sufficient that the meaning that misrepresentee attributed to those expressions was one that he </w:t>
      </w:r>
      <w:r>
        <w:rPr>
          <w:sz w:val="20"/>
        </w:rPr>
        <w:t>was reasonably entitled to adopt as an addressee of the representation) (reversed on other grounds </w:t>
      </w:r>
      <w:r>
        <w:rPr>
          <w:rFonts w:ascii="Arial"/>
          <w:i/>
          <w:sz w:val="20"/>
        </w:rPr>
        <w:t>[2016] EWCA Civ 1262</w:t>
      </w:r>
      <w:r>
        <w:rPr>
          <w:sz w:val="20"/>
        </w:rPr>
        <w:t>).</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4"/>
      </w:pPr>
    </w:p>
    <w:p>
      <w:pPr>
        <w:tabs>
          <w:tab w:pos="705" w:val="left" w:leader="none"/>
        </w:tabs>
        <w:spacing w:before="1"/>
        <w:ind w:left="165" w:right="0" w:firstLine="0"/>
        <w:jc w:val="left"/>
        <w:rPr>
          <w:sz w:val="20"/>
        </w:rPr>
      </w:pPr>
      <w:bookmarkStart w:name="_bookmark810" w:id="812"/>
      <w:bookmarkEnd w:id="812"/>
      <w:r>
        <w:rPr/>
      </w:r>
      <w:hyperlink w:history="true" w:anchor="_bookmark684">
        <w:r>
          <w:rPr>
            <w:color w:val="005DA1"/>
            <w:spacing w:val="-4"/>
            <w:position w:val="5"/>
            <w:sz w:val="14"/>
            <w:u w:val="single" w:color="005DA1"/>
          </w:rPr>
          <w:t>379</w:t>
        </w:r>
      </w:hyperlink>
      <w:r>
        <w:rPr>
          <w:spacing w:val="-4"/>
          <w:position w:val="5"/>
          <w:sz w:val="14"/>
        </w:rPr>
        <w:t>.</w:t>
      </w:r>
      <w:r>
        <w:rPr>
          <w:position w:val="5"/>
          <w:sz w:val="14"/>
        </w:rPr>
        <w:tab/>
      </w:r>
      <w:r>
        <w:rPr>
          <w:sz w:val="20"/>
        </w:rPr>
        <w:t>See, e.g. </w:t>
      </w:r>
      <w:r>
        <w:rPr>
          <w:rFonts w:ascii="Arial"/>
          <w:i/>
          <w:sz w:val="20"/>
        </w:rPr>
        <w:t>W.B. Anderson &amp; Sons Ltd v Rhodes (Liverpool) Ltd [1967] 2 All E.R. </w:t>
      </w:r>
      <w:r>
        <w:rPr>
          <w:rFonts w:ascii="Arial"/>
          <w:i/>
          <w:spacing w:val="-4"/>
          <w:sz w:val="20"/>
        </w:rPr>
        <w:t>850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11" w:id="813"/>
      <w:bookmarkEnd w:id="813"/>
      <w:r>
        <w:rPr/>
      </w:r>
      <w:hyperlink w:history="true" w:anchor="_bookmark685">
        <w:r>
          <w:rPr>
            <w:color w:val="005DA1"/>
            <w:spacing w:val="-4"/>
            <w:position w:val="5"/>
            <w:sz w:val="14"/>
            <w:u w:val="single" w:color="005DA1"/>
          </w:rPr>
          <w:t>380</w:t>
        </w:r>
      </w:hyperlink>
      <w:r>
        <w:rPr>
          <w:spacing w:val="-4"/>
          <w:position w:val="5"/>
          <w:sz w:val="14"/>
        </w:rPr>
        <w:t>.</w:t>
      </w:r>
      <w:r>
        <w:rPr>
          <w:position w:val="5"/>
          <w:sz w:val="14"/>
        </w:rPr>
        <w:tab/>
      </w:r>
      <w:r>
        <w:rPr>
          <w:rFonts w:ascii="Arial"/>
          <w:i/>
          <w:sz w:val="20"/>
        </w:rPr>
        <w:t>Gosling v Anderson [1972] C.L.Y. </w:t>
      </w:r>
      <w:r>
        <w:rPr>
          <w:rFonts w:ascii="Arial"/>
          <w:i/>
          <w:spacing w:val="-4"/>
          <w:sz w:val="20"/>
        </w:rPr>
        <w:t>492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12" w:id="814"/>
      <w:bookmarkEnd w:id="814"/>
      <w:r>
        <w:rPr/>
      </w:r>
      <w:hyperlink w:history="true" w:anchor="_bookmark686">
        <w:r>
          <w:rPr>
            <w:color w:val="005DA1"/>
            <w:spacing w:val="-4"/>
            <w:position w:val="5"/>
            <w:sz w:val="14"/>
            <w:u w:val="single" w:color="005DA1"/>
          </w:rPr>
          <w:t>381</w:t>
        </w:r>
      </w:hyperlink>
      <w:r>
        <w:rPr>
          <w:spacing w:val="-4"/>
          <w:position w:val="5"/>
          <w:sz w:val="14"/>
        </w:rPr>
        <w:t>.</w:t>
      </w:r>
      <w:r>
        <w:rPr>
          <w:position w:val="5"/>
          <w:sz w:val="14"/>
        </w:rPr>
        <w:tab/>
      </w:r>
      <w:r>
        <w:rPr>
          <w:sz w:val="20"/>
        </w:rPr>
        <w:t>See</w:t>
      </w:r>
      <w:r>
        <w:rPr>
          <w:spacing w:val="-1"/>
          <w:sz w:val="20"/>
        </w:rPr>
        <w:t> </w:t>
      </w:r>
      <w:r>
        <w:rPr>
          <w:rFonts w:ascii="Arial"/>
          <w:i/>
          <w:sz w:val="20"/>
        </w:rPr>
        <w:t>F. &amp; H. Entertainments Ltd v Leisure Enterprises Ltd (1976) 120 S.J. </w:t>
      </w:r>
      <w:r>
        <w:rPr>
          <w:rFonts w:ascii="Arial"/>
          <w:i/>
          <w:spacing w:val="-4"/>
          <w:sz w:val="20"/>
        </w:rPr>
        <w:t>331</w:t>
      </w:r>
      <w:r>
        <w:rPr>
          <w:spacing w:val="-4"/>
          <w:sz w:val="20"/>
        </w:rPr>
        <w:t>.</w:t>
      </w:r>
    </w:p>
    <w:p>
      <w:pPr>
        <w:pStyle w:val="BodyText"/>
        <w:spacing w:before="5"/>
      </w:pPr>
    </w:p>
    <w:p>
      <w:pPr>
        <w:pStyle w:val="BodyText"/>
        <w:tabs>
          <w:tab w:pos="705" w:val="left" w:leader="none"/>
        </w:tabs>
        <w:ind w:left="165"/>
      </w:pPr>
      <w:bookmarkStart w:name="_bookmark813" w:id="815"/>
      <w:bookmarkEnd w:id="815"/>
      <w:r>
        <w:rPr/>
      </w:r>
      <w:hyperlink w:history="true" w:anchor="_bookmark686">
        <w:r>
          <w:rPr>
            <w:color w:val="005DA1"/>
            <w:spacing w:val="-4"/>
            <w:position w:val="5"/>
            <w:sz w:val="14"/>
            <w:u w:val="single" w:color="005DA1"/>
          </w:rPr>
          <w:t>382</w:t>
        </w:r>
      </w:hyperlink>
      <w:r>
        <w:rPr>
          <w:spacing w:val="-4"/>
          <w:position w:val="5"/>
          <w:sz w:val="14"/>
        </w:rPr>
        <w:t>.</w:t>
      </w:r>
      <w:r>
        <w:rPr>
          <w:position w:val="5"/>
          <w:sz w:val="14"/>
        </w:rPr>
        <w:tab/>
      </w:r>
      <w:r>
        <w:rPr/>
        <w:t>Below, paras 7-104 and 7-</w:t>
      </w:r>
      <w:r>
        <w:rPr>
          <w:spacing w:val="-4"/>
        </w:rPr>
        <w:t>115.</w:t>
      </w:r>
    </w:p>
    <w:p>
      <w:pPr>
        <w:pStyle w:val="BodyText"/>
        <w:spacing w:before="5"/>
      </w:pPr>
    </w:p>
    <w:p>
      <w:pPr>
        <w:pStyle w:val="BodyText"/>
        <w:tabs>
          <w:tab w:pos="705" w:val="left" w:leader="none"/>
        </w:tabs>
        <w:ind w:left="165"/>
      </w:pPr>
      <w:bookmarkStart w:name="_bookmark814" w:id="816"/>
      <w:bookmarkEnd w:id="816"/>
      <w:r>
        <w:rPr/>
      </w:r>
      <w:hyperlink w:history="true" w:anchor="_bookmark687">
        <w:r>
          <w:rPr>
            <w:color w:val="005DA1"/>
            <w:spacing w:val="-4"/>
            <w:position w:val="5"/>
            <w:sz w:val="14"/>
            <w:u w:val="single" w:color="005DA1"/>
          </w:rPr>
          <w:t>383</w:t>
        </w:r>
      </w:hyperlink>
      <w:r>
        <w:rPr>
          <w:spacing w:val="-4"/>
          <w:position w:val="5"/>
          <w:sz w:val="14"/>
        </w:rPr>
        <w:t>.</w:t>
      </w:r>
      <w:r>
        <w:rPr>
          <w:position w:val="5"/>
          <w:sz w:val="14"/>
        </w:rPr>
        <w:tab/>
      </w:r>
      <w:r>
        <w:rPr/>
        <w:t>Below,</w:t>
      </w:r>
      <w:r>
        <w:rPr>
          <w:spacing w:val="-2"/>
        </w:rPr>
        <w:t> </w:t>
      </w:r>
      <w:r>
        <w:rPr/>
        <w:t>paras 7-129—7-</w:t>
      </w:r>
      <w:r>
        <w:rPr>
          <w:spacing w:val="-4"/>
        </w:rPr>
        <w:t>130.</w:t>
      </w:r>
    </w:p>
    <w:p>
      <w:pPr>
        <w:pStyle w:val="BodyText"/>
        <w:spacing w:before="5"/>
      </w:pPr>
    </w:p>
    <w:p>
      <w:pPr>
        <w:pStyle w:val="BodyText"/>
        <w:tabs>
          <w:tab w:pos="705" w:val="left" w:leader="none"/>
        </w:tabs>
        <w:ind w:left="165"/>
      </w:pPr>
      <w:bookmarkStart w:name="_bookmark815" w:id="817"/>
      <w:bookmarkEnd w:id="817"/>
      <w:r>
        <w:rPr/>
      </w:r>
      <w:hyperlink w:history="true" w:anchor="_bookmark688">
        <w:r>
          <w:rPr>
            <w:color w:val="005DA1"/>
            <w:spacing w:val="-4"/>
            <w:position w:val="5"/>
            <w:sz w:val="14"/>
            <w:u w:val="single" w:color="005DA1"/>
          </w:rPr>
          <w:t>384</w:t>
        </w:r>
      </w:hyperlink>
      <w:r>
        <w:rPr>
          <w:spacing w:val="-4"/>
          <w:position w:val="5"/>
          <w:sz w:val="14"/>
        </w:rPr>
        <w:t>.</w:t>
      </w:r>
      <w:r>
        <w:rPr>
          <w:position w:val="5"/>
          <w:sz w:val="14"/>
        </w:rPr>
        <w:tab/>
      </w:r>
      <w:r>
        <w:rPr/>
        <w:t>See below, paras 7-155 et </w:t>
      </w:r>
      <w:r>
        <w:rPr>
          <w:spacing w:val="-4"/>
        </w:rPr>
        <w:t>seq.</w:t>
      </w:r>
    </w:p>
    <w:p>
      <w:pPr>
        <w:pStyle w:val="BodyText"/>
        <w:spacing w:before="5"/>
      </w:pPr>
    </w:p>
    <w:p>
      <w:pPr>
        <w:tabs>
          <w:tab w:pos="705" w:val="left" w:leader="none"/>
        </w:tabs>
        <w:spacing w:line="227" w:lineRule="exact" w:before="0"/>
        <w:ind w:left="165" w:right="0" w:firstLine="0"/>
        <w:jc w:val="left"/>
        <w:rPr>
          <w:sz w:val="20"/>
        </w:rPr>
      </w:pPr>
      <w:bookmarkStart w:name="_bookmark816" w:id="818"/>
      <w:bookmarkEnd w:id="818"/>
      <w:r>
        <w:rPr/>
      </w:r>
      <w:hyperlink w:history="true" w:anchor="_bookmark689">
        <w:r>
          <w:rPr>
            <w:color w:val="005DA1"/>
            <w:spacing w:val="-4"/>
            <w:position w:val="5"/>
            <w:sz w:val="14"/>
            <w:u w:val="single" w:color="005DA1"/>
          </w:rPr>
          <w:t>385</w:t>
        </w:r>
      </w:hyperlink>
      <w:r>
        <w:rPr>
          <w:spacing w:val="-4"/>
          <w:position w:val="5"/>
          <w:sz w:val="14"/>
        </w:rPr>
        <w:t>.</w:t>
      </w:r>
      <w:r>
        <w:rPr>
          <w:position w:val="5"/>
          <w:sz w:val="14"/>
        </w:rPr>
        <w:tab/>
      </w:r>
      <w:r>
        <w:rPr>
          <w:rFonts w:ascii="Arial" w:hAnsi="Arial"/>
          <w:i/>
          <w:sz w:val="20"/>
        </w:rPr>
        <w:t>Banque</w:t>
      </w:r>
      <w:r>
        <w:rPr>
          <w:rFonts w:ascii="Arial" w:hAnsi="Arial"/>
          <w:i/>
          <w:spacing w:val="37"/>
          <w:sz w:val="20"/>
        </w:rPr>
        <w:t> </w:t>
      </w:r>
      <w:r>
        <w:rPr>
          <w:rFonts w:ascii="Arial" w:hAnsi="Arial"/>
          <w:i/>
          <w:sz w:val="20"/>
        </w:rPr>
        <w:t>Keyser</w:t>
      </w:r>
      <w:r>
        <w:rPr>
          <w:rFonts w:ascii="Arial" w:hAnsi="Arial"/>
          <w:i/>
          <w:spacing w:val="39"/>
          <w:sz w:val="20"/>
        </w:rPr>
        <w:t> </w:t>
      </w:r>
      <w:r>
        <w:rPr>
          <w:rFonts w:ascii="Arial" w:hAnsi="Arial"/>
          <w:i/>
          <w:sz w:val="20"/>
        </w:rPr>
        <w:t>Ullman</w:t>
      </w:r>
      <w:r>
        <w:rPr>
          <w:rFonts w:ascii="Arial" w:hAnsi="Arial"/>
          <w:i/>
          <w:spacing w:val="39"/>
          <w:sz w:val="20"/>
        </w:rPr>
        <w:t> </w:t>
      </w:r>
      <w:r>
        <w:rPr>
          <w:rFonts w:ascii="Arial" w:hAnsi="Arial"/>
          <w:i/>
          <w:sz w:val="20"/>
        </w:rPr>
        <w:t>SA</w:t>
      </w:r>
      <w:r>
        <w:rPr>
          <w:rFonts w:ascii="Arial" w:hAnsi="Arial"/>
          <w:i/>
          <w:spacing w:val="39"/>
          <w:sz w:val="20"/>
        </w:rPr>
        <w:t> </w:t>
      </w:r>
      <w:r>
        <w:rPr>
          <w:rFonts w:ascii="Arial" w:hAnsi="Arial"/>
          <w:i/>
          <w:sz w:val="20"/>
        </w:rPr>
        <w:t>v</w:t>
      </w:r>
      <w:r>
        <w:rPr>
          <w:rFonts w:ascii="Arial" w:hAnsi="Arial"/>
          <w:i/>
          <w:spacing w:val="39"/>
          <w:sz w:val="20"/>
        </w:rPr>
        <w:t> </w:t>
      </w:r>
      <w:r>
        <w:rPr>
          <w:rFonts w:ascii="Arial" w:hAnsi="Arial"/>
          <w:i/>
          <w:sz w:val="20"/>
        </w:rPr>
        <w:t>Skandia</w:t>
      </w:r>
      <w:r>
        <w:rPr>
          <w:rFonts w:ascii="Arial" w:hAnsi="Arial"/>
          <w:i/>
          <w:spacing w:val="39"/>
          <w:sz w:val="20"/>
        </w:rPr>
        <w:t> </w:t>
      </w:r>
      <w:r>
        <w:rPr>
          <w:rFonts w:ascii="Arial" w:hAnsi="Arial"/>
          <w:i/>
          <w:sz w:val="20"/>
        </w:rPr>
        <w:t>(UK)</w:t>
      </w:r>
      <w:r>
        <w:rPr>
          <w:rFonts w:ascii="Arial" w:hAnsi="Arial"/>
          <w:i/>
          <w:spacing w:val="39"/>
          <w:sz w:val="20"/>
        </w:rPr>
        <w:t> </w:t>
      </w:r>
      <w:r>
        <w:rPr>
          <w:rFonts w:ascii="Arial" w:hAnsi="Arial"/>
          <w:i/>
          <w:sz w:val="20"/>
        </w:rPr>
        <w:t>Insurance</w:t>
      </w:r>
      <w:r>
        <w:rPr>
          <w:rFonts w:ascii="Arial" w:hAnsi="Arial"/>
          <w:i/>
          <w:spacing w:val="39"/>
          <w:sz w:val="20"/>
        </w:rPr>
        <w:t> </w:t>
      </w:r>
      <w:r>
        <w:rPr>
          <w:rFonts w:ascii="Arial" w:hAnsi="Arial"/>
          <w:i/>
          <w:sz w:val="20"/>
        </w:rPr>
        <w:t>Co</w:t>
      </w:r>
      <w:r>
        <w:rPr>
          <w:rFonts w:ascii="Arial" w:hAnsi="Arial"/>
          <w:i/>
          <w:spacing w:val="39"/>
          <w:sz w:val="20"/>
        </w:rPr>
        <w:t> </w:t>
      </w:r>
      <w:r>
        <w:rPr>
          <w:rFonts w:ascii="Arial" w:hAnsi="Arial"/>
          <w:i/>
          <w:sz w:val="20"/>
        </w:rPr>
        <w:t>Ltd</w:t>
      </w:r>
      <w:r>
        <w:rPr>
          <w:rFonts w:ascii="Arial" w:hAnsi="Arial"/>
          <w:i/>
          <w:spacing w:val="39"/>
          <w:sz w:val="20"/>
        </w:rPr>
        <w:t> </w:t>
      </w:r>
      <w:r>
        <w:rPr>
          <w:rFonts w:ascii="Arial" w:hAnsi="Arial"/>
          <w:i/>
          <w:sz w:val="20"/>
        </w:rPr>
        <w:t>[1990]</w:t>
      </w:r>
      <w:r>
        <w:rPr>
          <w:rFonts w:ascii="Arial" w:hAnsi="Arial"/>
          <w:i/>
          <w:spacing w:val="39"/>
          <w:sz w:val="20"/>
        </w:rPr>
        <w:t> </w:t>
      </w:r>
      <w:r>
        <w:rPr>
          <w:rFonts w:ascii="Arial" w:hAnsi="Arial"/>
          <w:i/>
          <w:sz w:val="20"/>
        </w:rPr>
        <w:t>1</w:t>
      </w:r>
      <w:r>
        <w:rPr>
          <w:rFonts w:ascii="Arial" w:hAnsi="Arial"/>
          <w:i/>
          <w:spacing w:val="39"/>
          <w:sz w:val="20"/>
        </w:rPr>
        <w:t> </w:t>
      </w:r>
      <w:r>
        <w:rPr>
          <w:rFonts w:ascii="Arial" w:hAnsi="Arial"/>
          <w:i/>
          <w:sz w:val="20"/>
        </w:rPr>
        <w:t>Q.B.</w:t>
      </w:r>
      <w:r>
        <w:rPr>
          <w:rFonts w:ascii="Arial" w:hAnsi="Arial"/>
          <w:i/>
          <w:spacing w:val="39"/>
          <w:sz w:val="20"/>
        </w:rPr>
        <w:t> </w:t>
      </w:r>
      <w:r>
        <w:rPr>
          <w:rFonts w:ascii="Arial" w:hAnsi="Arial"/>
          <w:i/>
          <w:sz w:val="20"/>
        </w:rPr>
        <w:t>665,</w:t>
      </w:r>
      <w:r>
        <w:rPr>
          <w:rFonts w:ascii="Arial" w:hAnsi="Arial"/>
          <w:i/>
          <w:spacing w:val="39"/>
          <w:sz w:val="20"/>
        </w:rPr>
        <w:t> </w:t>
      </w:r>
      <w:r>
        <w:rPr>
          <w:rFonts w:ascii="Arial" w:hAnsi="Arial"/>
          <w:i/>
          <w:spacing w:val="-2"/>
          <w:sz w:val="20"/>
        </w:rPr>
        <w:t>787–789</w:t>
      </w:r>
      <w:r>
        <w:rPr>
          <w:spacing w:val="-2"/>
          <w:sz w:val="20"/>
        </w:rPr>
        <w:t>,</w:t>
      </w:r>
    </w:p>
    <w:p>
      <w:pPr>
        <w:spacing w:line="227" w:lineRule="exact" w:before="0"/>
        <w:ind w:left="705" w:right="0" w:firstLine="0"/>
        <w:jc w:val="left"/>
        <w:rPr>
          <w:sz w:val="20"/>
        </w:rPr>
      </w:pPr>
      <w:r>
        <w:rPr>
          <w:sz w:val="20"/>
        </w:rPr>
        <w:t>approved by the House of Lords</w:t>
      </w:r>
      <w:r>
        <w:rPr>
          <w:spacing w:val="-1"/>
          <w:sz w:val="20"/>
        </w:rPr>
        <w:t> </w:t>
      </w:r>
      <w:r>
        <w:rPr>
          <w:rFonts w:ascii="Arial"/>
          <w:i/>
          <w:sz w:val="20"/>
        </w:rPr>
        <w:t>[1991] 2 A.C. 249, 268, 280, </w:t>
      </w:r>
      <w:r>
        <w:rPr>
          <w:rFonts w:ascii="Arial"/>
          <w:i/>
          <w:spacing w:val="-4"/>
          <w:sz w:val="20"/>
        </w:rPr>
        <w:t>281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17" w:id="819"/>
      <w:bookmarkEnd w:id="819"/>
      <w:r>
        <w:rPr/>
      </w:r>
      <w:hyperlink w:history="true" w:anchor="_bookmark690">
        <w:r>
          <w:rPr>
            <w:color w:val="005DA1"/>
            <w:spacing w:val="-4"/>
            <w:position w:val="5"/>
            <w:sz w:val="14"/>
            <w:u w:val="single" w:color="005DA1"/>
          </w:rPr>
          <w:t>386</w:t>
        </w:r>
      </w:hyperlink>
      <w:r>
        <w:rPr>
          <w:spacing w:val="-4"/>
          <w:position w:val="5"/>
          <w:sz w:val="14"/>
        </w:rPr>
        <w:t>.</w:t>
      </w:r>
      <w:r>
        <w:rPr>
          <w:position w:val="5"/>
          <w:sz w:val="14"/>
        </w:rPr>
        <w:tab/>
      </w:r>
      <w:r>
        <w:rPr>
          <w:rFonts w:ascii="Arial"/>
          <w:i/>
          <w:sz w:val="20"/>
        </w:rPr>
        <w:t>[1992]</w:t>
      </w:r>
      <w:r>
        <w:rPr>
          <w:rFonts w:ascii="Arial"/>
          <w:i/>
          <w:spacing w:val="-2"/>
          <w:sz w:val="20"/>
        </w:rPr>
        <w:t> </w:t>
      </w:r>
      <w:r>
        <w:rPr>
          <w:rFonts w:ascii="Arial"/>
          <w:i/>
          <w:sz w:val="20"/>
        </w:rPr>
        <w:t>Ch. </w:t>
      </w:r>
      <w:r>
        <w:rPr>
          <w:rFonts w:ascii="Arial"/>
          <w:i/>
          <w:spacing w:val="-4"/>
          <w:sz w:val="20"/>
        </w:rPr>
        <w:t>560</w:t>
      </w:r>
      <w:r>
        <w:rPr>
          <w:spacing w:val="-4"/>
          <w:sz w:val="20"/>
        </w:rPr>
        <w:t>.</w:t>
      </w:r>
    </w:p>
    <w:p>
      <w:pPr>
        <w:pStyle w:val="BodyText"/>
        <w:spacing w:before="5"/>
      </w:pPr>
    </w:p>
    <w:p>
      <w:pPr>
        <w:pStyle w:val="BodyText"/>
        <w:tabs>
          <w:tab w:pos="705" w:val="left" w:leader="none"/>
        </w:tabs>
        <w:ind w:left="165"/>
      </w:pPr>
      <w:bookmarkStart w:name="_bookmark818" w:id="820"/>
      <w:bookmarkEnd w:id="820"/>
      <w:r>
        <w:rPr/>
      </w:r>
      <w:hyperlink w:history="true" w:anchor="_bookmark691">
        <w:r>
          <w:rPr>
            <w:color w:val="005DA1"/>
            <w:spacing w:val="-4"/>
            <w:position w:val="5"/>
            <w:sz w:val="14"/>
            <w:u w:val="single" w:color="005DA1"/>
          </w:rPr>
          <w:t>387</w:t>
        </w:r>
      </w:hyperlink>
      <w:r>
        <w:rPr>
          <w:spacing w:val="-4"/>
          <w:position w:val="5"/>
          <w:sz w:val="14"/>
        </w:rPr>
        <w:t>.</w:t>
      </w:r>
      <w:r>
        <w:rPr>
          <w:position w:val="5"/>
          <w:sz w:val="14"/>
        </w:rPr>
        <w:tab/>
      </w:r>
      <w:r>
        <w:rPr/>
        <w:t>See</w:t>
      </w:r>
      <w:r>
        <w:rPr>
          <w:spacing w:val="-2"/>
        </w:rPr>
        <w:t> </w:t>
      </w:r>
      <w:r>
        <w:rPr/>
        <w:t>below, para.26-</w:t>
      </w:r>
      <w:r>
        <w:rPr>
          <w:spacing w:val="-4"/>
        </w:rPr>
        <w:t>077.</w:t>
      </w: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bookmarkStart w:name="_bookmark819" w:id="821"/>
      <w:bookmarkEnd w:id="821"/>
      <w:r>
        <w:rPr/>
      </w:r>
      <w:hyperlink w:history="true" w:anchor="_bookmark692">
        <w:r>
          <w:rPr>
            <w:color w:val="005DA1"/>
            <w:spacing w:val="-4"/>
            <w:sz w:val="14"/>
            <w:u w:val="single" w:color="005DA1"/>
          </w:rPr>
          <w:t>388</w:t>
        </w:r>
      </w:hyperlink>
      <w:r>
        <w:rPr>
          <w:spacing w:val="-4"/>
          <w:sz w:val="14"/>
        </w:rPr>
        <w:t>.</w:t>
      </w:r>
    </w:p>
    <w:p>
      <w:pPr>
        <w:spacing w:line="235" w:lineRule="auto" w:before="212"/>
        <w:ind w:left="165" w:right="167" w:firstLine="170"/>
        <w:jc w:val="both"/>
        <w:rPr>
          <w:sz w:val="20"/>
        </w:rPr>
      </w:pPr>
      <w:r>
        <w:rPr/>
        <w:br w:type="column"/>
      </w:r>
      <w:r>
        <w:rPr>
          <w:rFonts w:ascii="Arial"/>
          <w:i/>
          <w:sz w:val="20"/>
        </w:rPr>
        <w:t>[1992] Ch. 560, 574</w:t>
      </w:r>
      <w:r>
        <w:rPr>
          <w:sz w:val="20"/>
        </w:rPr>
        <w:t>. See also </w:t>
      </w:r>
      <w:r>
        <w:rPr>
          <w:rFonts w:ascii="Arial"/>
          <w:i/>
          <w:sz w:val="20"/>
        </w:rPr>
        <w:t>Taberna Europe CDO II Plc v Selskabet [2015] EWHC 871 (Comm)</w:t>
      </w:r>
      <w:r>
        <w:rPr>
          <w:rFonts w:ascii="Arial"/>
          <w:i/>
          <w:spacing w:val="-3"/>
          <w:sz w:val="20"/>
        </w:rPr>
        <w:t> </w:t>
      </w:r>
      <w:r>
        <w:rPr>
          <w:sz w:val="20"/>
        </w:rPr>
        <w:t>at</w:t>
      </w:r>
      <w:r>
        <w:rPr>
          <w:spacing w:val="-3"/>
          <w:sz w:val="20"/>
        </w:rPr>
        <w:t> </w:t>
      </w:r>
      <w:r>
        <w:rPr>
          <w:sz w:val="20"/>
        </w:rPr>
        <w:t>[181],</w:t>
      </w:r>
      <w:r>
        <w:rPr>
          <w:spacing w:val="-3"/>
          <w:sz w:val="20"/>
        </w:rPr>
        <w:t> </w:t>
      </w:r>
      <w:r>
        <w:rPr>
          <w:sz w:val="20"/>
        </w:rPr>
        <w:t>citing</w:t>
      </w:r>
      <w:r>
        <w:rPr>
          <w:spacing w:val="-3"/>
          <w:sz w:val="20"/>
        </w:rPr>
        <w:t> </w:t>
      </w:r>
      <w:r>
        <w:rPr>
          <w:sz w:val="20"/>
        </w:rPr>
        <w:t>this</w:t>
      </w:r>
      <w:r>
        <w:rPr>
          <w:spacing w:val="-3"/>
          <w:sz w:val="20"/>
        </w:rPr>
        <w:t> </w:t>
      </w:r>
      <w:r>
        <w:rPr>
          <w:sz w:val="20"/>
        </w:rPr>
        <w:t>paragraph</w:t>
      </w:r>
      <w:r>
        <w:rPr>
          <w:spacing w:val="-3"/>
          <w:sz w:val="20"/>
        </w:rPr>
        <w:t> </w:t>
      </w:r>
      <w:r>
        <w:rPr>
          <w:sz w:val="20"/>
        </w:rPr>
        <w:t>in</w:t>
      </w:r>
      <w:r>
        <w:rPr>
          <w:spacing w:val="-3"/>
          <w:sz w:val="20"/>
        </w:rPr>
        <w:t> </w:t>
      </w:r>
      <w:r>
        <w:rPr>
          <w:sz w:val="20"/>
        </w:rPr>
        <w:t>the</w:t>
      </w:r>
      <w:r>
        <w:rPr>
          <w:spacing w:val="-3"/>
          <w:sz w:val="20"/>
        </w:rPr>
        <w:t> </w:t>
      </w:r>
      <w:r>
        <w:rPr>
          <w:sz w:val="20"/>
        </w:rPr>
        <w:t>31st</w:t>
      </w:r>
      <w:r>
        <w:rPr>
          <w:spacing w:val="-3"/>
          <w:sz w:val="20"/>
        </w:rPr>
        <w:t> </w:t>
      </w:r>
      <w:r>
        <w:rPr>
          <w:sz w:val="20"/>
        </w:rPr>
        <w:t>edn</w:t>
      </w:r>
      <w:r>
        <w:rPr>
          <w:spacing w:val="-3"/>
          <w:sz w:val="20"/>
        </w:rPr>
        <w:t> </w:t>
      </w:r>
      <w:r>
        <w:rPr>
          <w:sz w:val="20"/>
        </w:rPr>
        <w:t>with</w:t>
      </w:r>
      <w:r>
        <w:rPr>
          <w:spacing w:val="-3"/>
          <w:sz w:val="20"/>
        </w:rPr>
        <w:t> </w:t>
      </w:r>
      <w:r>
        <w:rPr>
          <w:sz w:val="20"/>
        </w:rPr>
        <w:t>apparent</w:t>
      </w:r>
      <w:r>
        <w:rPr>
          <w:spacing w:val="-3"/>
          <w:sz w:val="20"/>
        </w:rPr>
        <w:t> </w:t>
      </w:r>
      <w:r>
        <w:rPr>
          <w:sz w:val="20"/>
        </w:rPr>
        <w:t>approval;</w:t>
      </w:r>
      <w:r>
        <w:rPr>
          <w:spacing w:val="-3"/>
          <w:sz w:val="20"/>
        </w:rPr>
        <w:t> </w:t>
      </w:r>
      <w:r>
        <w:rPr>
          <w:sz w:val="20"/>
        </w:rPr>
        <w:t>no</w:t>
      </w:r>
      <w:r>
        <w:rPr>
          <w:spacing w:val="-3"/>
          <w:sz w:val="20"/>
        </w:rPr>
        <w:t> </w:t>
      </w:r>
      <w:r>
        <w:rPr>
          <w:sz w:val="20"/>
        </w:rPr>
        <w:t>deduction</w:t>
      </w:r>
      <w:r>
        <w:rPr>
          <w:spacing w:val="-3"/>
          <w:sz w:val="20"/>
        </w:rPr>
        <w:t> </w:t>
      </w:r>
      <w:r>
        <w:rPr>
          <w:sz w:val="20"/>
        </w:rPr>
        <w:t>was made in that case. The </w:t>
      </w:r>
      <w:r>
        <w:rPr>
          <w:rFonts w:ascii="Arial"/>
          <w:i/>
          <w:sz w:val="20"/>
        </w:rPr>
        <w:t>Taberna </w:t>
      </w:r>
      <w:r>
        <w:rPr>
          <w:sz w:val="20"/>
        </w:rPr>
        <w:t>case was reversed on appeal on other grounds but Moore-</w:t>
      </w:r>
      <w:r>
        <w:rPr>
          <w:spacing w:val="-4"/>
          <w:sz w:val="20"/>
        </w:rPr>
        <w:t>Bick</w:t>
      </w:r>
    </w:p>
    <w:p>
      <w:pPr>
        <w:spacing w:line="235" w:lineRule="auto" w:before="0"/>
        <w:ind w:left="165" w:right="168" w:firstLine="0"/>
        <w:jc w:val="both"/>
        <w:rPr>
          <w:sz w:val="20"/>
        </w:rPr>
      </w:pPr>
      <w:r>
        <w:rPr>
          <w:sz w:val="20"/>
        </w:rPr>
        <w:drawing>
          <wp:anchor distT="0" distB="0" distL="0" distR="0" allowOverlap="1" layoutInCell="1" locked="0" behindDoc="0" simplePos="0" relativeHeight="15765504">
            <wp:simplePos x="0" y="0"/>
            <wp:positionH relativeFrom="page">
              <wp:posOffset>1257846</wp:posOffset>
            </wp:positionH>
            <wp:positionV relativeFrom="paragraph">
              <wp:posOffset>-403756</wp:posOffset>
            </wp:positionV>
            <wp:extent cx="107988" cy="107988"/>
            <wp:effectExtent l="0" t="0" r="0" b="0"/>
            <wp:wrapNone/>
            <wp:docPr id="161" name="Image 161"/>
            <wp:cNvGraphicFramePr>
              <a:graphicFrameLocks/>
            </wp:cNvGraphicFramePr>
            <a:graphic>
              <a:graphicData uri="http://schemas.openxmlformats.org/drawingml/2006/picture">
                <pic:pic>
                  <pic:nvPicPr>
                    <pic:cNvPr id="161" name="Image 161"/>
                    <pic:cNvPicPr/>
                  </pic:nvPicPr>
                  <pic:blipFill>
                    <a:blip r:embed="rId6" cstate="print"/>
                    <a:stretch>
                      <a:fillRect/>
                    </a:stretch>
                  </pic:blipFill>
                  <pic:spPr>
                    <a:xfrm>
                      <a:off x="0" y="0"/>
                      <a:ext cx="107988" cy="107988"/>
                    </a:xfrm>
                    <a:prstGeom prst="rect">
                      <a:avLst/>
                    </a:prstGeom>
                  </pic:spPr>
                </pic:pic>
              </a:graphicData>
            </a:graphic>
          </wp:anchor>
        </w:drawing>
      </w:r>
      <w:r>
        <w:rPr>
          <w:sz w:val="20"/>
        </w:rPr>
        <w:t>L.J. appears (</w:t>
      </w:r>
      <w:r>
        <w:rPr>
          <w:rFonts w:ascii="Arial" w:hAnsi="Arial"/>
          <w:i/>
          <w:sz w:val="20"/>
        </w:rPr>
        <w:t>[2016] EWCA Civ 1262, [2017] Q.B. 633 </w:t>
      </w:r>
      <w:r>
        <w:rPr>
          <w:sz w:val="20"/>
        </w:rPr>
        <w:t>at [51]) to agree with the first </w:t>
      </w:r>
      <w:r>
        <w:rPr>
          <w:sz w:val="20"/>
        </w:rPr>
        <w:t>instance judge’s analysis.</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4"/>
      </w:pPr>
    </w:p>
    <w:p>
      <w:pPr>
        <w:tabs>
          <w:tab w:pos="705" w:val="left" w:leader="none"/>
        </w:tabs>
        <w:spacing w:before="0"/>
        <w:ind w:left="165" w:right="0" w:firstLine="0"/>
        <w:jc w:val="left"/>
        <w:rPr>
          <w:sz w:val="20"/>
        </w:rPr>
      </w:pPr>
      <w:bookmarkStart w:name="_bookmark820" w:id="822"/>
      <w:bookmarkEnd w:id="822"/>
      <w:r>
        <w:rPr/>
      </w:r>
      <w:hyperlink w:history="true" w:anchor="_bookmark693">
        <w:r>
          <w:rPr>
            <w:color w:val="005DA1"/>
            <w:spacing w:val="-4"/>
            <w:position w:val="5"/>
            <w:sz w:val="14"/>
            <w:u w:val="single" w:color="005DA1"/>
          </w:rPr>
          <w:t>389</w:t>
        </w:r>
      </w:hyperlink>
      <w:r>
        <w:rPr>
          <w:spacing w:val="-4"/>
          <w:position w:val="5"/>
          <w:sz w:val="14"/>
        </w:rPr>
        <w:t>.</w:t>
      </w:r>
      <w:r>
        <w:rPr>
          <w:position w:val="5"/>
          <w:sz w:val="14"/>
        </w:rPr>
        <w:tab/>
      </w:r>
      <w:r>
        <w:rPr>
          <w:rFonts w:ascii="Arial"/>
          <w:i/>
          <w:sz w:val="20"/>
        </w:rPr>
        <w:t>[1964]</w:t>
      </w:r>
      <w:r>
        <w:rPr>
          <w:rFonts w:ascii="Arial"/>
          <w:i/>
          <w:spacing w:val="-2"/>
          <w:sz w:val="20"/>
        </w:rPr>
        <w:t> </w:t>
      </w:r>
      <w:r>
        <w:rPr>
          <w:rFonts w:ascii="Arial"/>
          <w:i/>
          <w:sz w:val="20"/>
        </w:rPr>
        <w:t>A.C. </w:t>
      </w:r>
      <w:r>
        <w:rPr>
          <w:rFonts w:ascii="Arial"/>
          <w:i/>
          <w:spacing w:val="-4"/>
          <w:sz w:val="20"/>
        </w:rPr>
        <w:t>465</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821" w:id="823"/>
      <w:bookmarkEnd w:id="823"/>
      <w:r>
        <w:rPr/>
      </w:r>
      <w:hyperlink w:history="true" w:anchor="_bookmark694">
        <w:r>
          <w:rPr>
            <w:color w:val="005DA1"/>
            <w:spacing w:val="-4"/>
            <w:position w:val="5"/>
            <w:sz w:val="14"/>
            <w:u w:val="single" w:color="005DA1"/>
          </w:rPr>
          <w:t>390</w:t>
        </w:r>
      </w:hyperlink>
      <w:r>
        <w:rPr>
          <w:spacing w:val="-4"/>
          <w:position w:val="5"/>
          <w:sz w:val="14"/>
        </w:rPr>
        <w:t>.</w:t>
      </w:r>
      <w:r>
        <w:rPr>
          <w:position w:val="5"/>
          <w:sz w:val="14"/>
        </w:rPr>
        <w:tab/>
      </w:r>
      <w:r>
        <w:rPr>
          <w:sz w:val="20"/>
        </w:rPr>
        <w:t>See the views of the majority in the </w:t>
      </w:r>
      <w:r>
        <w:rPr>
          <w:rFonts w:ascii="Arial"/>
          <w:i/>
          <w:sz w:val="20"/>
        </w:rPr>
        <w:t>Howard Marine case [1978] Q.B. 574</w:t>
      </w:r>
      <w:r>
        <w:rPr>
          <w:sz w:val="20"/>
        </w:rPr>
        <w:t>, below, para.7-093</w:t>
      </w:r>
      <w:r>
        <w:rPr>
          <w:spacing w:val="80"/>
          <w:w w:val="150"/>
          <w:sz w:val="20"/>
        </w:rPr>
        <w:t> </w:t>
      </w:r>
      <w:r>
        <w:rPr>
          <w:spacing w:val="-2"/>
          <w:sz w:val="20"/>
        </w:rPr>
        <w:t>n.425.</w:t>
      </w:r>
    </w:p>
    <w:p>
      <w:pPr>
        <w:pStyle w:val="BodyText"/>
        <w:spacing w:before="9"/>
      </w:pPr>
    </w:p>
    <w:p>
      <w:pPr>
        <w:spacing w:line="235" w:lineRule="auto" w:before="0"/>
        <w:ind w:left="705" w:right="167" w:hanging="541"/>
        <w:jc w:val="both"/>
        <w:rPr>
          <w:sz w:val="20"/>
        </w:rPr>
      </w:pPr>
      <w:bookmarkStart w:name="_bookmark822" w:id="824"/>
      <w:bookmarkEnd w:id="824"/>
      <w:r>
        <w:rPr/>
      </w:r>
      <w:hyperlink w:history="true" w:anchor="_bookmark695">
        <w:r>
          <w:rPr>
            <w:color w:val="005DA1"/>
            <w:position w:val="5"/>
            <w:sz w:val="14"/>
            <w:u w:val="single" w:color="005DA1"/>
          </w:rPr>
          <w:t>391</w:t>
        </w:r>
      </w:hyperlink>
      <w:r>
        <w:rPr>
          <w:position w:val="5"/>
          <w:sz w:val="14"/>
        </w:rPr>
        <w:t>.</w:t>
      </w:r>
      <w:r>
        <w:rPr>
          <w:spacing w:val="80"/>
          <w:position w:val="5"/>
          <w:sz w:val="14"/>
        </w:rPr>
        <w:t> </w:t>
      </w:r>
      <w:r>
        <w:rPr>
          <w:rFonts w:ascii="Arial"/>
          <w:i/>
          <w:sz w:val="20"/>
        </w:rPr>
        <w:t>Alliance and Leicester Building Society v Edgestop Ltd [1993] 1 W.L.R. 1462</w:t>
      </w:r>
      <w:r>
        <w:rPr>
          <w:sz w:val="20"/>
        </w:rPr>
        <w:t>; </w:t>
      </w:r>
      <w:r>
        <w:rPr>
          <w:rFonts w:ascii="Arial"/>
          <w:i/>
          <w:sz w:val="20"/>
        </w:rPr>
        <w:t>Standard</w:t>
      </w:r>
      <w:r>
        <w:rPr>
          <w:rFonts w:ascii="Arial"/>
          <w:i/>
          <w:spacing w:val="40"/>
          <w:sz w:val="20"/>
        </w:rPr>
        <w:t> </w:t>
      </w:r>
      <w:r>
        <w:rPr>
          <w:rFonts w:ascii="Arial"/>
          <w:i/>
          <w:sz w:val="20"/>
        </w:rPr>
        <w:t>Chartered Bank v Pakistan National Shipping Corp (No.2) [2002] UKHL 43, [2002] 3 W.L.R. 1547</w:t>
      </w:r>
      <w:r>
        <w:rPr>
          <w:sz w:val="20"/>
        </w:rPr>
        <w:t>, above, para.7-071.</w:t>
      </w:r>
    </w:p>
    <w:p>
      <w:pPr>
        <w:pStyle w:val="BodyText"/>
        <w:spacing w:before="5"/>
      </w:pPr>
    </w:p>
    <w:p>
      <w:pPr>
        <w:tabs>
          <w:tab w:pos="705" w:val="left" w:leader="none"/>
        </w:tabs>
        <w:spacing w:before="0"/>
        <w:ind w:left="165" w:right="0" w:firstLine="0"/>
        <w:jc w:val="left"/>
        <w:rPr>
          <w:sz w:val="20"/>
        </w:rPr>
      </w:pPr>
      <w:bookmarkStart w:name="_bookmark823" w:id="825"/>
      <w:bookmarkEnd w:id="825"/>
      <w:r>
        <w:rPr/>
      </w:r>
      <w:hyperlink w:history="true" w:anchor="_bookmark696">
        <w:r>
          <w:rPr>
            <w:color w:val="005DA1"/>
            <w:spacing w:val="-4"/>
            <w:position w:val="5"/>
            <w:sz w:val="14"/>
            <w:u w:val="single" w:color="005DA1"/>
          </w:rPr>
          <w:t>392</w:t>
        </w:r>
      </w:hyperlink>
      <w:r>
        <w:rPr>
          <w:spacing w:val="-4"/>
          <w:position w:val="5"/>
          <w:sz w:val="14"/>
        </w:rPr>
        <w:t>.</w:t>
      </w:r>
      <w:r>
        <w:rPr>
          <w:position w:val="5"/>
          <w:sz w:val="14"/>
        </w:rPr>
        <w:tab/>
      </w:r>
      <w:r>
        <w:rPr>
          <w:rFonts w:ascii="Arial"/>
          <w:i/>
          <w:sz w:val="20"/>
        </w:rPr>
        <w:t>Royscot</w:t>
      </w:r>
      <w:r>
        <w:rPr>
          <w:rFonts w:ascii="Arial"/>
          <w:i/>
          <w:spacing w:val="-1"/>
          <w:sz w:val="20"/>
        </w:rPr>
        <w:t> </w:t>
      </w:r>
      <w:r>
        <w:rPr>
          <w:rFonts w:ascii="Arial"/>
          <w:i/>
          <w:sz w:val="20"/>
        </w:rPr>
        <w:t>Trust Ltd v Rogerson [1991] 2 Q.B. 297</w:t>
      </w:r>
      <w:r>
        <w:rPr>
          <w:sz w:val="20"/>
        </w:rPr>
        <w:t>, above, para.7-</w:t>
      </w:r>
      <w:r>
        <w:rPr>
          <w:spacing w:val="-4"/>
          <w:sz w:val="20"/>
        </w:rPr>
        <w:t>078.</w:t>
      </w:r>
    </w:p>
    <w:p>
      <w:pPr>
        <w:pStyle w:val="BodyText"/>
        <w:spacing w:before="9"/>
      </w:pPr>
    </w:p>
    <w:p>
      <w:pPr>
        <w:tabs>
          <w:tab w:pos="705" w:val="left" w:leader="none"/>
        </w:tabs>
        <w:spacing w:line="235" w:lineRule="auto" w:before="0"/>
        <w:ind w:left="705" w:right="168" w:hanging="541"/>
        <w:jc w:val="left"/>
        <w:rPr>
          <w:sz w:val="20"/>
        </w:rPr>
      </w:pPr>
      <w:bookmarkStart w:name="_bookmark824" w:id="826"/>
      <w:bookmarkEnd w:id="826"/>
      <w:r>
        <w:rPr/>
      </w:r>
      <w:hyperlink w:history="true" w:anchor="_bookmark697">
        <w:r>
          <w:rPr>
            <w:color w:val="005DA1"/>
            <w:spacing w:val="-4"/>
            <w:position w:val="5"/>
            <w:sz w:val="14"/>
            <w:u w:val="single" w:color="005DA1"/>
          </w:rPr>
          <w:t>393</w:t>
        </w:r>
      </w:hyperlink>
      <w:r>
        <w:rPr>
          <w:spacing w:val="-4"/>
          <w:position w:val="5"/>
          <w:sz w:val="14"/>
        </w:rPr>
        <w:t>.</w:t>
      </w:r>
      <w:r>
        <w:rPr>
          <w:position w:val="5"/>
          <w:sz w:val="14"/>
        </w:rPr>
        <w:tab/>
      </w:r>
      <w:r>
        <w:rPr>
          <w:rFonts w:ascii="Arial"/>
          <w:i/>
          <w:sz w:val="20"/>
        </w:rPr>
        <w:t>Cooper v Tamms [1988] 1 E.G.L.R. 257</w:t>
      </w:r>
      <w:r>
        <w:rPr>
          <w:sz w:val="20"/>
        </w:rPr>
        <w:t>. Perhaps the burden would also have been </w:t>
      </w:r>
      <w:r>
        <w:rPr>
          <w:sz w:val="20"/>
        </w:rPr>
        <w:t>discharged in </w:t>
      </w:r>
      <w:r>
        <w:rPr>
          <w:rFonts w:ascii="Arial"/>
          <w:i/>
          <w:sz w:val="20"/>
        </w:rPr>
        <w:t>Oscar Chess Ltd v Williams [1957] 1 W.L.R. 370</w:t>
      </w:r>
      <w:r>
        <w:rPr>
          <w:sz w:val="20"/>
        </w:rPr>
        <w:t>.</w:t>
      </w:r>
    </w:p>
    <w:p>
      <w:pPr>
        <w:pStyle w:val="BodyText"/>
        <w:spacing w:before="5"/>
      </w:pPr>
    </w:p>
    <w:p>
      <w:pPr>
        <w:tabs>
          <w:tab w:pos="705" w:val="left" w:leader="none"/>
        </w:tabs>
        <w:spacing w:before="1"/>
        <w:ind w:left="165" w:right="0" w:firstLine="0"/>
        <w:jc w:val="left"/>
        <w:rPr>
          <w:sz w:val="20"/>
        </w:rPr>
      </w:pPr>
      <w:bookmarkStart w:name="_bookmark825" w:id="827"/>
      <w:bookmarkEnd w:id="827"/>
      <w:r>
        <w:rPr/>
      </w:r>
      <w:hyperlink w:history="true" w:anchor="_bookmark698">
        <w:r>
          <w:rPr>
            <w:color w:val="005DA1"/>
            <w:spacing w:val="-4"/>
            <w:position w:val="5"/>
            <w:sz w:val="14"/>
            <w:u w:val="single" w:color="005DA1"/>
          </w:rPr>
          <w:t>394</w:t>
        </w:r>
      </w:hyperlink>
      <w:r>
        <w:rPr>
          <w:spacing w:val="-4"/>
          <w:position w:val="5"/>
          <w:sz w:val="14"/>
        </w:rPr>
        <w:t>.</w:t>
      </w:r>
      <w:r>
        <w:rPr>
          <w:position w:val="5"/>
          <w:sz w:val="14"/>
        </w:rPr>
        <w:tab/>
      </w:r>
      <w:r>
        <w:rPr>
          <w:rFonts w:ascii="Arial" w:hAnsi="Arial"/>
          <w:i/>
          <w:sz w:val="20"/>
        </w:rPr>
        <w:t>Foxtons Ltd v O’Reardon [2011] EWHC 2946 (QB)</w:t>
      </w:r>
      <w:r>
        <w:rPr>
          <w:rFonts w:ascii="Arial" w:hAnsi="Arial"/>
          <w:i/>
          <w:spacing w:val="-1"/>
          <w:sz w:val="20"/>
        </w:rPr>
        <w:t> </w:t>
      </w:r>
      <w:r>
        <w:rPr>
          <w:sz w:val="20"/>
        </w:rPr>
        <w:t>at </w:t>
      </w:r>
      <w:r>
        <w:rPr>
          <w:spacing w:val="-2"/>
          <w:sz w:val="20"/>
        </w:rPr>
        <w:t>[44].</w:t>
      </w:r>
    </w:p>
    <w:p>
      <w:pPr>
        <w:pStyle w:val="BodyText"/>
        <w:spacing w:before="4"/>
      </w:pPr>
    </w:p>
    <w:p>
      <w:pPr>
        <w:tabs>
          <w:tab w:pos="705" w:val="left" w:leader="none"/>
        </w:tabs>
        <w:spacing w:before="1"/>
        <w:ind w:left="165" w:right="0" w:firstLine="0"/>
        <w:jc w:val="left"/>
        <w:rPr>
          <w:sz w:val="20"/>
        </w:rPr>
      </w:pPr>
      <w:bookmarkStart w:name="_bookmark826" w:id="828"/>
      <w:bookmarkEnd w:id="828"/>
      <w:r>
        <w:rPr/>
      </w:r>
      <w:hyperlink w:history="true" w:anchor="_bookmark699">
        <w:r>
          <w:rPr>
            <w:color w:val="005DA1"/>
            <w:spacing w:val="-4"/>
            <w:position w:val="5"/>
            <w:sz w:val="14"/>
            <w:u w:val="single" w:color="005DA1"/>
          </w:rPr>
          <w:t>395</w:t>
        </w:r>
      </w:hyperlink>
      <w:r>
        <w:rPr>
          <w:spacing w:val="-4"/>
          <w:position w:val="5"/>
          <w:sz w:val="14"/>
        </w:rPr>
        <w:t>.</w:t>
      </w:r>
      <w:r>
        <w:rPr>
          <w:position w:val="5"/>
          <w:sz w:val="14"/>
        </w:rPr>
        <w:tab/>
      </w:r>
      <w:r>
        <w:rPr>
          <w:sz w:val="20"/>
        </w:rPr>
        <w:t>See</w:t>
      </w:r>
      <w:r>
        <w:rPr>
          <w:spacing w:val="-1"/>
          <w:sz w:val="20"/>
        </w:rPr>
        <w:t> </w:t>
      </w:r>
      <w:r>
        <w:rPr>
          <w:rFonts w:ascii="Arial"/>
          <w:i/>
          <w:sz w:val="20"/>
        </w:rPr>
        <w:t>Gosling v Anderson [1972] C.L.Y. </w:t>
      </w:r>
      <w:r>
        <w:rPr>
          <w:rFonts w:ascii="Arial"/>
          <w:i/>
          <w:spacing w:val="-4"/>
          <w:sz w:val="20"/>
        </w:rPr>
        <w:t>492</w:t>
      </w:r>
      <w:r>
        <w:rPr>
          <w:spacing w:val="-4"/>
          <w:sz w:val="20"/>
        </w:rPr>
        <w:t>.</w:t>
      </w:r>
    </w:p>
    <w:p>
      <w:pPr>
        <w:spacing w:after="0"/>
        <w:jc w:val="left"/>
        <w:rPr>
          <w:sz w:val="20"/>
        </w:rPr>
        <w:sectPr>
          <w:type w:val="continuous"/>
          <w:pgSz w:w="11900" w:h="16840"/>
          <w:pgMar w:header="971" w:footer="0" w:top="1160" w:bottom="280" w:left="1275" w:right="1275"/>
        </w:sectPr>
      </w:pPr>
    </w:p>
    <w:p>
      <w:pPr>
        <w:pStyle w:val="BodyText"/>
        <w:spacing w:before="84"/>
      </w:pPr>
    </w:p>
    <w:p>
      <w:pPr>
        <w:tabs>
          <w:tab w:pos="705" w:val="left" w:leader="none"/>
        </w:tabs>
        <w:spacing w:line="235" w:lineRule="auto" w:before="1"/>
        <w:ind w:left="705" w:right="168" w:hanging="541"/>
        <w:jc w:val="left"/>
        <w:rPr>
          <w:sz w:val="20"/>
        </w:rPr>
      </w:pPr>
      <w:hyperlink w:history="true" w:anchor="_bookmark700">
        <w:r>
          <w:rPr>
            <w:color w:val="005DA1"/>
            <w:spacing w:val="-4"/>
            <w:position w:val="5"/>
            <w:sz w:val="14"/>
            <w:u w:val="single" w:color="005DA1"/>
          </w:rPr>
          <w:t>396</w:t>
        </w:r>
      </w:hyperlink>
      <w:r>
        <w:rPr>
          <w:spacing w:val="-4"/>
          <w:position w:val="5"/>
          <w:sz w:val="14"/>
        </w:rPr>
        <w:t>.</w:t>
      </w:r>
      <w:r>
        <w:rPr>
          <w:position w:val="5"/>
          <w:sz w:val="14"/>
        </w:rPr>
        <w:tab/>
      </w:r>
      <w:r>
        <w:rPr>
          <w:rFonts w:ascii="Arial"/>
          <w:i/>
          <w:sz w:val="20"/>
        </w:rPr>
        <w:t>Resolute Maritime Inc v Nippon Kaiji Kyokai (The Skopas) [1983] 1 W.L.R. 857</w:t>
      </w:r>
      <w:r>
        <w:rPr>
          <w:sz w:val="20"/>
        </w:rPr>
        <w:t>, disapproving </w:t>
      </w:r>
      <w:r>
        <w:rPr>
          <w:sz w:val="20"/>
        </w:rPr>
        <w:t>a suggestion in earlier editions of this work.</w:t>
      </w:r>
    </w:p>
    <w:p>
      <w:pPr>
        <w:pStyle w:val="BodyText"/>
        <w:spacing w:before="5"/>
      </w:pPr>
    </w:p>
    <w:p>
      <w:pPr>
        <w:tabs>
          <w:tab w:pos="705" w:val="left" w:leader="none"/>
        </w:tabs>
        <w:spacing w:before="0"/>
        <w:ind w:left="165" w:right="0" w:firstLine="0"/>
        <w:jc w:val="left"/>
        <w:rPr>
          <w:sz w:val="20"/>
        </w:rPr>
      </w:pPr>
      <w:bookmarkStart w:name="_bookmark827" w:id="829"/>
      <w:bookmarkEnd w:id="829"/>
      <w:r>
        <w:rPr/>
      </w:r>
      <w:hyperlink w:history="true" w:anchor="_bookmark701">
        <w:r>
          <w:rPr>
            <w:color w:val="005DA1"/>
            <w:spacing w:val="-4"/>
            <w:position w:val="5"/>
            <w:sz w:val="14"/>
            <w:u w:val="single" w:color="005DA1"/>
          </w:rPr>
          <w:t>397</w:t>
        </w:r>
      </w:hyperlink>
      <w:r>
        <w:rPr>
          <w:spacing w:val="-4"/>
          <w:position w:val="5"/>
          <w:sz w:val="14"/>
        </w:rPr>
        <w:t>.</w:t>
      </w:r>
      <w:r>
        <w:rPr>
          <w:position w:val="5"/>
          <w:sz w:val="14"/>
        </w:rPr>
        <w:tab/>
      </w:r>
      <w:r>
        <w:rPr>
          <w:rFonts w:ascii="Arial"/>
          <w:i/>
          <w:sz w:val="20"/>
        </w:rPr>
        <w:t>Williams</w:t>
      </w:r>
      <w:r>
        <w:rPr>
          <w:rFonts w:ascii="Arial"/>
          <w:i/>
          <w:spacing w:val="-1"/>
          <w:sz w:val="20"/>
        </w:rPr>
        <w:t> </w:t>
      </w:r>
      <w:r>
        <w:rPr>
          <w:rFonts w:ascii="Arial"/>
          <w:i/>
          <w:sz w:val="20"/>
        </w:rPr>
        <w:t>v Natural Life Health Foods Ltd [1998] 1 W.L.R. 830</w:t>
      </w:r>
      <w:r>
        <w:rPr>
          <w:sz w:val="20"/>
        </w:rPr>
        <w:t>; see further below, para.7-</w:t>
      </w:r>
      <w:r>
        <w:rPr>
          <w:spacing w:val="-4"/>
          <w:sz w:val="20"/>
        </w:rPr>
        <w:t>091.</w:t>
      </w:r>
    </w:p>
    <w:p>
      <w:pPr>
        <w:pStyle w:val="BodyText"/>
        <w:spacing w:before="9"/>
      </w:pPr>
    </w:p>
    <w:p>
      <w:pPr>
        <w:tabs>
          <w:tab w:pos="705" w:val="left" w:leader="none"/>
        </w:tabs>
        <w:spacing w:line="235" w:lineRule="auto" w:before="0"/>
        <w:ind w:left="705" w:right="168" w:hanging="541"/>
        <w:jc w:val="left"/>
        <w:rPr>
          <w:sz w:val="20"/>
        </w:rPr>
      </w:pPr>
      <w:bookmarkStart w:name="_bookmark828" w:id="830"/>
      <w:bookmarkEnd w:id="830"/>
      <w:r>
        <w:rPr/>
      </w:r>
      <w:hyperlink w:history="true" w:anchor="_bookmark702">
        <w:r>
          <w:rPr>
            <w:color w:val="005DA1"/>
            <w:spacing w:val="-4"/>
            <w:position w:val="5"/>
            <w:sz w:val="14"/>
            <w:u w:val="single" w:color="005DA1"/>
          </w:rPr>
          <w:t>398</w:t>
        </w:r>
      </w:hyperlink>
      <w:r>
        <w:rPr>
          <w:spacing w:val="-4"/>
          <w:position w:val="5"/>
          <w:sz w:val="14"/>
        </w:rPr>
        <w:t>.</w:t>
      </w:r>
      <w:r>
        <w:rPr>
          <w:position w:val="5"/>
          <w:sz w:val="14"/>
        </w:rPr>
        <w:tab/>
      </w:r>
      <w:r>
        <w:rPr>
          <w:rFonts w:ascii="Arial"/>
          <w:i/>
          <w:sz w:val="20"/>
        </w:rPr>
        <w:t>Garnac Grain Co v H.M. Faure &amp; Fairclough Ltd [1966] 1 Q.B. 650, reversed on facts, 658 </w:t>
      </w:r>
      <w:r>
        <w:rPr>
          <w:rFonts w:ascii="Arial"/>
          <w:i/>
          <w:sz w:val="20"/>
        </w:rPr>
        <w:t>and [1968] A.C. 1130n</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829" w:id="831"/>
      <w:bookmarkEnd w:id="831"/>
      <w:r>
        <w:rPr/>
      </w:r>
      <w:hyperlink w:history="true" w:anchor="_bookmark703">
        <w:r>
          <w:rPr>
            <w:color w:val="005DA1"/>
            <w:spacing w:val="-4"/>
            <w:position w:val="5"/>
            <w:sz w:val="14"/>
            <w:u w:val="single" w:color="005DA1"/>
          </w:rPr>
          <w:t>399</w:t>
        </w:r>
      </w:hyperlink>
      <w:r>
        <w:rPr>
          <w:spacing w:val="-4"/>
          <w:position w:val="5"/>
          <w:sz w:val="14"/>
        </w:rPr>
        <w:t>.</w:t>
      </w:r>
      <w:r>
        <w:rPr>
          <w:position w:val="5"/>
          <w:sz w:val="14"/>
        </w:rPr>
        <w:tab/>
      </w:r>
      <w:r>
        <w:rPr>
          <w:sz w:val="20"/>
        </w:rPr>
        <w:t>As</w:t>
      </w:r>
      <w:r>
        <w:rPr>
          <w:spacing w:val="22"/>
          <w:sz w:val="20"/>
        </w:rPr>
        <w:t> </w:t>
      </w:r>
      <w:r>
        <w:rPr>
          <w:sz w:val="20"/>
        </w:rPr>
        <w:t>happened,</w:t>
      </w:r>
      <w:r>
        <w:rPr>
          <w:spacing w:val="22"/>
          <w:sz w:val="20"/>
        </w:rPr>
        <w:t> </w:t>
      </w:r>
      <w:r>
        <w:rPr>
          <w:sz w:val="20"/>
        </w:rPr>
        <w:t>e.g.</w:t>
      </w:r>
      <w:r>
        <w:rPr>
          <w:spacing w:val="22"/>
          <w:sz w:val="20"/>
        </w:rPr>
        <w:t> </w:t>
      </w:r>
      <w:r>
        <w:rPr>
          <w:sz w:val="20"/>
        </w:rPr>
        <w:t>in</w:t>
      </w:r>
      <w:r>
        <w:rPr>
          <w:spacing w:val="21"/>
          <w:sz w:val="20"/>
        </w:rPr>
        <w:t> </w:t>
      </w:r>
      <w:r>
        <w:rPr>
          <w:rFonts w:ascii="Arial"/>
          <w:i/>
          <w:sz w:val="20"/>
        </w:rPr>
        <w:t>Hedley</w:t>
      </w:r>
      <w:r>
        <w:rPr>
          <w:rFonts w:ascii="Arial"/>
          <w:i/>
          <w:spacing w:val="22"/>
          <w:sz w:val="20"/>
        </w:rPr>
        <w:t> </w:t>
      </w:r>
      <w:r>
        <w:rPr>
          <w:rFonts w:ascii="Arial"/>
          <w:i/>
          <w:sz w:val="20"/>
        </w:rPr>
        <w:t>Byrne</w:t>
      </w:r>
      <w:r>
        <w:rPr>
          <w:rFonts w:ascii="Arial"/>
          <w:i/>
          <w:spacing w:val="22"/>
          <w:sz w:val="20"/>
        </w:rPr>
        <w:t> </w:t>
      </w:r>
      <w:r>
        <w:rPr>
          <w:rFonts w:ascii="Arial"/>
          <w:i/>
          <w:sz w:val="20"/>
        </w:rPr>
        <w:t>&amp;</w:t>
      </w:r>
      <w:r>
        <w:rPr>
          <w:rFonts w:ascii="Arial"/>
          <w:i/>
          <w:spacing w:val="22"/>
          <w:sz w:val="20"/>
        </w:rPr>
        <w:t> </w:t>
      </w:r>
      <w:r>
        <w:rPr>
          <w:rFonts w:ascii="Arial"/>
          <w:i/>
          <w:sz w:val="20"/>
        </w:rPr>
        <w:t>Co</w:t>
      </w:r>
      <w:r>
        <w:rPr>
          <w:rFonts w:ascii="Arial"/>
          <w:i/>
          <w:spacing w:val="22"/>
          <w:sz w:val="20"/>
        </w:rPr>
        <w:t> </w:t>
      </w:r>
      <w:r>
        <w:rPr>
          <w:rFonts w:ascii="Arial"/>
          <w:i/>
          <w:sz w:val="20"/>
        </w:rPr>
        <w:t>Ltd</w:t>
      </w:r>
      <w:r>
        <w:rPr>
          <w:rFonts w:ascii="Arial"/>
          <w:i/>
          <w:spacing w:val="22"/>
          <w:sz w:val="20"/>
        </w:rPr>
        <w:t> </w:t>
      </w:r>
      <w:r>
        <w:rPr>
          <w:rFonts w:ascii="Arial"/>
          <w:i/>
          <w:sz w:val="20"/>
        </w:rPr>
        <w:t>v</w:t>
      </w:r>
      <w:r>
        <w:rPr>
          <w:rFonts w:ascii="Arial"/>
          <w:i/>
          <w:spacing w:val="22"/>
          <w:sz w:val="20"/>
        </w:rPr>
        <w:t> </w:t>
      </w:r>
      <w:r>
        <w:rPr>
          <w:rFonts w:ascii="Arial"/>
          <w:i/>
          <w:sz w:val="20"/>
        </w:rPr>
        <w:t>Heller</w:t>
      </w:r>
      <w:r>
        <w:rPr>
          <w:rFonts w:ascii="Arial"/>
          <w:i/>
          <w:spacing w:val="22"/>
          <w:sz w:val="20"/>
        </w:rPr>
        <w:t> </w:t>
      </w:r>
      <w:r>
        <w:rPr>
          <w:rFonts w:ascii="Arial"/>
          <w:i/>
          <w:sz w:val="20"/>
        </w:rPr>
        <w:t>and</w:t>
      </w:r>
      <w:r>
        <w:rPr>
          <w:rFonts w:ascii="Arial"/>
          <w:i/>
          <w:spacing w:val="22"/>
          <w:sz w:val="20"/>
        </w:rPr>
        <w:t> </w:t>
      </w:r>
      <w:r>
        <w:rPr>
          <w:rFonts w:ascii="Arial"/>
          <w:i/>
          <w:sz w:val="20"/>
        </w:rPr>
        <w:t>Partners</w:t>
      </w:r>
      <w:r>
        <w:rPr>
          <w:rFonts w:ascii="Arial"/>
          <w:i/>
          <w:spacing w:val="22"/>
          <w:sz w:val="20"/>
        </w:rPr>
        <w:t> </w:t>
      </w:r>
      <w:r>
        <w:rPr>
          <w:rFonts w:ascii="Arial"/>
          <w:i/>
          <w:sz w:val="20"/>
        </w:rPr>
        <w:t>Ltd</w:t>
      </w:r>
      <w:r>
        <w:rPr>
          <w:rFonts w:ascii="Arial"/>
          <w:i/>
          <w:spacing w:val="22"/>
          <w:sz w:val="20"/>
        </w:rPr>
        <w:t> </w:t>
      </w:r>
      <w:r>
        <w:rPr>
          <w:rFonts w:ascii="Arial"/>
          <w:i/>
          <w:sz w:val="20"/>
        </w:rPr>
        <w:t>[1964]</w:t>
      </w:r>
      <w:r>
        <w:rPr>
          <w:rFonts w:ascii="Arial"/>
          <w:i/>
          <w:spacing w:val="22"/>
          <w:sz w:val="20"/>
        </w:rPr>
        <w:t> </w:t>
      </w:r>
      <w:r>
        <w:rPr>
          <w:rFonts w:ascii="Arial"/>
          <w:i/>
          <w:sz w:val="20"/>
        </w:rPr>
        <w:t>A.C.</w:t>
      </w:r>
      <w:r>
        <w:rPr>
          <w:rFonts w:ascii="Arial"/>
          <w:i/>
          <w:spacing w:val="22"/>
          <w:sz w:val="20"/>
        </w:rPr>
        <w:t> </w:t>
      </w:r>
      <w:r>
        <w:rPr>
          <w:rFonts w:ascii="Arial"/>
          <w:i/>
          <w:sz w:val="20"/>
        </w:rPr>
        <w:t>465</w:t>
      </w:r>
      <w:r>
        <w:rPr>
          <w:sz w:val="20"/>
        </w:rPr>
        <w:t>.</w:t>
      </w:r>
      <w:r>
        <w:rPr>
          <w:spacing w:val="22"/>
          <w:sz w:val="20"/>
        </w:rPr>
        <w:t> </w:t>
      </w:r>
      <w:r>
        <w:rPr>
          <w:sz w:val="20"/>
        </w:rPr>
        <w:t>For rescission in such circumstances see above, paras 7-024 et seq.</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6016">
            <wp:simplePos x="0" y="0"/>
            <wp:positionH relativeFrom="page">
              <wp:posOffset>1257846</wp:posOffset>
            </wp:positionH>
            <wp:positionV relativeFrom="paragraph">
              <wp:posOffset>160679</wp:posOffset>
            </wp:positionV>
            <wp:extent cx="107988" cy="107988"/>
            <wp:effectExtent l="0" t="0" r="0" b="0"/>
            <wp:wrapNone/>
            <wp:docPr id="162" name="Image 162"/>
            <wp:cNvGraphicFramePr>
              <a:graphicFrameLocks/>
            </wp:cNvGraphicFramePr>
            <a:graphic>
              <a:graphicData uri="http://schemas.openxmlformats.org/drawingml/2006/picture">
                <pic:pic>
                  <pic:nvPicPr>
                    <pic:cNvPr id="162" name="Image 16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830" w:id="832"/>
      <w:bookmarkEnd w:id="832"/>
      <w:r>
        <w:rPr/>
      </w:r>
      <w:hyperlink w:history="true" w:anchor="_bookmark704">
        <w:r>
          <w:rPr>
            <w:color w:val="005DA1"/>
            <w:spacing w:val="-4"/>
            <w:sz w:val="14"/>
            <w:u w:val="single" w:color="005DA1"/>
          </w:rPr>
          <w:t>400</w:t>
        </w:r>
      </w:hyperlink>
      <w:r>
        <w:rPr>
          <w:spacing w:val="-4"/>
          <w:sz w:val="14"/>
        </w:rPr>
        <w:t>.</w:t>
      </w:r>
    </w:p>
    <w:p>
      <w:pPr>
        <w:pStyle w:val="BodyText"/>
        <w:spacing w:line="235" w:lineRule="auto" w:before="212"/>
        <w:ind w:left="165" w:right="167" w:firstLine="170"/>
        <w:jc w:val="both"/>
      </w:pPr>
      <w:r>
        <w:rPr/>
        <w:br w:type="column"/>
      </w:r>
      <w:r>
        <w:rPr/>
        <w:t>It has been held that s.2(1) does not apply if B is induced by a representation by C to enter a contract with A that also results in B coming into a contractual relationship with C: </w:t>
      </w:r>
      <w:r>
        <w:rPr>
          <w:rFonts w:ascii="Arial" w:hAnsi="Arial"/>
          <w:i/>
        </w:rPr>
        <w:t>Taberna Europe CDO II Plc v Selskabet [2016] EWCA Civ 1262, [2017] Q.B. 633 </w:t>
      </w:r>
      <w:r>
        <w:rPr/>
        <w:t>at [48] (B induced </w:t>
      </w:r>
      <w:r>
        <w:rPr/>
        <w:t>by C’s misrepresentation to purchase from A subordinated loan notes issued by C; effect that B came into contractual relationship with C).</w:t>
      </w:r>
    </w:p>
    <w:p>
      <w:pPr>
        <w:pStyle w:val="BodyText"/>
        <w:spacing w:after="0" w:line="235" w:lineRule="auto"/>
        <w:jc w:val="both"/>
        <w:sectPr>
          <w:type w:val="continuous"/>
          <w:pgSz w:w="11900" w:h="16840"/>
          <w:pgMar w:header="971" w:footer="0" w:top="1160" w:bottom="280" w:left="1275" w:right="1275"/>
          <w:cols w:num="2" w:equalWidth="0">
            <w:col w:w="478" w:space="63"/>
            <w:col w:w="8809"/>
          </w:cols>
        </w:sectPr>
      </w:pPr>
    </w:p>
    <w:p>
      <w:pPr>
        <w:pStyle w:val="BodyText"/>
        <w:spacing w:before="8"/>
      </w:pPr>
    </w:p>
    <w:p>
      <w:pPr>
        <w:tabs>
          <w:tab w:pos="705" w:val="left" w:leader="none"/>
        </w:tabs>
        <w:spacing w:line="235" w:lineRule="auto" w:before="1"/>
        <w:ind w:left="705" w:right="168" w:hanging="541"/>
        <w:jc w:val="left"/>
        <w:rPr>
          <w:sz w:val="20"/>
        </w:rPr>
      </w:pPr>
      <w:bookmarkStart w:name="_bookmark831" w:id="833"/>
      <w:bookmarkEnd w:id="833"/>
      <w:r>
        <w:rPr/>
      </w:r>
      <w:hyperlink w:history="true" w:anchor="_bookmark705">
        <w:r>
          <w:rPr>
            <w:color w:val="005DA1"/>
            <w:spacing w:val="-4"/>
            <w:position w:val="5"/>
            <w:sz w:val="14"/>
            <w:u w:val="single" w:color="005DA1"/>
          </w:rPr>
          <w:t>401</w:t>
        </w:r>
      </w:hyperlink>
      <w:r>
        <w:rPr>
          <w:spacing w:val="-4"/>
          <w:position w:val="5"/>
          <w:sz w:val="14"/>
        </w:rPr>
        <w:t>.</w:t>
      </w:r>
      <w:r>
        <w:rPr>
          <w:position w:val="5"/>
          <w:sz w:val="14"/>
        </w:rPr>
        <w:tab/>
      </w:r>
      <w:r>
        <w:rPr>
          <w:sz w:val="20"/>
        </w:rPr>
        <w:t>See</w:t>
      </w:r>
      <w:r>
        <w:rPr>
          <w:spacing w:val="59"/>
          <w:sz w:val="20"/>
        </w:rPr>
        <w:t> </w:t>
      </w:r>
      <w:r>
        <w:rPr>
          <w:rFonts w:ascii="Arial"/>
          <w:i/>
          <w:sz w:val="20"/>
        </w:rPr>
        <w:t>Wells</w:t>
      </w:r>
      <w:r>
        <w:rPr>
          <w:rFonts w:ascii="Arial"/>
          <w:i/>
          <w:spacing w:val="59"/>
          <w:sz w:val="20"/>
        </w:rPr>
        <w:t> </w:t>
      </w:r>
      <w:r>
        <w:rPr>
          <w:rFonts w:ascii="Arial"/>
          <w:i/>
          <w:sz w:val="20"/>
        </w:rPr>
        <w:t>(Merstham)</w:t>
      </w:r>
      <w:r>
        <w:rPr>
          <w:rFonts w:ascii="Arial"/>
          <w:i/>
          <w:spacing w:val="59"/>
          <w:sz w:val="20"/>
        </w:rPr>
        <w:t> </w:t>
      </w:r>
      <w:r>
        <w:rPr>
          <w:rFonts w:ascii="Arial"/>
          <w:i/>
          <w:sz w:val="20"/>
        </w:rPr>
        <w:t>Ltd</w:t>
      </w:r>
      <w:r>
        <w:rPr>
          <w:rFonts w:ascii="Arial"/>
          <w:i/>
          <w:spacing w:val="59"/>
          <w:sz w:val="20"/>
        </w:rPr>
        <w:t> </w:t>
      </w:r>
      <w:r>
        <w:rPr>
          <w:rFonts w:ascii="Arial"/>
          <w:i/>
          <w:sz w:val="20"/>
        </w:rPr>
        <w:t>v</w:t>
      </w:r>
      <w:r>
        <w:rPr>
          <w:rFonts w:ascii="Arial"/>
          <w:i/>
          <w:spacing w:val="59"/>
          <w:sz w:val="20"/>
        </w:rPr>
        <w:t> </w:t>
      </w:r>
      <w:r>
        <w:rPr>
          <w:rFonts w:ascii="Arial"/>
          <w:i/>
          <w:sz w:val="20"/>
        </w:rPr>
        <w:t>Buckland</w:t>
      </w:r>
      <w:r>
        <w:rPr>
          <w:rFonts w:ascii="Arial"/>
          <w:i/>
          <w:spacing w:val="59"/>
          <w:sz w:val="20"/>
        </w:rPr>
        <w:t> </w:t>
      </w:r>
      <w:r>
        <w:rPr>
          <w:rFonts w:ascii="Arial"/>
          <w:i/>
          <w:sz w:val="20"/>
        </w:rPr>
        <w:t>Sand</w:t>
      </w:r>
      <w:r>
        <w:rPr>
          <w:rFonts w:ascii="Arial"/>
          <w:i/>
          <w:spacing w:val="59"/>
          <w:sz w:val="20"/>
        </w:rPr>
        <w:t> </w:t>
      </w:r>
      <w:r>
        <w:rPr>
          <w:rFonts w:ascii="Arial"/>
          <w:i/>
          <w:sz w:val="20"/>
        </w:rPr>
        <w:t>&amp;</w:t>
      </w:r>
      <w:r>
        <w:rPr>
          <w:rFonts w:ascii="Arial"/>
          <w:i/>
          <w:spacing w:val="59"/>
          <w:sz w:val="20"/>
        </w:rPr>
        <w:t> </w:t>
      </w:r>
      <w:r>
        <w:rPr>
          <w:rFonts w:ascii="Arial"/>
          <w:i/>
          <w:sz w:val="20"/>
        </w:rPr>
        <w:t>Silica</w:t>
      </w:r>
      <w:r>
        <w:rPr>
          <w:rFonts w:ascii="Arial"/>
          <w:i/>
          <w:spacing w:val="59"/>
          <w:sz w:val="20"/>
        </w:rPr>
        <w:t> </w:t>
      </w:r>
      <w:r>
        <w:rPr>
          <w:rFonts w:ascii="Arial"/>
          <w:i/>
          <w:sz w:val="20"/>
        </w:rPr>
        <w:t>Co</w:t>
      </w:r>
      <w:r>
        <w:rPr>
          <w:rFonts w:ascii="Arial"/>
          <w:i/>
          <w:spacing w:val="59"/>
          <w:sz w:val="20"/>
        </w:rPr>
        <w:t> </w:t>
      </w:r>
      <w:r>
        <w:rPr>
          <w:rFonts w:ascii="Arial"/>
          <w:i/>
          <w:sz w:val="20"/>
        </w:rPr>
        <w:t>Ltd</w:t>
      </w:r>
      <w:r>
        <w:rPr>
          <w:rFonts w:ascii="Arial"/>
          <w:i/>
          <w:spacing w:val="59"/>
          <w:sz w:val="20"/>
        </w:rPr>
        <w:t> </w:t>
      </w:r>
      <w:r>
        <w:rPr>
          <w:rFonts w:ascii="Arial"/>
          <w:i/>
          <w:sz w:val="20"/>
        </w:rPr>
        <w:t>[1965]</w:t>
      </w:r>
      <w:r>
        <w:rPr>
          <w:rFonts w:ascii="Arial"/>
          <w:i/>
          <w:spacing w:val="59"/>
          <w:sz w:val="20"/>
        </w:rPr>
        <w:t> </w:t>
      </w:r>
      <w:r>
        <w:rPr>
          <w:rFonts w:ascii="Arial"/>
          <w:i/>
          <w:sz w:val="20"/>
        </w:rPr>
        <w:t>2</w:t>
      </w:r>
      <w:r>
        <w:rPr>
          <w:rFonts w:ascii="Arial"/>
          <w:i/>
          <w:spacing w:val="59"/>
          <w:sz w:val="20"/>
        </w:rPr>
        <w:t> </w:t>
      </w:r>
      <w:r>
        <w:rPr>
          <w:rFonts w:ascii="Arial"/>
          <w:i/>
          <w:sz w:val="20"/>
        </w:rPr>
        <w:t>Q.B.</w:t>
      </w:r>
      <w:r>
        <w:rPr>
          <w:rFonts w:ascii="Arial"/>
          <w:i/>
          <w:spacing w:val="59"/>
          <w:sz w:val="20"/>
        </w:rPr>
        <w:t> </w:t>
      </w:r>
      <w:r>
        <w:rPr>
          <w:rFonts w:ascii="Arial"/>
          <w:i/>
          <w:sz w:val="20"/>
        </w:rPr>
        <w:t>170</w:t>
      </w:r>
      <w:r>
        <w:rPr>
          <w:sz w:val="20"/>
        </w:rPr>
        <w:t>;</w:t>
      </w:r>
      <w:r>
        <w:rPr>
          <w:spacing w:val="59"/>
          <w:sz w:val="20"/>
        </w:rPr>
        <w:t> </w:t>
      </w:r>
      <w:r>
        <w:rPr>
          <w:sz w:val="20"/>
        </w:rPr>
        <w:t>below, </w:t>
      </w:r>
      <w:r>
        <w:rPr>
          <w:spacing w:val="-2"/>
          <w:sz w:val="20"/>
        </w:rPr>
        <w:t>para.13-007.</w:t>
      </w: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6528">
            <wp:simplePos x="0" y="0"/>
            <wp:positionH relativeFrom="page">
              <wp:posOffset>1257846</wp:posOffset>
            </wp:positionH>
            <wp:positionV relativeFrom="paragraph">
              <wp:posOffset>160276</wp:posOffset>
            </wp:positionV>
            <wp:extent cx="107988" cy="107988"/>
            <wp:effectExtent l="0" t="0" r="0" b="0"/>
            <wp:wrapNone/>
            <wp:docPr id="163" name="Image 163"/>
            <wp:cNvGraphicFramePr>
              <a:graphicFrameLocks/>
            </wp:cNvGraphicFramePr>
            <a:graphic>
              <a:graphicData uri="http://schemas.openxmlformats.org/drawingml/2006/picture">
                <pic:pic>
                  <pic:nvPicPr>
                    <pic:cNvPr id="163" name="Image 16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832" w:id="834"/>
      <w:bookmarkEnd w:id="834"/>
      <w:r>
        <w:rPr/>
      </w:r>
      <w:hyperlink w:history="true" w:anchor="_bookmark706">
        <w:r>
          <w:rPr>
            <w:color w:val="005DA1"/>
            <w:spacing w:val="-4"/>
            <w:sz w:val="14"/>
            <w:u w:val="single" w:color="005DA1"/>
          </w:rPr>
          <w:t>402</w:t>
        </w:r>
      </w:hyperlink>
      <w:r>
        <w:rPr>
          <w:spacing w:val="-4"/>
          <w:sz w:val="14"/>
        </w:rPr>
        <w:t>.</w:t>
      </w:r>
    </w:p>
    <w:p>
      <w:pPr>
        <w:spacing w:line="235" w:lineRule="auto" w:before="212"/>
        <w:ind w:left="165" w:right="167" w:firstLine="170"/>
        <w:jc w:val="both"/>
        <w:rPr>
          <w:sz w:val="20"/>
        </w:rPr>
      </w:pPr>
      <w:r>
        <w:rPr/>
        <w:br w:type="column"/>
      </w:r>
      <w:r>
        <w:rPr>
          <w:sz w:val="20"/>
        </w:rPr>
        <w:t>For a full account see Clerk &amp; Lindsell on Torts, 21st edn (2014), paras 8-93—8-124 </w:t>
      </w:r>
      <w:r>
        <w:rPr>
          <w:sz w:val="20"/>
        </w:rPr>
        <w:t>and especially 8-113—8-119; Cartwright, </w:t>
      </w:r>
      <w:r>
        <w:rPr>
          <w:rFonts w:ascii="Arial" w:hAnsi="Arial"/>
          <w:i/>
          <w:sz w:val="20"/>
        </w:rPr>
        <w:t>Misrepresentation, Mistake and Non-disclosure</w:t>
      </w:r>
      <w:r>
        <w:rPr>
          <w:sz w:val="20"/>
        </w:rPr>
        <w:t>, 4th edn (2016), Ch.6.</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9"/>
      </w:pPr>
    </w:p>
    <w:p>
      <w:pPr>
        <w:pStyle w:val="BodyText"/>
        <w:tabs>
          <w:tab w:pos="705" w:val="left" w:leader="none"/>
        </w:tabs>
        <w:spacing w:line="235" w:lineRule="auto"/>
        <w:ind w:left="705" w:right="168" w:hanging="541"/>
      </w:pPr>
      <w:bookmarkStart w:name="_bookmark833" w:id="835"/>
      <w:bookmarkEnd w:id="835"/>
      <w:r>
        <w:rPr/>
      </w:r>
      <w:hyperlink w:history="true" w:anchor="_bookmark707">
        <w:r>
          <w:rPr>
            <w:color w:val="005DA1"/>
            <w:spacing w:val="-4"/>
            <w:position w:val="5"/>
            <w:sz w:val="14"/>
            <w:u w:val="single" w:color="005DA1"/>
          </w:rPr>
          <w:t>403</w:t>
        </w:r>
      </w:hyperlink>
      <w:r>
        <w:rPr>
          <w:spacing w:val="-4"/>
          <w:position w:val="5"/>
          <w:sz w:val="14"/>
        </w:rPr>
        <w:t>.</w:t>
      </w:r>
      <w:r>
        <w:rPr>
          <w:position w:val="5"/>
          <w:sz w:val="14"/>
        </w:rPr>
        <w:tab/>
      </w:r>
      <w:r>
        <w:rPr/>
        <w:t>But the existence of concurrent liability under s.2(1) and at common law may be important if a question of contributory negligence arises; see above, para.7-082.</w:t>
      </w:r>
    </w:p>
    <w:p>
      <w:pPr>
        <w:pStyle w:val="BodyText"/>
        <w:spacing w:before="9"/>
      </w:pPr>
    </w:p>
    <w:p>
      <w:pPr>
        <w:tabs>
          <w:tab w:pos="705" w:val="left" w:leader="none"/>
        </w:tabs>
        <w:spacing w:line="235" w:lineRule="auto" w:before="0"/>
        <w:ind w:left="705" w:right="168" w:hanging="541"/>
        <w:jc w:val="left"/>
        <w:rPr>
          <w:sz w:val="20"/>
        </w:rPr>
      </w:pPr>
      <w:bookmarkStart w:name="_bookmark834" w:id="836"/>
      <w:bookmarkEnd w:id="836"/>
      <w:r>
        <w:rPr/>
      </w:r>
      <w:hyperlink w:history="true" w:anchor="_bookmark708">
        <w:r>
          <w:rPr>
            <w:color w:val="005DA1"/>
            <w:spacing w:val="-4"/>
            <w:position w:val="5"/>
            <w:sz w:val="14"/>
            <w:u w:val="single" w:color="005DA1"/>
          </w:rPr>
          <w:t>404</w:t>
        </w:r>
      </w:hyperlink>
      <w:r>
        <w:rPr>
          <w:spacing w:val="-4"/>
          <w:position w:val="5"/>
          <w:sz w:val="14"/>
        </w:rPr>
        <w:t>.</w:t>
      </w:r>
      <w:r>
        <w:rPr>
          <w:position w:val="5"/>
          <w:sz w:val="14"/>
        </w:rPr>
        <w:tab/>
      </w:r>
      <w:r>
        <w:rPr>
          <w:sz w:val="20"/>
        </w:rPr>
        <w:t>As in </w:t>
      </w:r>
      <w:r>
        <w:rPr>
          <w:rFonts w:ascii="Arial" w:hAnsi="Arial"/>
          <w:i/>
          <w:sz w:val="20"/>
        </w:rPr>
        <w:t>Box v Midland Bank Ltd [1979] 2 Lloyd’s Rep. 391</w:t>
      </w:r>
      <w:r>
        <w:rPr>
          <w:sz w:val="20"/>
        </w:rPr>
        <w:t>, on appeal (as to costs only) </w:t>
      </w:r>
      <w:r>
        <w:rPr>
          <w:rFonts w:ascii="Arial" w:hAnsi="Arial"/>
          <w:i/>
          <w:sz w:val="20"/>
        </w:rPr>
        <w:t>[1981] </w:t>
      </w:r>
      <w:r>
        <w:rPr>
          <w:rFonts w:ascii="Arial" w:hAnsi="Arial"/>
          <w:i/>
          <w:sz w:val="20"/>
        </w:rPr>
        <w:t>1 Lloyd’s Rep. 434</w:t>
      </w:r>
      <w:r>
        <w:rPr>
          <w:sz w:val="20"/>
        </w:rPr>
        <w:t>; see above, para.2-126, and below, para.7-095.</w:t>
      </w:r>
    </w:p>
    <w:p>
      <w:pPr>
        <w:pStyle w:val="BodyText"/>
        <w:spacing w:before="5"/>
      </w:pPr>
    </w:p>
    <w:p>
      <w:pPr>
        <w:tabs>
          <w:tab w:pos="705" w:val="left" w:leader="none"/>
        </w:tabs>
        <w:spacing w:before="0"/>
        <w:ind w:left="165" w:right="0" w:firstLine="0"/>
        <w:jc w:val="left"/>
        <w:rPr>
          <w:sz w:val="20"/>
        </w:rPr>
      </w:pPr>
      <w:bookmarkStart w:name="_bookmark835" w:id="837"/>
      <w:bookmarkEnd w:id="837"/>
      <w:r>
        <w:rPr/>
      </w:r>
      <w:hyperlink w:history="true" w:anchor="_bookmark709">
        <w:r>
          <w:rPr>
            <w:color w:val="005DA1"/>
            <w:spacing w:val="-4"/>
            <w:position w:val="5"/>
            <w:sz w:val="14"/>
            <w:u w:val="single" w:color="005DA1"/>
          </w:rPr>
          <w:t>405</w:t>
        </w:r>
      </w:hyperlink>
      <w:r>
        <w:rPr>
          <w:spacing w:val="-4"/>
          <w:position w:val="5"/>
          <w:sz w:val="14"/>
        </w:rPr>
        <w:t>.</w:t>
      </w:r>
      <w:r>
        <w:rPr>
          <w:position w:val="5"/>
          <w:sz w:val="14"/>
        </w:rPr>
        <w:tab/>
      </w:r>
      <w:r>
        <w:rPr>
          <w:rFonts w:ascii="Arial"/>
          <w:i/>
          <w:sz w:val="20"/>
        </w:rPr>
        <w:t>[1914]</w:t>
      </w:r>
      <w:r>
        <w:rPr>
          <w:rFonts w:ascii="Arial"/>
          <w:i/>
          <w:spacing w:val="-2"/>
          <w:sz w:val="20"/>
        </w:rPr>
        <w:t> </w:t>
      </w:r>
      <w:r>
        <w:rPr>
          <w:rFonts w:ascii="Arial"/>
          <w:i/>
          <w:sz w:val="20"/>
        </w:rPr>
        <w:t>A.C. </w:t>
      </w:r>
      <w:r>
        <w:rPr>
          <w:rFonts w:ascii="Arial"/>
          <w:i/>
          <w:spacing w:val="-4"/>
          <w:sz w:val="20"/>
        </w:rPr>
        <w:t>932</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836" w:id="838"/>
      <w:bookmarkEnd w:id="838"/>
      <w:r>
        <w:rPr/>
      </w:r>
      <w:hyperlink w:history="true" w:anchor="_bookmark709">
        <w:r>
          <w:rPr>
            <w:color w:val="005DA1"/>
            <w:spacing w:val="-4"/>
            <w:position w:val="5"/>
            <w:sz w:val="14"/>
            <w:u w:val="single" w:color="005DA1"/>
          </w:rPr>
          <w:t>406</w:t>
        </w:r>
      </w:hyperlink>
      <w:r>
        <w:rPr>
          <w:spacing w:val="-4"/>
          <w:position w:val="5"/>
          <w:sz w:val="14"/>
        </w:rPr>
        <w:t>.</w:t>
      </w:r>
      <w:r>
        <w:rPr>
          <w:position w:val="5"/>
          <w:sz w:val="14"/>
        </w:rPr>
        <w:tab/>
      </w:r>
      <w:r>
        <w:rPr>
          <w:rFonts w:ascii="Arial"/>
          <w:i/>
          <w:sz w:val="20"/>
        </w:rPr>
        <w:t>[1964]</w:t>
      </w:r>
      <w:r>
        <w:rPr>
          <w:rFonts w:ascii="Arial"/>
          <w:i/>
          <w:spacing w:val="-2"/>
          <w:sz w:val="20"/>
        </w:rPr>
        <w:t> </w:t>
      </w:r>
      <w:r>
        <w:rPr>
          <w:rFonts w:ascii="Arial"/>
          <w:i/>
          <w:sz w:val="20"/>
        </w:rPr>
        <w:t>A.C. </w:t>
      </w:r>
      <w:r>
        <w:rPr>
          <w:rFonts w:ascii="Arial"/>
          <w:i/>
          <w:spacing w:val="-4"/>
          <w:sz w:val="20"/>
        </w:rPr>
        <w:t>465</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837" w:id="839"/>
      <w:bookmarkEnd w:id="839"/>
      <w:r>
        <w:rPr/>
      </w:r>
      <w:hyperlink w:history="true" w:anchor="_bookmark710">
        <w:r>
          <w:rPr>
            <w:color w:val="005DA1"/>
            <w:spacing w:val="-4"/>
            <w:position w:val="5"/>
            <w:sz w:val="14"/>
            <w:u w:val="single" w:color="005DA1"/>
          </w:rPr>
          <w:t>407</w:t>
        </w:r>
      </w:hyperlink>
      <w:r>
        <w:rPr>
          <w:spacing w:val="-4"/>
          <w:position w:val="5"/>
          <w:sz w:val="14"/>
        </w:rPr>
        <w:t>.</w:t>
      </w:r>
      <w:r>
        <w:rPr>
          <w:position w:val="5"/>
          <w:sz w:val="14"/>
        </w:rPr>
        <w:tab/>
      </w:r>
      <w:r>
        <w:rPr>
          <w:sz w:val="20"/>
        </w:rPr>
        <w:t>The plaintiff may be required to specify the nature of the duty in his pleadings: </w:t>
      </w:r>
      <w:r>
        <w:rPr>
          <w:rFonts w:ascii="Arial"/>
          <w:i/>
          <w:sz w:val="20"/>
        </w:rPr>
        <w:t>Selangor </w:t>
      </w:r>
      <w:r>
        <w:rPr>
          <w:rFonts w:ascii="Arial"/>
          <w:i/>
          <w:sz w:val="20"/>
        </w:rPr>
        <w:t>United Rubber Estates Co Ltd v Cradock [1965] Ch. 896</w:t>
      </w:r>
      <w:r>
        <w:rPr>
          <w:sz w:val="20"/>
        </w:rPr>
        <w:t>.</w:t>
      </w:r>
    </w:p>
    <w:p>
      <w:pPr>
        <w:pStyle w:val="BodyText"/>
        <w:spacing w:before="6"/>
      </w:pPr>
    </w:p>
    <w:p>
      <w:pPr>
        <w:tabs>
          <w:tab w:pos="705" w:val="left" w:leader="none"/>
        </w:tabs>
        <w:spacing w:before="0"/>
        <w:ind w:left="165" w:right="0" w:firstLine="0"/>
        <w:jc w:val="left"/>
        <w:rPr>
          <w:sz w:val="20"/>
        </w:rPr>
      </w:pPr>
      <w:bookmarkStart w:name="_bookmark838" w:id="840"/>
      <w:bookmarkEnd w:id="840"/>
      <w:r>
        <w:rPr/>
      </w:r>
      <w:hyperlink w:history="true" w:anchor="_bookmark711">
        <w:r>
          <w:rPr>
            <w:color w:val="005DA1"/>
            <w:spacing w:val="-4"/>
            <w:position w:val="5"/>
            <w:sz w:val="14"/>
            <w:u w:val="single" w:color="005DA1"/>
          </w:rPr>
          <w:t>408</w:t>
        </w:r>
      </w:hyperlink>
      <w:r>
        <w:rPr>
          <w:spacing w:val="-4"/>
          <w:position w:val="5"/>
          <w:sz w:val="14"/>
        </w:rPr>
        <w:t>.</w:t>
      </w:r>
      <w:r>
        <w:rPr>
          <w:position w:val="5"/>
          <w:sz w:val="14"/>
        </w:rPr>
        <w:tab/>
      </w:r>
      <w:r>
        <w:rPr>
          <w:rFonts w:ascii="Arial"/>
          <w:i/>
          <w:sz w:val="20"/>
        </w:rPr>
        <w:t>(1889)</w:t>
      </w:r>
      <w:r>
        <w:rPr>
          <w:rFonts w:ascii="Arial"/>
          <w:i/>
          <w:spacing w:val="-1"/>
          <w:sz w:val="20"/>
        </w:rPr>
        <w:t> </w:t>
      </w:r>
      <w:r>
        <w:rPr>
          <w:rFonts w:ascii="Arial"/>
          <w:i/>
          <w:sz w:val="20"/>
        </w:rPr>
        <w:t>14 App. Cas. 337</w:t>
      </w:r>
      <w:r>
        <w:rPr>
          <w:sz w:val="20"/>
        </w:rPr>
        <w:t>; above, para.7-</w:t>
      </w:r>
      <w:r>
        <w:rPr>
          <w:spacing w:val="-4"/>
          <w:sz w:val="20"/>
        </w:rPr>
        <w:t>048.</w:t>
      </w:r>
    </w:p>
    <w:p>
      <w:pPr>
        <w:pStyle w:val="BodyText"/>
        <w:spacing w:before="5"/>
      </w:pPr>
    </w:p>
    <w:p>
      <w:pPr>
        <w:tabs>
          <w:tab w:pos="705" w:val="left" w:leader="none"/>
        </w:tabs>
        <w:spacing w:before="0"/>
        <w:ind w:left="165" w:right="0" w:firstLine="0"/>
        <w:jc w:val="left"/>
        <w:rPr>
          <w:sz w:val="20"/>
        </w:rPr>
      </w:pPr>
      <w:bookmarkStart w:name="_bookmark839" w:id="841"/>
      <w:bookmarkEnd w:id="841"/>
      <w:r>
        <w:rPr/>
      </w:r>
      <w:hyperlink w:history="true" w:anchor="_bookmark712">
        <w:r>
          <w:rPr>
            <w:color w:val="005DA1"/>
            <w:spacing w:val="-4"/>
            <w:position w:val="5"/>
            <w:sz w:val="14"/>
            <w:u w:val="single" w:color="005DA1"/>
          </w:rPr>
          <w:t>409</w:t>
        </w:r>
      </w:hyperlink>
      <w:r>
        <w:rPr>
          <w:spacing w:val="-4"/>
          <w:position w:val="5"/>
          <w:sz w:val="14"/>
        </w:rPr>
        <w:t>.</w:t>
      </w:r>
      <w:r>
        <w:rPr>
          <w:position w:val="5"/>
          <w:sz w:val="14"/>
        </w:rPr>
        <w:tab/>
      </w:r>
      <w:r>
        <w:rPr>
          <w:rFonts w:ascii="Arial"/>
          <w:i/>
          <w:sz w:val="20"/>
        </w:rPr>
        <w:t>(1866) L.R. 2 Ch. App. </w:t>
      </w:r>
      <w:r>
        <w:rPr>
          <w:rFonts w:ascii="Arial"/>
          <w:i/>
          <w:spacing w:val="-5"/>
          <w:sz w:val="20"/>
        </w:rPr>
        <w:t>55</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840" w:id="842"/>
      <w:bookmarkEnd w:id="842"/>
      <w:r>
        <w:rPr/>
      </w:r>
      <w:hyperlink w:history="true" w:anchor="_bookmark713">
        <w:r>
          <w:rPr>
            <w:color w:val="005DA1"/>
            <w:spacing w:val="-4"/>
            <w:position w:val="5"/>
            <w:sz w:val="14"/>
            <w:u w:val="single" w:color="005DA1"/>
          </w:rPr>
          <w:t>410</w:t>
        </w:r>
      </w:hyperlink>
      <w:r>
        <w:rPr>
          <w:spacing w:val="-4"/>
          <w:position w:val="5"/>
          <w:sz w:val="14"/>
        </w:rPr>
        <w:t>.</w:t>
      </w:r>
      <w:r>
        <w:rPr>
          <w:position w:val="5"/>
          <w:sz w:val="14"/>
        </w:rPr>
        <w:tab/>
      </w:r>
      <w:r>
        <w:rPr>
          <w:rFonts w:ascii="Arial"/>
          <w:i/>
          <w:sz w:val="20"/>
        </w:rPr>
        <w:t>(1866) L.R. 2 Ch. App. 55, </w:t>
      </w:r>
      <w:r>
        <w:rPr>
          <w:rFonts w:ascii="Arial"/>
          <w:i/>
          <w:spacing w:val="-5"/>
          <w:sz w:val="20"/>
        </w:rPr>
        <w:t>61</w:t>
      </w:r>
      <w:r>
        <w:rPr>
          <w:spacing w:val="-5"/>
          <w:sz w:val="20"/>
        </w:rPr>
        <w:t>.</w:t>
      </w:r>
    </w:p>
    <w:p>
      <w:pPr>
        <w:pStyle w:val="BodyText"/>
        <w:spacing w:before="5"/>
      </w:pPr>
    </w:p>
    <w:p>
      <w:pPr>
        <w:pStyle w:val="BodyText"/>
        <w:tabs>
          <w:tab w:pos="705" w:val="left" w:leader="none"/>
        </w:tabs>
        <w:ind w:left="165"/>
      </w:pPr>
      <w:bookmarkStart w:name="_bookmark841" w:id="843"/>
      <w:bookmarkEnd w:id="843"/>
      <w:r>
        <w:rPr/>
      </w:r>
      <w:hyperlink w:history="true" w:anchor="_bookmark714">
        <w:r>
          <w:rPr>
            <w:color w:val="005DA1"/>
            <w:spacing w:val="-4"/>
            <w:position w:val="5"/>
            <w:sz w:val="14"/>
            <w:u w:val="single" w:color="005DA1"/>
          </w:rPr>
          <w:t>411</w:t>
        </w:r>
      </w:hyperlink>
      <w:r>
        <w:rPr>
          <w:spacing w:val="-4"/>
          <w:position w:val="5"/>
          <w:sz w:val="14"/>
        </w:rPr>
        <w:t>.</w:t>
      </w:r>
      <w:r>
        <w:rPr>
          <w:position w:val="5"/>
          <w:sz w:val="14"/>
        </w:rPr>
        <w:tab/>
      </w:r>
      <w:r>
        <w:rPr/>
        <w:t>Below,</w:t>
      </w:r>
      <w:r>
        <w:rPr>
          <w:spacing w:val="-2"/>
        </w:rPr>
        <w:t> </w:t>
      </w:r>
      <w:r>
        <w:rPr/>
        <w:t>paras 8-057 et </w:t>
      </w:r>
      <w:r>
        <w:rPr>
          <w:spacing w:val="-4"/>
        </w:rPr>
        <w:t>seq.</w:t>
      </w:r>
    </w:p>
    <w:p>
      <w:pPr>
        <w:pStyle w:val="BodyText"/>
        <w:spacing w:before="9"/>
      </w:pPr>
    </w:p>
    <w:p>
      <w:pPr>
        <w:pStyle w:val="BodyText"/>
        <w:spacing w:line="235" w:lineRule="auto"/>
        <w:ind w:left="705" w:right="167" w:hanging="541"/>
        <w:jc w:val="both"/>
      </w:pPr>
      <w:bookmarkStart w:name="_bookmark842" w:id="844"/>
      <w:bookmarkEnd w:id="844"/>
      <w:r>
        <w:rPr/>
      </w:r>
      <w:hyperlink w:history="true" w:anchor="_bookmark715">
        <w:r>
          <w:rPr>
            <w:color w:val="005DA1"/>
            <w:position w:val="5"/>
            <w:sz w:val="14"/>
            <w:u w:val="single" w:color="005DA1"/>
          </w:rPr>
          <w:t>412</w:t>
        </w:r>
      </w:hyperlink>
      <w:r>
        <w:rPr>
          <w:position w:val="5"/>
          <w:sz w:val="14"/>
        </w:rPr>
        <w:t>.</w:t>
      </w:r>
      <w:r>
        <w:rPr>
          <w:spacing w:val="80"/>
          <w:position w:val="5"/>
          <w:sz w:val="14"/>
        </w:rPr>
        <w:t>  </w:t>
      </w:r>
      <w:r>
        <w:rPr/>
        <w:t>It is perhaps not strictly accurate to refer to an action for “damages” for negligence in breach of</w:t>
      </w:r>
      <w:r>
        <w:rPr>
          <w:spacing w:val="40"/>
        </w:rPr>
        <w:t> </w:t>
      </w:r>
      <w:r>
        <w:rPr/>
        <w:t>a fiduciary relationship, for this was an equitable remedy and equity did not award damages. In </w:t>
      </w:r>
      <w:r>
        <w:rPr>
          <w:rFonts w:ascii="Arial" w:hAnsi="Arial"/>
          <w:i/>
        </w:rPr>
        <w:t>Nocton v Ashburton [1914] A.C. 932 </w:t>
      </w:r>
      <w:r>
        <w:rPr/>
        <w:t>the House of Lords spoke of an action for </w:t>
      </w:r>
      <w:r>
        <w:rPr/>
        <w:t>“compensation” and it may be that the measure of damages which they had in mind as appropriate in that case would have been lower than the usual tort measure. But today it is at least clear that a fiduciary relationship arising out of a professional relationship will ordinarily support a duty of care in tort for which ordinary tort damages will be recoverable, see, e.g. </w:t>
      </w:r>
      <w:r>
        <w:rPr>
          <w:rFonts w:ascii="Arial" w:hAnsi="Arial"/>
          <w:i/>
        </w:rPr>
        <w:t>Arenson v Arenson [1977] A.C. 405</w:t>
      </w:r>
      <w:r>
        <w:rPr/>
        <w:t>; </w:t>
      </w:r>
      <w:r>
        <w:rPr>
          <w:rFonts w:ascii="Arial" w:hAnsi="Arial"/>
          <w:i/>
        </w:rPr>
        <w:t>Midland Bank v Hett, Stubbs and Kemp [1979] Ch. 384</w:t>
      </w:r>
      <w:r>
        <w:rPr/>
        <w:t>.</w:t>
      </w:r>
    </w:p>
    <w:p>
      <w:pPr>
        <w:pStyle w:val="BodyText"/>
        <w:spacing w:before="7"/>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7040">
            <wp:simplePos x="0" y="0"/>
            <wp:positionH relativeFrom="page">
              <wp:posOffset>1257846</wp:posOffset>
            </wp:positionH>
            <wp:positionV relativeFrom="paragraph">
              <wp:posOffset>160180</wp:posOffset>
            </wp:positionV>
            <wp:extent cx="107988" cy="107988"/>
            <wp:effectExtent l="0" t="0" r="0" b="0"/>
            <wp:wrapNone/>
            <wp:docPr id="164" name="Image 164"/>
            <wp:cNvGraphicFramePr>
              <a:graphicFrameLocks/>
            </wp:cNvGraphicFramePr>
            <a:graphic>
              <a:graphicData uri="http://schemas.openxmlformats.org/drawingml/2006/picture">
                <pic:pic>
                  <pic:nvPicPr>
                    <pic:cNvPr id="164" name="Image 16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843" w:id="845"/>
      <w:bookmarkEnd w:id="845"/>
      <w:r>
        <w:rPr/>
      </w:r>
      <w:hyperlink w:history="true" w:anchor="_bookmark716">
        <w:r>
          <w:rPr>
            <w:color w:val="005DA1"/>
            <w:spacing w:val="-4"/>
            <w:sz w:val="14"/>
            <w:u w:val="single" w:color="005DA1"/>
          </w:rPr>
          <w:t>413</w:t>
        </w:r>
      </w:hyperlink>
      <w:r>
        <w:rPr>
          <w:spacing w:val="-4"/>
          <w:sz w:val="14"/>
        </w:rPr>
        <w:t>.</w:t>
      </w:r>
    </w:p>
    <w:p>
      <w:pPr>
        <w:spacing w:line="235" w:lineRule="auto" w:before="212"/>
        <w:ind w:left="165" w:right="167" w:firstLine="170"/>
        <w:jc w:val="both"/>
        <w:rPr>
          <w:sz w:val="20"/>
        </w:rPr>
      </w:pPr>
      <w:r>
        <w:rPr/>
        <w:br w:type="column"/>
      </w:r>
      <w:r>
        <w:rPr>
          <w:rFonts w:ascii="Arial"/>
          <w:i/>
          <w:sz w:val="20"/>
        </w:rPr>
        <w:t>[1964] A.C. 465</w:t>
      </w:r>
      <w:r>
        <w:rPr>
          <w:sz w:val="20"/>
        </w:rPr>
        <w:t>. On the facts the defendants could not be liable because they had </w:t>
      </w:r>
      <w:r>
        <w:rPr>
          <w:sz w:val="20"/>
        </w:rPr>
        <w:t>coupled their statement with a disclaimer of responsibility. Such a disclaimer is subject to the Unfair Contract</w:t>
      </w:r>
      <w:r>
        <w:rPr>
          <w:spacing w:val="-3"/>
          <w:sz w:val="20"/>
        </w:rPr>
        <w:t> </w:t>
      </w:r>
      <w:r>
        <w:rPr>
          <w:sz w:val="20"/>
        </w:rPr>
        <w:t>Terms</w:t>
      </w:r>
      <w:r>
        <w:rPr>
          <w:spacing w:val="-3"/>
          <w:sz w:val="20"/>
        </w:rPr>
        <w:t> </w:t>
      </w:r>
      <w:r>
        <w:rPr>
          <w:sz w:val="20"/>
        </w:rPr>
        <w:t>Act</w:t>
      </w:r>
      <w:r>
        <w:rPr>
          <w:spacing w:val="-3"/>
          <w:sz w:val="20"/>
        </w:rPr>
        <w:t> </w:t>
      </w:r>
      <w:r>
        <w:rPr>
          <w:sz w:val="20"/>
        </w:rPr>
        <w:t>1977</w:t>
      </w:r>
      <w:r>
        <w:rPr>
          <w:spacing w:val="-3"/>
          <w:sz w:val="20"/>
        </w:rPr>
        <w:t> </w:t>
      </w:r>
      <w:r>
        <w:rPr>
          <w:sz w:val="20"/>
        </w:rPr>
        <w:t>s.2(2)</w:t>
      </w:r>
      <w:r>
        <w:rPr>
          <w:spacing w:val="-3"/>
          <w:sz w:val="20"/>
        </w:rPr>
        <w:t> </w:t>
      </w:r>
      <w:r>
        <w:rPr>
          <w:sz w:val="20"/>
        </w:rPr>
        <w:t>or</w:t>
      </w:r>
      <w:r>
        <w:rPr>
          <w:spacing w:val="-3"/>
          <w:sz w:val="20"/>
        </w:rPr>
        <w:t> </w:t>
      </w:r>
      <w:r>
        <w:rPr>
          <w:sz w:val="20"/>
        </w:rPr>
        <w:t>Consumer</w:t>
      </w:r>
      <w:r>
        <w:rPr>
          <w:spacing w:val="-3"/>
          <w:sz w:val="20"/>
        </w:rPr>
        <w:t> </w:t>
      </w:r>
      <w:r>
        <w:rPr>
          <w:sz w:val="20"/>
        </w:rPr>
        <w:t>Rights</w:t>
      </w:r>
      <w:r>
        <w:rPr>
          <w:spacing w:val="-3"/>
          <w:sz w:val="20"/>
        </w:rPr>
        <w:t> </w:t>
      </w:r>
      <w:r>
        <w:rPr>
          <w:sz w:val="20"/>
        </w:rPr>
        <w:t>Act</w:t>
      </w:r>
      <w:r>
        <w:rPr>
          <w:spacing w:val="-3"/>
          <w:sz w:val="20"/>
        </w:rPr>
        <w:t> </w:t>
      </w:r>
      <w:r>
        <w:rPr>
          <w:sz w:val="20"/>
        </w:rPr>
        <w:t>2015</w:t>
      </w:r>
      <w:r>
        <w:rPr>
          <w:spacing w:val="-3"/>
          <w:sz w:val="20"/>
        </w:rPr>
        <w:t> </w:t>
      </w:r>
      <w:r>
        <w:rPr>
          <w:sz w:val="20"/>
        </w:rPr>
        <w:t>s.62(2):</w:t>
      </w:r>
      <w:r>
        <w:rPr>
          <w:spacing w:val="-3"/>
          <w:sz w:val="20"/>
        </w:rPr>
        <w:t> </w:t>
      </w:r>
      <w:r>
        <w:rPr>
          <w:rFonts w:ascii="Arial"/>
          <w:i/>
          <w:sz w:val="20"/>
        </w:rPr>
        <w:t>Smith</w:t>
      </w:r>
      <w:r>
        <w:rPr>
          <w:rFonts w:ascii="Arial"/>
          <w:i/>
          <w:spacing w:val="-3"/>
          <w:sz w:val="20"/>
        </w:rPr>
        <w:t> </w:t>
      </w:r>
      <w:r>
        <w:rPr>
          <w:rFonts w:ascii="Arial"/>
          <w:i/>
          <w:sz w:val="20"/>
        </w:rPr>
        <w:t>v</w:t>
      </w:r>
      <w:r>
        <w:rPr>
          <w:rFonts w:ascii="Arial"/>
          <w:i/>
          <w:spacing w:val="-3"/>
          <w:sz w:val="20"/>
        </w:rPr>
        <w:t> </w:t>
      </w:r>
      <w:r>
        <w:rPr>
          <w:rFonts w:ascii="Arial"/>
          <w:i/>
          <w:sz w:val="20"/>
        </w:rPr>
        <w:t>Eric</w:t>
      </w:r>
      <w:r>
        <w:rPr>
          <w:rFonts w:ascii="Arial"/>
          <w:i/>
          <w:spacing w:val="-3"/>
          <w:sz w:val="20"/>
        </w:rPr>
        <w:t> </w:t>
      </w:r>
      <w:r>
        <w:rPr>
          <w:rFonts w:ascii="Arial"/>
          <w:i/>
          <w:sz w:val="20"/>
        </w:rPr>
        <w:t>S.</w:t>
      </w:r>
      <w:r>
        <w:rPr>
          <w:rFonts w:ascii="Arial"/>
          <w:i/>
          <w:spacing w:val="-3"/>
          <w:sz w:val="20"/>
        </w:rPr>
        <w:t> </w:t>
      </w:r>
      <w:r>
        <w:rPr>
          <w:rFonts w:ascii="Arial"/>
          <w:i/>
          <w:sz w:val="20"/>
        </w:rPr>
        <w:t>Bush</w:t>
      </w:r>
      <w:r>
        <w:rPr>
          <w:rFonts w:ascii="Arial"/>
          <w:i/>
          <w:spacing w:val="-3"/>
          <w:sz w:val="20"/>
        </w:rPr>
        <w:t> </w:t>
      </w:r>
      <w:r>
        <w:rPr>
          <w:sz w:val="20"/>
        </w:rPr>
        <w:t>and </w:t>
      </w:r>
      <w:r>
        <w:rPr>
          <w:rFonts w:ascii="Arial"/>
          <w:i/>
          <w:sz w:val="20"/>
        </w:rPr>
        <w:t>Harris v Wyre Forest DC [1990] 1 A.C. 831</w:t>
      </w:r>
      <w:r>
        <w:rPr>
          <w:sz w:val="20"/>
        </w:rPr>
        <w:t>.</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84"/>
      </w:pPr>
    </w:p>
    <w:p>
      <w:pPr>
        <w:pStyle w:val="BodyText"/>
        <w:spacing w:line="235" w:lineRule="auto" w:before="1"/>
        <w:ind w:left="705" w:right="167" w:hanging="541"/>
        <w:jc w:val="both"/>
      </w:pPr>
      <w:hyperlink w:history="true" w:anchor="_bookmark717">
        <w:r>
          <w:rPr>
            <w:color w:val="005DA1"/>
            <w:position w:val="5"/>
            <w:sz w:val="14"/>
            <w:u w:val="single" w:color="005DA1"/>
          </w:rPr>
          <w:t>414</w:t>
        </w:r>
      </w:hyperlink>
      <w:r>
        <w:rPr>
          <w:position w:val="5"/>
          <w:sz w:val="14"/>
        </w:rPr>
        <w:t>.</w:t>
      </w:r>
      <w:r>
        <w:rPr>
          <w:spacing w:val="80"/>
          <w:position w:val="5"/>
          <w:sz w:val="14"/>
        </w:rPr>
        <w:t>  </w:t>
      </w:r>
      <w:r>
        <w:rPr/>
        <w:t>It</w:t>
      </w:r>
      <w:r>
        <w:rPr>
          <w:spacing w:val="-1"/>
        </w:rPr>
        <w:t> </w:t>
      </w:r>
      <w:r>
        <w:rPr/>
        <w:t>seems</w:t>
      </w:r>
      <w:r>
        <w:rPr>
          <w:spacing w:val="-1"/>
        </w:rPr>
        <w:t> </w:t>
      </w:r>
      <w:r>
        <w:rPr/>
        <w:t>that</w:t>
      </w:r>
      <w:r>
        <w:rPr>
          <w:spacing w:val="-1"/>
        </w:rPr>
        <w:t> </w:t>
      </w:r>
      <w:r>
        <w:rPr/>
        <w:t>an</w:t>
      </w:r>
      <w:r>
        <w:rPr>
          <w:spacing w:val="-1"/>
        </w:rPr>
        <w:t> </w:t>
      </w:r>
      <w:r>
        <w:rPr/>
        <w:t>explicit</w:t>
      </w:r>
      <w:r>
        <w:rPr>
          <w:spacing w:val="-1"/>
        </w:rPr>
        <w:t> </w:t>
      </w:r>
      <w:r>
        <w:rPr/>
        <w:t>voluntary</w:t>
      </w:r>
      <w:r>
        <w:rPr>
          <w:spacing w:val="-1"/>
        </w:rPr>
        <w:t> </w:t>
      </w:r>
      <w:r>
        <w:rPr/>
        <w:t>assumption</w:t>
      </w:r>
      <w:r>
        <w:rPr>
          <w:spacing w:val="-1"/>
        </w:rPr>
        <w:t> </w:t>
      </w:r>
      <w:r>
        <w:rPr/>
        <w:t>of</w:t>
      </w:r>
      <w:r>
        <w:rPr>
          <w:spacing w:val="-1"/>
        </w:rPr>
        <w:t> </w:t>
      </w:r>
      <w:r>
        <w:rPr/>
        <w:t>responsibility</w:t>
      </w:r>
      <w:r>
        <w:rPr>
          <w:spacing w:val="-1"/>
        </w:rPr>
        <w:t> </w:t>
      </w:r>
      <w:r>
        <w:rPr/>
        <w:t>by</w:t>
      </w:r>
      <w:r>
        <w:rPr>
          <w:spacing w:val="-1"/>
        </w:rPr>
        <w:t> </w:t>
      </w:r>
      <w:r>
        <w:rPr/>
        <w:t>the</w:t>
      </w:r>
      <w:r>
        <w:rPr>
          <w:spacing w:val="-1"/>
        </w:rPr>
        <w:t> </w:t>
      </w:r>
      <w:r>
        <w:rPr/>
        <w:t>defendant</w:t>
      </w:r>
      <w:r>
        <w:rPr>
          <w:spacing w:val="-1"/>
        </w:rPr>
        <w:t> </w:t>
      </w:r>
      <w:r>
        <w:rPr/>
        <w:t>may</w:t>
      </w:r>
      <w:r>
        <w:rPr>
          <w:spacing w:val="-1"/>
        </w:rPr>
        <w:t> </w:t>
      </w:r>
      <w:r>
        <w:rPr/>
        <w:t>not</w:t>
      </w:r>
      <w:r>
        <w:rPr>
          <w:spacing w:val="-1"/>
        </w:rPr>
        <w:t> </w:t>
      </w:r>
      <w:r>
        <w:rPr/>
        <w:t>always be</w:t>
      </w:r>
      <w:r>
        <w:rPr>
          <w:spacing w:val="-1"/>
        </w:rPr>
        <w:t> </w:t>
      </w:r>
      <w:r>
        <w:rPr/>
        <w:t>needed,</w:t>
      </w:r>
      <w:r>
        <w:rPr>
          <w:spacing w:val="-1"/>
        </w:rPr>
        <w:t> </w:t>
      </w:r>
      <w:r>
        <w:rPr/>
        <w:t>at</w:t>
      </w:r>
      <w:r>
        <w:rPr>
          <w:spacing w:val="-1"/>
        </w:rPr>
        <w:t> </w:t>
      </w:r>
      <w:r>
        <w:rPr/>
        <w:t>least</w:t>
      </w:r>
      <w:r>
        <w:rPr>
          <w:spacing w:val="-1"/>
        </w:rPr>
        <w:t> </w:t>
      </w:r>
      <w:r>
        <w:rPr/>
        <w:t>when</w:t>
      </w:r>
      <w:r>
        <w:rPr>
          <w:spacing w:val="-1"/>
        </w:rPr>
        <w:t> </w:t>
      </w:r>
      <w:r>
        <w:rPr/>
        <w:t>the</w:t>
      </w:r>
      <w:r>
        <w:rPr>
          <w:spacing w:val="-1"/>
        </w:rPr>
        <w:t> </w:t>
      </w:r>
      <w:r>
        <w:rPr/>
        <w:t>defendant</w:t>
      </w:r>
      <w:r>
        <w:rPr>
          <w:spacing w:val="-1"/>
        </w:rPr>
        <w:t> </w:t>
      </w:r>
      <w:r>
        <w:rPr/>
        <w:t>should</w:t>
      </w:r>
      <w:r>
        <w:rPr>
          <w:spacing w:val="-1"/>
        </w:rPr>
        <w:t> </w:t>
      </w:r>
      <w:r>
        <w:rPr/>
        <w:t>know</w:t>
      </w:r>
      <w:r>
        <w:rPr>
          <w:spacing w:val="-1"/>
        </w:rPr>
        <w:t> </w:t>
      </w:r>
      <w:r>
        <w:rPr/>
        <w:t>that</w:t>
      </w:r>
      <w:r>
        <w:rPr>
          <w:spacing w:val="-1"/>
        </w:rPr>
        <w:t> </w:t>
      </w:r>
      <w:r>
        <w:rPr/>
        <w:t>the</w:t>
      </w:r>
      <w:r>
        <w:rPr>
          <w:spacing w:val="-1"/>
        </w:rPr>
        <w:t> </w:t>
      </w:r>
      <w:r>
        <w:rPr/>
        <w:t>plaintiff</w:t>
      </w:r>
      <w:r>
        <w:rPr>
          <w:spacing w:val="-1"/>
        </w:rPr>
        <w:t> </w:t>
      </w:r>
      <w:r>
        <w:rPr/>
        <w:t>will</w:t>
      </w:r>
      <w:r>
        <w:rPr>
          <w:spacing w:val="-1"/>
        </w:rPr>
        <w:t> </w:t>
      </w:r>
      <w:r>
        <w:rPr/>
        <w:t>reasonably</w:t>
      </w:r>
      <w:r>
        <w:rPr>
          <w:spacing w:val="-1"/>
        </w:rPr>
        <w:t> </w:t>
      </w:r>
      <w:r>
        <w:rPr/>
        <w:t>rely</w:t>
      </w:r>
      <w:r>
        <w:rPr>
          <w:spacing w:val="-1"/>
        </w:rPr>
        <w:t> </w:t>
      </w:r>
      <w:r>
        <w:rPr/>
        <w:t>on</w:t>
      </w:r>
      <w:r>
        <w:rPr>
          <w:spacing w:val="-1"/>
        </w:rPr>
        <w:t> </w:t>
      </w:r>
      <w:r>
        <w:rPr/>
        <w:t>the defendant’s statement: see further below, para.7-091.</w:t>
      </w:r>
    </w:p>
    <w:p>
      <w:pPr>
        <w:pStyle w:val="BodyText"/>
        <w:spacing w:before="8"/>
      </w:pPr>
    </w:p>
    <w:p>
      <w:pPr>
        <w:spacing w:line="235" w:lineRule="auto" w:before="1"/>
        <w:ind w:left="705" w:right="168" w:hanging="541"/>
        <w:jc w:val="both"/>
        <w:rPr>
          <w:sz w:val="20"/>
        </w:rPr>
      </w:pPr>
      <w:bookmarkStart w:name="_bookmark844" w:id="846"/>
      <w:bookmarkEnd w:id="846"/>
      <w:r>
        <w:rPr/>
      </w:r>
      <w:hyperlink w:history="true" w:anchor="_bookmark718">
        <w:r>
          <w:rPr>
            <w:color w:val="005DA1"/>
            <w:position w:val="5"/>
            <w:sz w:val="14"/>
            <w:u w:val="single" w:color="005DA1"/>
          </w:rPr>
          <w:t>415</w:t>
        </w:r>
      </w:hyperlink>
      <w:r>
        <w:rPr>
          <w:position w:val="5"/>
          <w:sz w:val="14"/>
        </w:rPr>
        <w:t>.</w:t>
      </w:r>
      <w:r>
        <w:rPr>
          <w:spacing w:val="80"/>
          <w:position w:val="5"/>
          <w:sz w:val="14"/>
        </w:rPr>
        <w:t>  </w:t>
      </w:r>
      <w:r>
        <w:rPr>
          <w:sz w:val="20"/>
        </w:rPr>
        <w:t>See, e.g. </w:t>
      </w:r>
      <w:r>
        <w:rPr>
          <w:rFonts w:ascii="Arial"/>
          <w:i/>
          <w:sz w:val="20"/>
        </w:rPr>
        <w:t>Candler v Crane, Christmas &amp; Co [1951] 2 K.B. 164</w:t>
      </w:r>
      <w:r>
        <w:rPr>
          <w:sz w:val="20"/>
        </w:rPr>
        <w:t>, the majority decision in </w:t>
      </w:r>
      <w:r>
        <w:rPr>
          <w:sz w:val="20"/>
        </w:rPr>
        <w:t>which was overruled in the </w:t>
      </w:r>
      <w:r>
        <w:rPr>
          <w:rFonts w:ascii="Arial"/>
          <w:i/>
          <w:sz w:val="20"/>
        </w:rPr>
        <w:t>Hedley Byrne case [1964] A.C. 465</w:t>
      </w:r>
      <w:r>
        <w:rPr>
          <w:sz w:val="20"/>
        </w:rPr>
        <w:t>; </w:t>
      </w:r>
      <w:r>
        <w:rPr>
          <w:rFonts w:ascii="Arial"/>
          <w:i/>
          <w:sz w:val="20"/>
        </w:rPr>
        <w:t>J.E.B. Fasteners Ltd v Marks, Bloom</w:t>
      </w:r>
      <w:r>
        <w:rPr>
          <w:rFonts w:ascii="Arial"/>
          <w:i/>
          <w:spacing w:val="40"/>
          <w:sz w:val="20"/>
        </w:rPr>
        <w:t> </w:t>
      </w:r>
      <w:r>
        <w:rPr>
          <w:rFonts w:ascii="Arial"/>
          <w:i/>
          <w:sz w:val="20"/>
        </w:rPr>
        <w:t>&amp;</w:t>
      </w:r>
      <w:r>
        <w:rPr>
          <w:rFonts w:ascii="Arial"/>
          <w:i/>
          <w:spacing w:val="40"/>
          <w:sz w:val="20"/>
        </w:rPr>
        <w:t> </w:t>
      </w:r>
      <w:r>
        <w:rPr>
          <w:rFonts w:ascii="Arial"/>
          <w:i/>
          <w:sz w:val="20"/>
        </w:rPr>
        <w:t>Co</w:t>
      </w:r>
      <w:r>
        <w:rPr>
          <w:rFonts w:ascii="Arial"/>
          <w:i/>
          <w:spacing w:val="40"/>
          <w:sz w:val="20"/>
        </w:rPr>
        <w:t> </w:t>
      </w:r>
      <w:r>
        <w:rPr>
          <w:rFonts w:ascii="Arial"/>
          <w:i/>
          <w:sz w:val="20"/>
        </w:rPr>
        <w:t>[1981]</w:t>
      </w:r>
      <w:r>
        <w:rPr>
          <w:rFonts w:ascii="Arial"/>
          <w:i/>
          <w:spacing w:val="40"/>
          <w:sz w:val="20"/>
        </w:rPr>
        <w:t> </w:t>
      </w:r>
      <w:r>
        <w:rPr>
          <w:rFonts w:ascii="Arial"/>
          <w:i/>
          <w:sz w:val="20"/>
        </w:rPr>
        <w:t>3</w:t>
      </w:r>
      <w:r>
        <w:rPr>
          <w:rFonts w:ascii="Arial"/>
          <w:i/>
          <w:spacing w:val="40"/>
          <w:sz w:val="20"/>
        </w:rPr>
        <w:t> </w:t>
      </w:r>
      <w:r>
        <w:rPr>
          <w:rFonts w:ascii="Arial"/>
          <w:i/>
          <w:sz w:val="20"/>
        </w:rPr>
        <w:t>All</w:t>
      </w:r>
      <w:r>
        <w:rPr>
          <w:rFonts w:ascii="Arial"/>
          <w:i/>
          <w:spacing w:val="40"/>
          <w:sz w:val="20"/>
        </w:rPr>
        <w:t> </w:t>
      </w:r>
      <w:r>
        <w:rPr>
          <w:rFonts w:ascii="Arial"/>
          <w:i/>
          <w:sz w:val="20"/>
        </w:rPr>
        <w:t>E.R.</w:t>
      </w:r>
      <w:r>
        <w:rPr>
          <w:rFonts w:ascii="Arial"/>
          <w:i/>
          <w:spacing w:val="40"/>
          <w:sz w:val="20"/>
        </w:rPr>
        <w:t> </w:t>
      </w:r>
      <w:r>
        <w:rPr>
          <w:rFonts w:ascii="Arial"/>
          <w:i/>
          <w:sz w:val="20"/>
        </w:rPr>
        <w:t>289,</w:t>
      </w:r>
      <w:r>
        <w:rPr>
          <w:rFonts w:ascii="Arial"/>
          <w:i/>
          <w:spacing w:val="40"/>
          <w:sz w:val="20"/>
        </w:rPr>
        <w:t> </w:t>
      </w:r>
      <w:r>
        <w:rPr>
          <w:rFonts w:ascii="Arial"/>
          <w:i/>
          <w:sz w:val="20"/>
        </w:rPr>
        <w:t>[1983]</w:t>
      </w:r>
      <w:r>
        <w:rPr>
          <w:rFonts w:ascii="Arial"/>
          <w:i/>
          <w:spacing w:val="40"/>
          <w:sz w:val="20"/>
        </w:rPr>
        <w:t> </w:t>
      </w:r>
      <w:r>
        <w:rPr>
          <w:rFonts w:ascii="Arial"/>
          <w:i/>
          <w:sz w:val="20"/>
        </w:rPr>
        <w:t>1</w:t>
      </w:r>
      <w:r>
        <w:rPr>
          <w:rFonts w:ascii="Arial"/>
          <w:i/>
          <w:spacing w:val="40"/>
          <w:sz w:val="20"/>
        </w:rPr>
        <w:t> </w:t>
      </w:r>
      <w:r>
        <w:rPr>
          <w:rFonts w:ascii="Arial"/>
          <w:i/>
          <w:sz w:val="20"/>
        </w:rPr>
        <w:t>All</w:t>
      </w:r>
      <w:r>
        <w:rPr>
          <w:rFonts w:ascii="Arial"/>
          <w:i/>
          <w:spacing w:val="40"/>
          <w:sz w:val="20"/>
        </w:rPr>
        <w:t> </w:t>
      </w:r>
      <w:r>
        <w:rPr>
          <w:rFonts w:ascii="Arial"/>
          <w:i/>
          <w:sz w:val="20"/>
        </w:rPr>
        <w:t>E.R.</w:t>
      </w:r>
      <w:r>
        <w:rPr>
          <w:rFonts w:ascii="Arial"/>
          <w:i/>
          <w:spacing w:val="40"/>
          <w:sz w:val="20"/>
        </w:rPr>
        <w:t> </w:t>
      </w:r>
      <w:r>
        <w:rPr>
          <w:rFonts w:ascii="Arial"/>
          <w:i/>
          <w:sz w:val="20"/>
        </w:rPr>
        <w:t>583</w:t>
      </w:r>
      <w:r>
        <w:rPr>
          <w:sz w:val="20"/>
        </w:rPr>
        <w:t>.</w:t>
      </w:r>
      <w:r>
        <w:rPr>
          <w:spacing w:val="40"/>
          <w:sz w:val="20"/>
        </w:rPr>
        <w:t> </w:t>
      </w:r>
      <w:r>
        <w:rPr>
          <w:sz w:val="20"/>
        </w:rPr>
        <w:t>But</w:t>
      </w:r>
      <w:r>
        <w:rPr>
          <w:spacing w:val="40"/>
          <w:sz w:val="20"/>
        </w:rPr>
        <w:t> </w:t>
      </w:r>
      <w:r>
        <w:rPr>
          <w:sz w:val="20"/>
        </w:rPr>
        <w:t>note</w:t>
      </w:r>
      <w:r>
        <w:rPr>
          <w:spacing w:val="40"/>
          <w:sz w:val="20"/>
        </w:rPr>
        <w:t> </w:t>
      </w:r>
      <w:r>
        <w:rPr>
          <w:sz w:val="20"/>
        </w:rPr>
        <w:t>the</w:t>
      </w:r>
      <w:r>
        <w:rPr>
          <w:spacing w:val="40"/>
          <w:sz w:val="20"/>
        </w:rPr>
        <w:t> </w:t>
      </w:r>
      <w:r>
        <w:rPr>
          <w:sz w:val="20"/>
        </w:rPr>
        <w:t>restriction</w:t>
      </w:r>
      <w:r>
        <w:rPr>
          <w:spacing w:val="40"/>
          <w:sz w:val="20"/>
        </w:rPr>
        <w:t> </w:t>
      </w:r>
      <w:r>
        <w:rPr>
          <w:sz w:val="20"/>
        </w:rPr>
        <w:t>described</w:t>
      </w:r>
      <w:r>
        <w:rPr>
          <w:spacing w:val="40"/>
          <w:sz w:val="20"/>
        </w:rPr>
        <w:t> </w:t>
      </w:r>
      <w:r>
        <w:rPr>
          <w:sz w:val="20"/>
        </w:rPr>
        <w:t>in para.7-090, below.</w:t>
      </w:r>
    </w:p>
    <w:p>
      <w:pPr>
        <w:pStyle w:val="BodyText"/>
        <w:spacing w:before="4"/>
      </w:pPr>
    </w:p>
    <w:p>
      <w:pPr>
        <w:tabs>
          <w:tab w:pos="705" w:val="left" w:leader="none"/>
        </w:tabs>
        <w:spacing w:before="0"/>
        <w:ind w:left="165" w:right="0" w:firstLine="0"/>
        <w:jc w:val="left"/>
        <w:rPr>
          <w:sz w:val="20"/>
        </w:rPr>
      </w:pPr>
      <w:bookmarkStart w:name="_bookmark845" w:id="847"/>
      <w:bookmarkEnd w:id="847"/>
      <w:r>
        <w:rPr/>
      </w:r>
      <w:hyperlink w:history="true" w:anchor="_bookmark719">
        <w:r>
          <w:rPr>
            <w:color w:val="005DA1"/>
            <w:spacing w:val="-4"/>
            <w:position w:val="5"/>
            <w:sz w:val="14"/>
            <w:u w:val="single" w:color="005DA1"/>
          </w:rPr>
          <w:t>416</w:t>
        </w:r>
      </w:hyperlink>
      <w:r>
        <w:rPr>
          <w:spacing w:val="-4"/>
          <w:position w:val="5"/>
          <w:sz w:val="14"/>
        </w:rPr>
        <w:t>.</w:t>
      </w:r>
      <w:r>
        <w:rPr>
          <w:position w:val="5"/>
          <w:sz w:val="14"/>
        </w:rPr>
        <w:tab/>
      </w:r>
      <w:r>
        <w:rPr>
          <w:rFonts w:ascii="Arial"/>
          <w:i/>
          <w:sz w:val="20"/>
        </w:rPr>
        <w:t>W.B. Anderson &amp; Sons Ltd v Rhodes (Liverpool) Ltd [1967] 2 All E.R. </w:t>
      </w:r>
      <w:r>
        <w:rPr>
          <w:rFonts w:ascii="Arial"/>
          <w:i/>
          <w:spacing w:val="-4"/>
          <w:sz w:val="20"/>
        </w:rPr>
        <w:t>850</w:t>
      </w:r>
      <w:r>
        <w:rPr>
          <w:spacing w:val="-4"/>
          <w:sz w:val="20"/>
        </w:rPr>
        <w:t>.</w:t>
      </w:r>
    </w:p>
    <w:p>
      <w:pPr>
        <w:pStyle w:val="BodyText"/>
        <w:spacing w:before="5"/>
      </w:pPr>
    </w:p>
    <w:p>
      <w:pPr>
        <w:pStyle w:val="BodyText"/>
        <w:tabs>
          <w:tab w:pos="705" w:val="left" w:leader="none"/>
        </w:tabs>
        <w:ind w:left="165"/>
      </w:pPr>
      <w:bookmarkStart w:name="_bookmark846" w:id="848"/>
      <w:bookmarkEnd w:id="848"/>
      <w:r>
        <w:rPr/>
      </w:r>
      <w:hyperlink w:history="true" w:anchor="_bookmark720">
        <w:r>
          <w:rPr>
            <w:color w:val="005DA1"/>
            <w:spacing w:val="-4"/>
            <w:position w:val="5"/>
            <w:sz w:val="14"/>
            <w:u w:val="single" w:color="005DA1"/>
          </w:rPr>
          <w:t>417</w:t>
        </w:r>
      </w:hyperlink>
      <w:r>
        <w:rPr>
          <w:spacing w:val="-4"/>
          <w:position w:val="5"/>
          <w:sz w:val="14"/>
        </w:rPr>
        <w:t>.</w:t>
      </w:r>
      <w:r>
        <w:rPr>
          <w:position w:val="5"/>
          <w:sz w:val="14"/>
        </w:rPr>
        <w:tab/>
      </w:r>
      <w:r>
        <w:rPr/>
        <w:t>See</w:t>
      </w:r>
      <w:r>
        <w:rPr>
          <w:spacing w:val="-2"/>
        </w:rPr>
        <w:t> </w:t>
      </w:r>
      <w:r>
        <w:rPr/>
        <w:t>below, para.7-</w:t>
      </w:r>
      <w:r>
        <w:rPr>
          <w:spacing w:val="-4"/>
        </w:rPr>
        <w:t>092.</w:t>
      </w:r>
    </w:p>
    <w:p>
      <w:pPr>
        <w:pStyle w:val="BodyText"/>
        <w:spacing w:before="9"/>
      </w:pPr>
    </w:p>
    <w:p>
      <w:pPr>
        <w:pStyle w:val="BodyText"/>
        <w:tabs>
          <w:tab w:pos="705" w:val="left" w:leader="none"/>
        </w:tabs>
        <w:spacing w:line="235" w:lineRule="auto"/>
        <w:ind w:left="705" w:right="168" w:hanging="541"/>
      </w:pPr>
      <w:bookmarkStart w:name="_bookmark847" w:id="849"/>
      <w:bookmarkEnd w:id="849"/>
      <w:r>
        <w:rPr/>
      </w:r>
      <w:hyperlink w:history="true" w:anchor="_bookmark721">
        <w:r>
          <w:rPr>
            <w:color w:val="005DA1"/>
            <w:spacing w:val="-4"/>
            <w:position w:val="5"/>
            <w:sz w:val="14"/>
            <w:u w:val="single" w:color="005DA1"/>
          </w:rPr>
          <w:t>418</w:t>
        </w:r>
      </w:hyperlink>
      <w:r>
        <w:rPr>
          <w:spacing w:val="-4"/>
          <w:position w:val="5"/>
          <w:sz w:val="14"/>
        </w:rPr>
        <w:t>.</w:t>
      </w:r>
      <w:r>
        <w:rPr>
          <w:position w:val="5"/>
          <w:sz w:val="14"/>
        </w:rPr>
        <w:tab/>
      </w:r>
      <w:r>
        <w:rPr/>
        <w:t>Honoré, “Hedley Byrne &amp; Co Ltd v Heller and Partners Ltd” (1965) 8 Journal of the Society of</w:t>
      </w:r>
      <w:r>
        <w:rPr>
          <w:spacing w:val="40"/>
        </w:rPr>
        <w:t> </w:t>
      </w:r>
      <w:r>
        <w:rPr/>
        <w:t>Public Teachers of Law (N.S.) 284.</w:t>
      </w:r>
    </w:p>
    <w:p>
      <w:pPr>
        <w:pStyle w:val="BodyText"/>
        <w:spacing w:before="9"/>
      </w:pPr>
    </w:p>
    <w:p>
      <w:pPr>
        <w:pStyle w:val="BodyText"/>
        <w:tabs>
          <w:tab w:pos="705" w:val="left" w:leader="none"/>
        </w:tabs>
        <w:spacing w:line="235" w:lineRule="auto"/>
        <w:ind w:left="705" w:right="168" w:hanging="541"/>
      </w:pPr>
      <w:bookmarkStart w:name="_bookmark848" w:id="850"/>
      <w:bookmarkEnd w:id="850"/>
      <w:r>
        <w:rPr/>
      </w:r>
      <w:hyperlink w:history="true" w:anchor="_bookmark722">
        <w:r>
          <w:rPr>
            <w:color w:val="005DA1"/>
            <w:spacing w:val="-4"/>
            <w:position w:val="5"/>
            <w:sz w:val="14"/>
            <w:u w:val="single" w:color="005DA1"/>
          </w:rPr>
          <w:t>419</w:t>
        </w:r>
      </w:hyperlink>
      <w:r>
        <w:rPr>
          <w:spacing w:val="-4"/>
          <w:position w:val="5"/>
          <w:sz w:val="14"/>
        </w:rPr>
        <w:t>.</w:t>
      </w:r>
      <w:r>
        <w:rPr>
          <w:position w:val="5"/>
          <w:sz w:val="14"/>
        </w:rPr>
        <w:tab/>
      </w:r>
      <w:r>
        <w:rPr/>
        <w:t>For UK and Commonwealth cases on the</w:t>
      </w:r>
      <w:r>
        <w:rPr>
          <w:spacing w:val="-1"/>
        </w:rPr>
        <w:t> </w:t>
      </w:r>
      <w:r>
        <w:rPr>
          <w:rFonts w:ascii="Arial" w:hAnsi="Arial"/>
          <w:i/>
        </w:rPr>
        <w:t>Hedley Byrne </w:t>
      </w:r>
      <w:r>
        <w:rPr/>
        <w:t>principle, see Clerk &amp; Lindsell on Torts, 21st edn (2014), paras 8-93—8-128.</w:t>
      </w:r>
    </w:p>
    <w:p>
      <w:pPr>
        <w:pStyle w:val="BodyText"/>
        <w:spacing w:before="9"/>
      </w:pPr>
    </w:p>
    <w:p>
      <w:pPr>
        <w:spacing w:line="235" w:lineRule="auto" w:before="1"/>
        <w:ind w:left="705" w:right="167" w:hanging="541"/>
        <w:jc w:val="both"/>
        <w:rPr>
          <w:sz w:val="20"/>
        </w:rPr>
      </w:pPr>
      <w:bookmarkStart w:name="_bookmark849" w:id="851"/>
      <w:bookmarkEnd w:id="851"/>
      <w:r>
        <w:rPr/>
      </w:r>
      <w:hyperlink w:history="true" w:anchor="_bookmark723">
        <w:r>
          <w:rPr>
            <w:color w:val="005DA1"/>
            <w:position w:val="5"/>
            <w:sz w:val="14"/>
            <w:u w:val="single" w:color="005DA1"/>
          </w:rPr>
          <w:t>420</w:t>
        </w:r>
      </w:hyperlink>
      <w:r>
        <w:rPr>
          <w:position w:val="5"/>
          <w:sz w:val="14"/>
        </w:rPr>
        <w:t>.</w:t>
      </w:r>
      <w:r>
        <w:rPr>
          <w:spacing w:val="80"/>
          <w:position w:val="5"/>
          <w:sz w:val="14"/>
        </w:rPr>
        <w:t>  </w:t>
      </w:r>
      <w:r>
        <w:rPr>
          <w:rFonts w:ascii="Arial" w:hAnsi="Arial"/>
          <w:i/>
          <w:sz w:val="20"/>
        </w:rPr>
        <w:t>[1990] 2 A.C. 605</w:t>
      </w:r>
      <w:r>
        <w:rPr>
          <w:sz w:val="20"/>
        </w:rPr>
        <w:t>. cf. </w:t>
      </w:r>
      <w:r>
        <w:rPr>
          <w:rFonts w:ascii="Arial" w:hAnsi="Arial"/>
          <w:i/>
          <w:sz w:val="20"/>
        </w:rPr>
        <w:t>Morgan Crucible Co Plc v Hill Samuel Bank Ltd [1991] Ch. 295</w:t>
      </w:r>
      <w:r>
        <w:rPr>
          <w:sz w:val="20"/>
        </w:rPr>
        <w:t>. In </w:t>
      </w:r>
      <w:r>
        <w:rPr>
          <w:rFonts w:ascii="Arial" w:hAnsi="Arial"/>
          <w:i/>
          <w:sz w:val="20"/>
        </w:rPr>
        <w:t>Galoo Ltd (In Liquidation) v Bright Grahame Murray [1994] 1 W.L.R. 1360</w:t>
      </w:r>
      <w:r>
        <w:rPr>
          <w:sz w:val="20"/>
        </w:rPr>
        <w:t>, it was held that an </w:t>
      </w:r>
      <w:r>
        <w:rPr>
          <w:sz w:val="20"/>
        </w:rPr>
        <w:t>auditor</w:t>
      </w:r>
      <w:r>
        <w:rPr>
          <w:spacing w:val="40"/>
          <w:sz w:val="20"/>
        </w:rPr>
        <w:t> </w:t>
      </w:r>
      <w:r>
        <w:rPr>
          <w:sz w:val="20"/>
        </w:rPr>
        <w:t>of a company’s accounts may owe a duty of care to a takeover bidder if he has expressly been informed that the bidder will rely on the accounts for the purpose of deciding whether to make an increased bid and intends that the bidder should so rely. See also </w:t>
      </w:r>
      <w:r>
        <w:rPr>
          <w:rFonts w:ascii="Arial" w:hAnsi="Arial"/>
          <w:i/>
          <w:sz w:val="20"/>
        </w:rPr>
        <w:t>Possfund Custodian Trustee Ltd v Diamond [1996] 1 W.L.R. 1351</w:t>
      </w:r>
      <w:r>
        <w:rPr>
          <w:sz w:val="20"/>
        </w:rPr>
        <w:t>.</w:t>
      </w:r>
    </w:p>
    <w:p>
      <w:pPr>
        <w:pStyle w:val="BodyText"/>
        <w:spacing w:before="3"/>
      </w:pPr>
    </w:p>
    <w:p>
      <w:pPr>
        <w:pStyle w:val="BodyText"/>
        <w:tabs>
          <w:tab w:pos="705" w:val="left" w:leader="none"/>
        </w:tabs>
        <w:spacing w:before="1"/>
        <w:ind w:left="165"/>
      </w:pPr>
      <w:bookmarkStart w:name="_bookmark850" w:id="852"/>
      <w:bookmarkEnd w:id="852"/>
      <w:r>
        <w:rPr/>
      </w:r>
      <w:hyperlink w:history="true" w:anchor="_bookmark724">
        <w:r>
          <w:rPr>
            <w:color w:val="005DA1"/>
            <w:spacing w:val="-4"/>
            <w:position w:val="5"/>
            <w:sz w:val="14"/>
            <w:u w:val="single" w:color="005DA1"/>
          </w:rPr>
          <w:t>421</w:t>
        </w:r>
      </w:hyperlink>
      <w:r>
        <w:rPr>
          <w:spacing w:val="-4"/>
          <w:position w:val="5"/>
          <w:sz w:val="14"/>
        </w:rPr>
        <w:t>.</w:t>
      </w:r>
      <w:r>
        <w:rPr>
          <w:position w:val="5"/>
          <w:sz w:val="14"/>
        </w:rPr>
        <w:tab/>
      </w:r>
      <w:r>
        <w:rPr/>
        <w:t>See</w:t>
      </w:r>
      <w:r>
        <w:rPr>
          <w:spacing w:val="-2"/>
        </w:rPr>
        <w:t> </w:t>
      </w:r>
      <w:r>
        <w:rPr/>
        <w:t>below, para.7-</w:t>
      </w:r>
      <w:r>
        <w:rPr>
          <w:spacing w:val="-4"/>
        </w:rPr>
        <w:t>093.</w:t>
      </w:r>
    </w:p>
    <w:p>
      <w:pPr>
        <w:pStyle w:val="BodyText"/>
        <w:spacing w:before="8"/>
      </w:pPr>
    </w:p>
    <w:p>
      <w:pPr>
        <w:spacing w:line="235" w:lineRule="auto" w:before="0"/>
        <w:ind w:left="705" w:right="168" w:hanging="541"/>
        <w:jc w:val="both"/>
        <w:rPr>
          <w:sz w:val="20"/>
        </w:rPr>
      </w:pPr>
      <w:bookmarkStart w:name="_bookmark851" w:id="853"/>
      <w:bookmarkEnd w:id="853"/>
      <w:r>
        <w:rPr/>
      </w:r>
      <w:hyperlink w:history="true" w:anchor="_bookmark725">
        <w:r>
          <w:rPr>
            <w:color w:val="005DA1"/>
            <w:position w:val="5"/>
            <w:sz w:val="14"/>
            <w:u w:val="single" w:color="005DA1"/>
          </w:rPr>
          <w:t>422</w:t>
        </w:r>
      </w:hyperlink>
      <w:r>
        <w:rPr>
          <w:position w:val="5"/>
          <w:sz w:val="14"/>
        </w:rPr>
        <w:t>.</w:t>
      </w:r>
      <w:r>
        <w:rPr>
          <w:spacing w:val="80"/>
          <w:w w:val="150"/>
          <w:position w:val="5"/>
          <w:sz w:val="14"/>
        </w:rPr>
        <w:t> </w:t>
      </w:r>
      <w:r>
        <w:rPr>
          <w:sz w:val="20"/>
        </w:rPr>
        <w:t>e.g.</w:t>
      </w:r>
      <w:r>
        <w:rPr>
          <w:spacing w:val="40"/>
          <w:sz w:val="20"/>
        </w:rPr>
        <w:t> </w:t>
      </w:r>
      <w:r>
        <w:rPr>
          <w:sz w:val="20"/>
        </w:rPr>
        <w:t>by</w:t>
      </w:r>
      <w:r>
        <w:rPr>
          <w:spacing w:val="40"/>
          <w:sz w:val="20"/>
        </w:rPr>
        <w:t> </w:t>
      </w:r>
      <w:r>
        <w:rPr>
          <w:sz w:val="20"/>
        </w:rPr>
        <w:t>Lord</w:t>
      </w:r>
      <w:r>
        <w:rPr>
          <w:spacing w:val="40"/>
          <w:sz w:val="20"/>
        </w:rPr>
        <w:t> </w:t>
      </w:r>
      <w:r>
        <w:rPr>
          <w:sz w:val="20"/>
        </w:rPr>
        <w:t>Reid</w:t>
      </w:r>
      <w:r>
        <w:rPr>
          <w:spacing w:val="40"/>
          <w:sz w:val="20"/>
        </w:rPr>
        <w:t> </w:t>
      </w:r>
      <w:r>
        <w:rPr>
          <w:sz w:val="20"/>
        </w:rPr>
        <w:t>and</w:t>
      </w:r>
      <w:r>
        <w:rPr>
          <w:spacing w:val="40"/>
          <w:sz w:val="20"/>
        </w:rPr>
        <w:t> </w:t>
      </w:r>
      <w:r>
        <w:rPr>
          <w:sz w:val="20"/>
        </w:rPr>
        <w:t>Lord</w:t>
      </w:r>
      <w:r>
        <w:rPr>
          <w:spacing w:val="40"/>
          <w:sz w:val="20"/>
        </w:rPr>
        <w:t> </w:t>
      </w:r>
      <w:r>
        <w:rPr>
          <w:sz w:val="20"/>
        </w:rPr>
        <w:t>Devlin</w:t>
      </w:r>
      <w:r>
        <w:rPr>
          <w:spacing w:val="40"/>
          <w:sz w:val="20"/>
        </w:rPr>
        <w:t> </w:t>
      </w:r>
      <w:r>
        <w:rPr>
          <w:sz w:val="20"/>
        </w:rPr>
        <w:t>in</w:t>
      </w:r>
      <w:r>
        <w:rPr>
          <w:spacing w:val="40"/>
          <w:sz w:val="20"/>
        </w:rPr>
        <w:t> </w:t>
      </w:r>
      <w:r>
        <w:rPr>
          <w:rFonts w:ascii="Arial" w:hAnsi="Arial"/>
          <w:i/>
          <w:sz w:val="20"/>
        </w:rPr>
        <w:t>Hedley</w:t>
      </w:r>
      <w:r>
        <w:rPr>
          <w:rFonts w:ascii="Arial" w:hAnsi="Arial"/>
          <w:i/>
          <w:spacing w:val="40"/>
          <w:sz w:val="20"/>
        </w:rPr>
        <w:t> </w:t>
      </w:r>
      <w:r>
        <w:rPr>
          <w:rFonts w:ascii="Arial" w:hAnsi="Arial"/>
          <w:i/>
          <w:sz w:val="20"/>
        </w:rPr>
        <w:t>Byrne</w:t>
      </w:r>
      <w:r>
        <w:rPr>
          <w:rFonts w:ascii="Arial" w:hAnsi="Arial"/>
          <w:i/>
          <w:spacing w:val="40"/>
          <w:sz w:val="20"/>
        </w:rPr>
        <w:t> </w:t>
      </w:r>
      <w:r>
        <w:rPr>
          <w:rFonts w:ascii="Arial" w:hAnsi="Arial"/>
          <w:i/>
          <w:sz w:val="20"/>
        </w:rPr>
        <w:t>[1964]</w:t>
      </w:r>
      <w:r>
        <w:rPr>
          <w:rFonts w:ascii="Arial" w:hAnsi="Arial"/>
          <w:i/>
          <w:spacing w:val="40"/>
          <w:sz w:val="20"/>
        </w:rPr>
        <w:t> </w:t>
      </w:r>
      <w:r>
        <w:rPr>
          <w:rFonts w:ascii="Arial" w:hAnsi="Arial"/>
          <w:i/>
          <w:sz w:val="20"/>
        </w:rPr>
        <w:t>A.C.</w:t>
      </w:r>
      <w:r>
        <w:rPr>
          <w:rFonts w:ascii="Arial" w:hAnsi="Arial"/>
          <w:i/>
          <w:spacing w:val="40"/>
          <w:sz w:val="20"/>
        </w:rPr>
        <w:t> </w:t>
      </w:r>
      <w:r>
        <w:rPr>
          <w:rFonts w:ascii="Arial" w:hAnsi="Arial"/>
          <w:i/>
          <w:sz w:val="20"/>
        </w:rPr>
        <w:t>465</w:t>
      </w:r>
      <w:r>
        <w:rPr>
          <w:rFonts w:ascii="Arial" w:hAnsi="Arial"/>
          <w:i/>
          <w:spacing w:val="40"/>
          <w:sz w:val="20"/>
        </w:rPr>
        <w:t> </w:t>
      </w:r>
      <w:r>
        <w:rPr>
          <w:sz w:val="20"/>
        </w:rPr>
        <w:t>at</w:t>
      </w:r>
      <w:r>
        <w:rPr>
          <w:spacing w:val="40"/>
          <w:sz w:val="20"/>
        </w:rPr>
        <w:t> </w:t>
      </w:r>
      <w:r>
        <w:rPr>
          <w:sz w:val="20"/>
        </w:rPr>
        <w:t>487</w:t>
      </w:r>
      <w:r>
        <w:rPr>
          <w:spacing w:val="40"/>
          <w:sz w:val="20"/>
        </w:rPr>
        <w:t> </w:t>
      </w:r>
      <w:r>
        <w:rPr>
          <w:sz w:val="20"/>
        </w:rPr>
        <w:t>and</w:t>
      </w:r>
      <w:r>
        <w:rPr>
          <w:spacing w:val="40"/>
          <w:sz w:val="20"/>
        </w:rPr>
        <w:t> </w:t>
      </w:r>
      <w:r>
        <w:rPr>
          <w:sz w:val="20"/>
        </w:rPr>
        <w:t>529, respectively. There was no assumption of responsibility or duty of care in </w:t>
      </w:r>
      <w:r>
        <w:rPr>
          <w:rFonts w:ascii="Arial" w:hAnsi="Arial"/>
          <w:i/>
          <w:sz w:val="20"/>
        </w:rPr>
        <w:t>IFE Fund SA v Goldman Sachs International [2007] EWCA Civ 811, [2007] 2 Lloyd’s Rep. 449</w:t>
      </w:r>
      <w:r>
        <w:rPr>
          <w:sz w:val="20"/>
        </w:rPr>
        <w:t>.</w:t>
      </w:r>
    </w:p>
    <w:p>
      <w:pPr>
        <w:pStyle w:val="BodyText"/>
        <w:spacing w:before="5"/>
      </w:pPr>
    </w:p>
    <w:p>
      <w:pPr>
        <w:tabs>
          <w:tab w:pos="705" w:val="left" w:leader="none"/>
        </w:tabs>
        <w:spacing w:before="1"/>
        <w:ind w:left="165" w:right="0" w:firstLine="0"/>
        <w:jc w:val="left"/>
        <w:rPr>
          <w:sz w:val="20"/>
        </w:rPr>
      </w:pPr>
      <w:bookmarkStart w:name="_bookmark852" w:id="854"/>
      <w:bookmarkEnd w:id="854"/>
      <w:r>
        <w:rPr/>
      </w:r>
      <w:hyperlink w:history="true" w:anchor="_bookmark726">
        <w:r>
          <w:rPr>
            <w:color w:val="005DA1"/>
            <w:spacing w:val="-4"/>
            <w:position w:val="5"/>
            <w:sz w:val="14"/>
            <w:u w:val="single" w:color="005DA1"/>
          </w:rPr>
          <w:t>423</w:t>
        </w:r>
      </w:hyperlink>
      <w:r>
        <w:rPr>
          <w:spacing w:val="-4"/>
          <w:position w:val="5"/>
          <w:sz w:val="14"/>
        </w:rPr>
        <w:t>.</w:t>
      </w:r>
      <w:r>
        <w:rPr>
          <w:position w:val="5"/>
          <w:sz w:val="14"/>
        </w:rPr>
        <w:tab/>
      </w:r>
      <w:r>
        <w:rPr>
          <w:rFonts w:ascii="Arial"/>
          <w:i/>
          <w:sz w:val="20"/>
        </w:rPr>
        <w:t>[1990]</w:t>
      </w:r>
      <w:r>
        <w:rPr>
          <w:rFonts w:ascii="Arial"/>
          <w:i/>
          <w:spacing w:val="-2"/>
          <w:sz w:val="20"/>
        </w:rPr>
        <w:t> </w:t>
      </w:r>
      <w:r>
        <w:rPr>
          <w:rFonts w:ascii="Arial"/>
          <w:i/>
          <w:sz w:val="20"/>
        </w:rPr>
        <w:t>1 A.C. </w:t>
      </w:r>
      <w:r>
        <w:rPr>
          <w:rFonts w:ascii="Arial"/>
          <w:i/>
          <w:spacing w:val="-4"/>
          <w:sz w:val="20"/>
        </w:rPr>
        <w:t>831</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853" w:id="855"/>
      <w:bookmarkEnd w:id="855"/>
      <w:r>
        <w:rPr/>
      </w:r>
      <w:hyperlink w:history="true" w:anchor="_bookmark727">
        <w:r>
          <w:rPr>
            <w:color w:val="005DA1"/>
            <w:spacing w:val="-4"/>
            <w:position w:val="5"/>
            <w:sz w:val="14"/>
            <w:u w:val="single" w:color="005DA1"/>
          </w:rPr>
          <w:t>424</w:t>
        </w:r>
      </w:hyperlink>
      <w:r>
        <w:rPr>
          <w:spacing w:val="-4"/>
          <w:position w:val="5"/>
          <w:sz w:val="14"/>
        </w:rPr>
        <w:t>.</w:t>
      </w:r>
      <w:r>
        <w:rPr>
          <w:position w:val="5"/>
          <w:sz w:val="14"/>
        </w:rPr>
        <w:tab/>
      </w:r>
      <w:r>
        <w:rPr>
          <w:rFonts w:ascii="Arial"/>
          <w:i/>
          <w:sz w:val="20"/>
        </w:rPr>
        <w:t>[1990]</w:t>
      </w:r>
      <w:r>
        <w:rPr>
          <w:rFonts w:ascii="Arial"/>
          <w:i/>
          <w:spacing w:val="-2"/>
          <w:sz w:val="20"/>
        </w:rPr>
        <w:t> </w:t>
      </w:r>
      <w:r>
        <w:rPr>
          <w:rFonts w:ascii="Arial"/>
          <w:i/>
          <w:sz w:val="20"/>
        </w:rPr>
        <w:t>1 A.C. 831, </w:t>
      </w:r>
      <w:r>
        <w:rPr>
          <w:rFonts w:ascii="Arial"/>
          <w:i/>
          <w:spacing w:val="-4"/>
          <w:sz w:val="20"/>
        </w:rPr>
        <w:t>862</w:t>
      </w:r>
      <w:r>
        <w:rPr>
          <w:spacing w:val="-4"/>
          <w:sz w:val="20"/>
        </w:rPr>
        <w:t>.</w:t>
      </w:r>
    </w:p>
    <w:p>
      <w:pPr>
        <w:pStyle w:val="BodyText"/>
        <w:spacing w:before="8"/>
      </w:pPr>
    </w:p>
    <w:p>
      <w:pPr>
        <w:spacing w:line="235" w:lineRule="auto" w:before="0"/>
        <w:ind w:left="705" w:right="168" w:hanging="541"/>
        <w:jc w:val="both"/>
        <w:rPr>
          <w:sz w:val="20"/>
        </w:rPr>
      </w:pPr>
      <w:bookmarkStart w:name="_bookmark854" w:id="856"/>
      <w:bookmarkEnd w:id="856"/>
      <w:r>
        <w:rPr/>
      </w:r>
      <w:hyperlink w:history="true" w:anchor="_bookmark728">
        <w:r>
          <w:rPr>
            <w:color w:val="005DA1"/>
            <w:position w:val="5"/>
            <w:sz w:val="14"/>
            <w:u w:val="single" w:color="005DA1"/>
          </w:rPr>
          <w:t>425</w:t>
        </w:r>
      </w:hyperlink>
      <w:r>
        <w:rPr>
          <w:position w:val="5"/>
          <w:sz w:val="14"/>
        </w:rPr>
        <w:t>.</w:t>
      </w:r>
      <w:r>
        <w:rPr>
          <w:spacing w:val="80"/>
          <w:w w:val="150"/>
          <w:position w:val="5"/>
          <w:sz w:val="14"/>
        </w:rPr>
        <w:t> </w:t>
      </w:r>
      <w:r>
        <w:rPr>
          <w:sz w:val="20"/>
        </w:rPr>
        <w:t>See </w:t>
      </w:r>
      <w:r>
        <w:rPr>
          <w:rFonts w:ascii="Arial" w:hAnsi="Arial"/>
          <w:i/>
          <w:sz w:val="20"/>
        </w:rPr>
        <w:t>Henderson v Merrett Syndicates Ltd [1995] 2 A.C. 145</w:t>
      </w:r>
      <w:r>
        <w:rPr>
          <w:sz w:val="20"/>
        </w:rPr>
        <w:t>; </w:t>
      </w:r>
      <w:r>
        <w:rPr>
          <w:rFonts w:ascii="Arial" w:hAnsi="Arial"/>
          <w:i/>
          <w:sz w:val="20"/>
        </w:rPr>
        <w:t>White v Jones [1995] 2 A.C. </w:t>
      </w:r>
      <w:r>
        <w:rPr>
          <w:rFonts w:ascii="Arial" w:hAnsi="Arial"/>
          <w:i/>
          <w:sz w:val="20"/>
        </w:rPr>
        <w:t>207</w:t>
      </w:r>
      <w:r>
        <w:rPr>
          <w:sz w:val="20"/>
        </w:rPr>
        <w:t>; </w:t>
      </w:r>
      <w:r>
        <w:rPr>
          <w:rFonts w:ascii="Arial" w:hAnsi="Arial"/>
          <w:i/>
          <w:sz w:val="20"/>
        </w:rPr>
        <w:t>Williams v Natural Life Health Foods Ltd [1998] 1 W.L.R. 830</w:t>
      </w:r>
      <w:r>
        <w:rPr>
          <w:sz w:val="20"/>
        </w:rPr>
        <w:t>. All three cases are discussed in more detail above, paras 1-211—1-214.</w:t>
      </w:r>
    </w:p>
    <w:p>
      <w:pPr>
        <w:pStyle w:val="BodyText"/>
        <w:spacing w:before="9"/>
      </w:pPr>
    </w:p>
    <w:p>
      <w:pPr>
        <w:tabs>
          <w:tab w:pos="705" w:val="left" w:leader="none"/>
        </w:tabs>
        <w:spacing w:line="235" w:lineRule="auto" w:before="0"/>
        <w:ind w:left="705" w:right="168" w:hanging="541"/>
        <w:jc w:val="left"/>
        <w:rPr>
          <w:sz w:val="20"/>
        </w:rPr>
      </w:pPr>
      <w:bookmarkStart w:name="_bookmark855" w:id="857"/>
      <w:bookmarkEnd w:id="857"/>
      <w:r>
        <w:rPr/>
      </w:r>
      <w:hyperlink w:history="true" w:anchor="_bookmark729">
        <w:r>
          <w:rPr>
            <w:color w:val="005DA1"/>
            <w:spacing w:val="-4"/>
            <w:position w:val="5"/>
            <w:sz w:val="14"/>
            <w:u w:val="single" w:color="005DA1"/>
          </w:rPr>
          <w:t>426</w:t>
        </w:r>
      </w:hyperlink>
      <w:r>
        <w:rPr>
          <w:spacing w:val="-4"/>
          <w:position w:val="5"/>
          <w:sz w:val="14"/>
        </w:rPr>
        <w:t>.</w:t>
      </w:r>
      <w:r>
        <w:rPr>
          <w:position w:val="5"/>
          <w:sz w:val="14"/>
        </w:rPr>
        <w:tab/>
      </w:r>
      <w:r>
        <w:rPr>
          <w:rFonts w:ascii="Arial"/>
          <w:i/>
          <w:sz w:val="20"/>
        </w:rPr>
        <w:t>Henderson v Merrett Syndicates Ltd [1995] 2 A.C. 145, 181</w:t>
      </w:r>
      <w:r>
        <w:rPr>
          <w:sz w:val="20"/>
        </w:rPr>
        <w:t>. See also the speech of Lord Steyn in </w:t>
      </w:r>
      <w:r>
        <w:rPr>
          <w:rFonts w:ascii="Arial"/>
          <w:i/>
          <w:sz w:val="20"/>
        </w:rPr>
        <w:t>Williams v Natural Life Health Foods Ltd [1998] 1 W.L.R. 830</w:t>
      </w:r>
      <w:r>
        <w:rPr>
          <w:sz w:val="20"/>
        </w:rPr>
        <w:t>.</w:t>
      </w:r>
    </w:p>
    <w:p>
      <w:pPr>
        <w:pStyle w:val="BodyText"/>
        <w:spacing w:before="9"/>
      </w:pPr>
    </w:p>
    <w:p>
      <w:pPr>
        <w:tabs>
          <w:tab w:pos="705" w:val="left" w:leader="none"/>
        </w:tabs>
        <w:spacing w:line="235" w:lineRule="auto" w:before="1"/>
        <w:ind w:left="705" w:right="168" w:hanging="541"/>
        <w:jc w:val="left"/>
        <w:rPr>
          <w:sz w:val="20"/>
        </w:rPr>
      </w:pPr>
      <w:bookmarkStart w:name="_bookmark856" w:id="858"/>
      <w:bookmarkEnd w:id="858"/>
      <w:r>
        <w:rPr/>
      </w:r>
      <w:hyperlink w:history="true" w:anchor="_bookmark730">
        <w:r>
          <w:rPr>
            <w:color w:val="005DA1"/>
            <w:spacing w:val="-4"/>
            <w:position w:val="5"/>
            <w:sz w:val="14"/>
            <w:u w:val="single" w:color="005DA1"/>
          </w:rPr>
          <w:t>427</w:t>
        </w:r>
      </w:hyperlink>
      <w:r>
        <w:rPr>
          <w:spacing w:val="-4"/>
          <w:position w:val="5"/>
          <w:sz w:val="14"/>
        </w:rPr>
        <w:t>.</w:t>
      </w:r>
      <w:r>
        <w:rPr>
          <w:position w:val="5"/>
          <w:sz w:val="14"/>
        </w:rPr>
        <w:tab/>
      </w:r>
      <w:r>
        <w:rPr>
          <w:sz w:val="20"/>
        </w:rPr>
        <w:t>See,</w:t>
      </w:r>
      <w:r>
        <w:rPr>
          <w:spacing w:val="-1"/>
          <w:sz w:val="20"/>
        </w:rPr>
        <w:t> </w:t>
      </w:r>
      <w:r>
        <w:rPr>
          <w:sz w:val="20"/>
        </w:rPr>
        <w:t>e.g.</w:t>
      </w:r>
      <w:r>
        <w:rPr>
          <w:spacing w:val="-1"/>
          <w:sz w:val="20"/>
        </w:rPr>
        <w:t> </w:t>
      </w:r>
      <w:r>
        <w:rPr>
          <w:sz w:val="20"/>
        </w:rPr>
        <w:t>the</w:t>
      </w:r>
      <w:r>
        <w:rPr>
          <w:spacing w:val="-1"/>
          <w:sz w:val="20"/>
        </w:rPr>
        <w:t> </w:t>
      </w:r>
      <w:r>
        <w:rPr>
          <w:sz w:val="20"/>
        </w:rPr>
        <w:t>judgments</w:t>
      </w:r>
      <w:r>
        <w:rPr>
          <w:spacing w:val="-1"/>
          <w:sz w:val="20"/>
        </w:rPr>
        <w:t> </w:t>
      </w:r>
      <w:r>
        <w:rPr>
          <w:sz w:val="20"/>
        </w:rPr>
        <w:t>of</w:t>
      </w:r>
      <w:r>
        <w:rPr>
          <w:spacing w:val="-1"/>
          <w:sz w:val="20"/>
        </w:rPr>
        <w:t> </w:t>
      </w:r>
      <w:r>
        <w:rPr>
          <w:sz w:val="20"/>
        </w:rPr>
        <w:t>Lords</w:t>
      </w:r>
      <w:r>
        <w:rPr>
          <w:spacing w:val="-1"/>
          <w:sz w:val="20"/>
        </w:rPr>
        <w:t> </w:t>
      </w:r>
      <w:r>
        <w:rPr>
          <w:sz w:val="20"/>
        </w:rPr>
        <w:t>Templeman</w:t>
      </w:r>
      <w:r>
        <w:rPr>
          <w:spacing w:val="-1"/>
          <w:sz w:val="20"/>
        </w:rPr>
        <w:t> </w:t>
      </w:r>
      <w:r>
        <w:rPr>
          <w:sz w:val="20"/>
        </w:rPr>
        <w:t>and</w:t>
      </w:r>
      <w:r>
        <w:rPr>
          <w:spacing w:val="-1"/>
          <w:sz w:val="20"/>
        </w:rPr>
        <w:t> </w:t>
      </w:r>
      <w:r>
        <w:rPr>
          <w:sz w:val="20"/>
        </w:rPr>
        <w:t>Griffiths</w:t>
      </w:r>
      <w:r>
        <w:rPr>
          <w:spacing w:val="-1"/>
          <w:sz w:val="20"/>
        </w:rPr>
        <w:t> </w:t>
      </w:r>
      <w:r>
        <w:rPr>
          <w:sz w:val="20"/>
        </w:rPr>
        <w:t>in</w:t>
      </w:r>
      <w:r>
        <w:rPr>
          <w:spacing w:val="-2"/>
          <w:sz w:val="20"/>
        </w:rPr>
        <w:t> </w:t>
      </w:r>
      <w:r>
        <w:rPr>
          <w:rFonts w:ascii="Arial"/>
          <w:i/>
          <w:sz w:val="20"/>
        </w:rPr>
        <w:t>Smith</w:t>
      </w:r>
      <w:r>
        <w:rPr>
          <w:rFonts w:ascii="Arial"/>
          <w:i/>
          <w:spacing w:val="-1"/>
          <w:sz w:val="20"/>
        </w:rPr>
        <w:t> </w:t>
      </w:r>
      <w:r>
        <w:rPr>
          <w:rFonts w:ascii="Arial"/>
          <w:i/>
          <w:sz w:val="20"/>
        </w:rPr>
        <w:t>v</w:t>
      </w:r>
      <w:r>
        <w:rPr>
          <w:rFonts w:ascii="Arial"/>
          <w:i/>
          <w:spacing w:val="-1"/>
          <w:sz w:val="20"/>
        </w:rPr>
        <w:t> </w:t>
      </w:r>
      <w:r>
        <w:rPr>
          <w:rFonts w:ascii="Arial"/>
          <w:i/>
          <w:sz w:val="20"/>
        </w:rPr>
        <w:t>Eric</w:t>
      </w:r>
      <w:r>
        <w:rPr>
          <w:rFonts w:ascii="Arial"/>
          <w:i/>
          <w:spacing w:val="-1"/>
          <w:sz w:val="20"/>
        </w:rPr>
        <w:t> </w:t>
      </w:r>
      <w:r>
        <w:rPr>
          <w:rFonts w:ascii="Arial"/>
          <w:i/>
          <w:sz w:val="20"/>
        </w:rPr>
        <w:t>S.</w:t>
      </w:r>
      <w:r>
        <w:rPr>
          <w:rFonts w:ascii="Arial"/>
          <w:i/>
          <w:spacing w:val="-1"/>
          <w:sz w:val="20"/>
        </w:rPr>
        <w:t> </w:t>
      </w:r>
      <w:r>
        <w:rPr>
          <w:rFonts w:ascii="Arial"/>
          <w:i/>
          <w:sz w:val="20"/>
        </w:rPr>
        <w:t>Bush</w:t>
      </w:r>
      <w:r>
        <w:rPr>
          <w:rFonts w:ascii="Arial"/>
          <w:i/>
          <w:spacing w:val="-1"/>
          <w:sz w:val="20"/>
        </w:rPr>
        <w:t> </w:t>
      </w:r>
      <w:r>
        <w:rPr>
          <w:rFonts w:ascii="Arial"/>
          <w:i/>
          <w:sz w:val="20"/>
        </w:rPr>
        <w:t>[1990]</w:t>
      </w:r>
      <w:r>
        <w:rPr>
          <w:rFonts w:ascii="Arial"/>
          <w:i/>
          <w:spacing w:val="-1"/>
          <w:sz w:val="20"/>
        </w:rPr>
        <w:t> </w:t>
      </w:r>
      <w:r>
        <w:rPr>
          <w:rFonts w:ascii="Arial"/>
          <w:i/>
          <w:sz w:val="20"/>
        </w:rPr>
        <w:t>1</w:t>
      </w:r>
      <w:r>
        <w:rPr>
          <w:rFonts w:ascii="Arial"/>
          <w:i/>
          <w:spacing w:val="-1"/>
          <w:sz w:val="20"/>
        </w:rPr>
        <w:t> </w:t>
      </w:r>
      <w:r>
        <w:rPr>
          <w:rFonts w:ascii="Arial"/>
          <w:i/>
          <w:sz w:val="20"/>
        </w:rPr>
        <w:t>A.C. 831</w:t>
      </w:r>
      <w:r>
        <w:rPr>
          <w:sz w:val="20"/>
        </w:rPr>
        <w:t>, at 852 and 865, respectively.</w:t>
      </w:r>
    </w:p>
    <w:p>
      <w:pPr>
        <w:pStyle w:val="BodyText"/>
        <w:spacing w:before="5"/>
      </w:pPr>
    </w:p>
    <w:p>
      <w:pPr>
        <w:pStyle w:val="BodyText"/>
        <w:tabs>
          <w:tab w:pos="705" w:val="left" w:leader="none"/>
        </w:tabs>
        <w:ind w:left="165"/>
      </w:pPr>
      <w:bookmarkStart w:name="_bookmark857" w:id="859"/>
      <w:bookmarkEnd w:id="859"/>
      <w:r>
        <w:rPr/>
      </w:r>
      <w:hyperlink w:history="true" w:anchor="_bookmark731">
        <w:r>
          <w:rPr>
            <w:color w:val="005DA1"/>
            <w:spacing w:val="-4"/>
            <w:position w:val="5"/>
            <w:sz w:val="14"/>
            <w:u w:val="single" w:color="005DA1"/>
          </w:rPr>
          <w:t>428</w:t>
        </w:r>
      </w:hyperlink>
      <w:r>
        <w:rPr>
          <w:spacing w:val="-4"/>
          <w:position w:val="5"/>
          <w:sz w:val="14"/>
        </w:rPr>
        <w:t>.</w:t>
      </w:r>
      <w:r>
        <w:rPr>
          <w:position w:val="5"/>
          <w:sz w:val="14"/>
        </w:rPr>
        <w:tab/>
      </w:r>
      <w:r>
        <w:rPr/>
        <w:t>ss.2(2), 11(5) and </w:t>
      </w:r>
      <w:r>
        <w:rPr>
          <w:spacing w:val="-5"/>
        </w:rPr>
        <w:t>13.</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bookmarkStart w:name="_bookmark858" w:id="860"/>
      <w:bookmarkEnd w:id="860"/>
      <w:r>
        <w:rPr/>
      </w:r>
      <w:hyperlink w:history="true" w:anchor="_bookmark732">
        <w:r>
          <w:rPr>
            <w:color w:val="005DA1"/>
            <w:spacing w:val="-4"/>
            <w:sz w:val="14"/>
            <w:u w:val="single" w:color="005DA1"/>
          </w:rPr>
          <w:t>429</w:t>
        </w:r>
      </w:hyperlink>
      <w:r>
        <w:rPr>
          <w:spacing w:val="-4"/>
          <w:sz w:val="14"/>
        </w:rPr>
        <w:t>.</w:t>
      </w:r>
    </w:p>
    <w:p>
      <w:pPr>
        <w:pStyle w:val="BodyText"/>
        <w:spacing w:before="208"/>
        <w:ind w:left="335"/>
      </w:pPr>
      <w:r>
        <w:rPr/>
        <w:br w:type="column"/>
      </w:r>
      <w:r>
        <w:rPr/>
        <w:t>s.62. See, Vol.II, paras 38-374—38-</w:t>
      </w:r>
      <w:r>
        <w:rPr>
          <w:spacing w:val="-4"/>
        </w:rPr>
        <w:t>375.</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r>
        <w:rPr>
          <w:sz w:val="20"/>
        </w:rPr>
        <w:drawing>
          <wp:anchor distT="0" distB="0" distL="0" distR="0" allowOverlap="1" layoutInCell="1" locked="0" behindDoc="0" simplePos="0" relativeHeight="15767552">
            <wp:simplePos x="0" y="0"/>
            <wp:positionH relativeFrom="page">
              <wp:posOffset>1257846</wp:posOffset>
            </wp:positionH>
            <wp:positionV relativeFrom="paragraph">
              <wp:posOffset>-267086</wp:posOffset>
            </wp:positionV>
            <wp:extent cx="107988" cy="107988"/>
            <wp:effectExtent l="0" t="0" r="0" b="0"/>
            <wp:wrapNone/>
            <wp:docPr id="165" name="Image 165"/>
            <wp:cNvGraphicFramePr>
              <a:graphicFrameLocks/>
            </wp:cNvGraphicFramePr>
            <a:graphic>
              <a:graphicData uri="http://schemas.openxmlformats.org/drawingml/2006/picture">
                <pic:pic>
                  <pic:nvPicPr>
                    <pic:cNvPr id="165" name="Image 16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859" w:id="861"/>
      <w:bookmarkEnd w:id="861"/>
      <w:r>
        <w:rPr/>
      </w:r>
      <w:hyperlink w:history="true" w:anchor="_bookmark733">
        <w:r>
          <w:rPr>
            <w:color w:val="005DA1"/>
            <w:spacing w:val="-4"/>
            <w:position w:val="5"/>
            <w:sz w:val="14"/>
            <w:u w:val="single" w:color="005DA1"/>
          </w:rPr>
          <w:t>430</w:t>
        </w:r>
      </w:hyperlink>
      <w:r>
        <w:rPr>
          <w:spacing w:val="-4"/>
          <w:position w:val="5"/>
          <w:sz w:val="14"/>
        </w:rPr>
        <w:t>.</w:t>
      </w:r>
      <w:r>
        <w:rPr>
          <w:position w:val="5"/>
          <w:sz w:val="14"/>
        </w:rPr>
        <w:tab/>
      </w:r>
      <w:r>
        <w:rPr>
          <w:rFonts w:ascii="Arial"/>
          <w:i/>
          <w:sz w:val="20"/>
        </w:rPr>
        <w:t>[1971] A.C. 793, noted (1971) 87 L.Q.R. </w:t>
      </w:r>
      <w:r>
        <w:rPr>
          <w:rFonts w:ascii="Arial"/>
          <w:i/>
          <w:spacing w:val="-4"/>
          <w:sz w:val="20"/>
        </w:rPr>
        <w:t>147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60" w:id="862"/>
      <w:bookmarkEnd w:id="862"/>
      <w:r>
        <w:rPr/>
      </w:r>
      <w:hyperlink w:history="true" w:anchor="_bookmark734">
        <w:r>
          <w:rPr>
            <w:color w:val="005DA1"/>
            <w:spacing w:val="-4"/>
            <w:position w:val="5"/>
            <w:sz w:val="14"/>
            <w:u w:val="single" w:color="005DA1"/>
          </w:rPr>
          <w:t>431</w:t>
        </w:r>
      </w:hyperlink>
      <w:r>
        <w:rPr>
          <w:spacing w:val="-4"/>
          <w:position w:val="5"/>
          <w:sz w:val="14"/>
        </w:rPr>
        <w:t>.</w:t>
      </w:r>
      <w:r>
        <w:rPr>
          <w:position w:val="5"/>
          <w:sz w:val="14"/>
        </w:rPr>
        <w:tab/>
      </w:r>
      <w:r>
        <w:rPr>
          <w:sz w:val="20"/>
        </w:rPr>
        <w:t>See</w:t>
      </w:r>
      <w:r>
        <w:rPr>
          <w:spacing w:val="-1"/>
          <w:sz w:val="20"/>
        </w:rPr>
        <w:t> </w:t>
      </w:r>
      <w:r>
        <w:rPr>
          <w:rFonts w:ascii="Arial"/>
          <w:i/>
          <w:sz w:val="20"/>
        </w:rPr>
        <w:t>W.B. Anderson &amp; Sons Ltd v Rhodes (Liverpool) Ltd [1967] 2 All E.R. </w:t>
      </w:r>
      <w:r>
        <w:rPr>
          <w:rFonts w:ascii="Arial"/>
          <w:i/>
          <w:spacing w:val="-4"/>
          <w:sz w:val="20"/>
        </w:rPr>
        <w:t>850</w:t>
      </w:r>
      <w:r>
        <w:rPr>
          <w:spacing w:val="-4"/>
          <w:sz w:val="20"/>
        </w:rPr>
        <w:t>.</w:t>
      </w:r>
    </w:p>
    <w:p>
      <w:pPr>
        <w:pStyle w:val="BodyText"/>
        <w:spacing w:before="9"/>
      </w:pPr>
    </w:p>
    <w:p>
      <w:pPr>
        <w:spacing w:line="235" w:lineRule="auto" w:before="0"/>
        <w:ind w:left="705" w:right="168" w:hanging="541"/>
        <w:jc w:val="both"/>
        <w:rPr>
          <w:sz w:val="20"/>
        </w:rPr>
      </w:pPr>
      <w:bookmarkStart w:name="_bookmark861" w:id="863"/>
      <w:bookmarkEnd w:id="863"/>
      <w:r>
        <w:rPr/>
      </w:r>
      <w:hyperlink w:history="true" w:anchor="_bookmark735">
        <w:r>
          <w:rPr>
            <w:color w:val="005DA1"/>
            <w:position w:val="5"/>
            <w:sz w:val="14"/>
            <w:u w:val="single" w:color="005DA1"/>
          </w:rPr>
          <w:t>432</w:t>
        </w:r>
      </w:hyperlink>
      <w:r>
        <w:rPr>
          <w:position w:val="5"/>
          <w:sz w:val="14"/>
        </w:rPr>
        <w:t>.</w:t>
      </w:r>
      <w:r>
        <w:rPr>
          <w:spacing w:val="80"/>
          <w:position w:val="5"/>
          <w:sz w:val="14"/>
        </w:rPr>
        <w:t>  </w:t>
      </w:r>
      <w:r>
        <w:rPr>
          <w:sz w:val="20"/>
        </w:rPr>
        <w:t>In </w:t>
      </w:r>
      <w:r>
        <w:rPr>
          <w:rFonts w:ascii="Arial"/>
          <w:i/>
          <w:sz w:val="20"/>
        </w:rPr>
        <w:t>Esso Petroleum Co Ltd v Mardon [1975] Q.B. 819 and [1976] Q.B. 801</w:t>
      </w:r>
      <w:r>
        <w:rPr>
          <w:sz w:val="20"/>
        </w:rPr>
        <w:t>, below, para.7-093, and also in the </w:t>
      </w:r>
      <w:r>
        <w:rPr>
          <w:rFonts w:ascii="Arial"/>
          <w:i/>
          <w:sz w:val="20"/>
        </w:rPr>
        <w:t>Howard Marine case [1978] Q.B. 574</w:t>
      </w:r>
      <w:r>
        <w:rPr>
          <w:sz w:val="20"/>
        </w:rPr>
        <w:t>, above, para.7-070. The Australian </w:t>
      </w:r>
      <w:r>
        <w:rPr>
          <w:sz w:val="20"/>
        </w:rPr>
        <w:t>High Court has also refused to follow the majority judgments in the </w:t>
      </w:r>
      <w:r>
        <w:rPr>
          <w:rFonts w:ascii="Arial"/>
          <w:i/>
          <w:sz w:val="20"/>
        </w:rPr>
        <w:t>Evatt </w:t>
      </w:r>
      <w:r>
        <w:rPr>
          <w:sz w:val="20"/>
        </w:rPr>
        <w:t>case: see </w:t>
      </w:r>
      <w:r>
        <w:rPr>
          <w:rFonts w:ascii="Arial"/>
          <w:i/>
          <w:sz w:val="20"/>
        </w:rPr>
        <w:t>L. Shaddock &amp; Associates Pty Ltd v Parramatta City Council (1981) 55 A.L.J.R. 713</w:t>
      </w:r>
      <w:r>
        <w:rPr>
          <w:sz w:val="20"/>
        </w:rPr>
        <w:t>.</w:t>
      </w:r>
    </w:p>
    <w:p>
      <w:pPr>
        <w:spacing w:after="0" w:line="235" w:lineRule="auto"/>
        <w:jc w:val="both"/>
        <w:rPr>
          <w:sz w:val="20"/>
        </w:rPr>
        <w:sectPr>
          <w:type w:val="continuous"/>
          <w:pgSz w:w="11900" w:h="16840"/>
          <w:pgMar w:header="971" w:footer="0" w:top="1160" w:bottom="280" w:left="1275" w:right="1275"/>
        </w:sectPr>
      </w:pPr>
    </w:p>
    <w:p>
      <w:pPr>
        <w:pStyle w:val="BodyText"/>
        <w:spacing w:before="81"/>
      </w:pPr>
    </w:p>
    <w:p>
      <w:pPr>
        <w:pStyle w:val="BodyText"/>
        <w:tabs>
          <w:tab w:pos="705" w:val="left" w:leader="none"/>
        </w:tabs>
        <w:ind w:left="165"/>
      </w:pPr>
      <w:hyperlink w:history="true" w:anchor="_bookmark736">
        <w:r>
          <w:rPr>
            <w:color w:val="005DA1"/>
            <w:spacing w:val="-4"/>
            <w:position w:val="5"/>
            <w:sz w:val="14"/>
            <w:u w:val="single" w:color="005DA1"/>
          </w:rPr>
          <w:t>433</w:t>
        </w:r>
      </w:hyperlink>
      <w:r>
        <w:rPr>
          <w:spacing w:val="-4"/>
          <w:position w:val="5"/>
          <w:sz w:val="14"/>
        </w:rPr>
        <w:t>.</w:t>
      </w:r>
      <w:r>
        <w:rPr>
          <w:position w:val="5"/>
          <w:sz w:val="14"/>
        </w:rPr>
        <w:tab/>
      </w:r>
      <w:r>
        <w:rPr/>
        <w:t>Clerk &amp; Lindsell on Torts, 21st edn (2000), para.8-</w:t>
      </w:r>
      <w:r>
        <w:rPr>
          <w:spacing w:val="-4"/>
        </w:rPr>
        <w:t>123.</w:t>
      </w:r>
    </w:p>
    <w:p>
      <w:pPr>
        <w:pStyle w:val="BodyText"/>
        <w:spacing w:before="5"/>
      </w:pPr>
    </w:p>
    <w:p>
      <w:pPr>
        <w:pStyle w:val="BodyText"/>
        <w:tabs>
          <w:tab w:pos="705" w:val="left" w:leader="none"/>
        </w:tabs>
        <w:ind w:left="165"/>
      </w:pPr>
      <w:bookmarkStart w:name="_bookmark862" w:id="864"/>
      <w:bookmarkEnd w:id="864"/>
      <w:r>
        <w:rPr/>
      </w:r>
      <w:hyperlink w:history="true" w:anchor="_bookmark737">
        <w:r>
          <w:rPr>
            <w:color w:val="005DA1"/>
            <w:spacing w:val="-4"/>
            <w:position w:val="5"/>
            <w:sz w:val="14"/>
            <w:u w:val="single" w:color="005DA1"/>
          </w:rPr>
          <w:t>434</w:t>
        </w:r>
      </w:hyperlink>
      <w:r>
        <w:rPr>
          <w:spacing w:val="-4"/>
          <w:position w:val="5"/>
          <w:sz w:val="14"/>
        </w:rPr>
        <w:t>.</w:t>
      </w:r>
      <w:r>
        <w:rPr>
          <w:position w:val="5"/>
          <w:sz w:val="14"/>
        </w:rPr>
        <w:tab/>
      </w:r>
      <w:r>
        <w:rPr/>
        <w:t>See</w:t>
      </w:r>
      <w:r>
        <w:rPr>
          <w:spacing w:val="-2"/>
        </w:rPr>
        <w:t> </w:t>
      </w:r>
      <w:r>
        <w:rPr/>
        <w:t>above, para.7-</w:t>
      </w:r>
      <w:r>
        <w:rPr>
          <w:spacing w:val="-4"/>
        </w:rPr>
        <w:t>090.</w:t>
      </w:r>
    </w:p>
    <w:p>
      <w:pPr>
        <w:pStyle w:val="BodyText"/>
        <w:spacing w:before="9"/>
      </w:pPr>
    </w:p>
    <w:p>
      <w:pPr>
        <w:spacing w:line="235" w:lineRule="auto" w:before="0"/>
        <w:ind w:left="705" w:right="168" w:hanging="541"/>
        <w:jc w:val="both"/>
        <w:rPr>
          <w:sz w:val="20"/>
        </w:rPr>
      </w:pPr>
      <w:bookmarkStart w:name="_bookmark863" w:id="865"/>
      <w:bookmarkEnd w:id="865"/>
      <w:r>
        <w:rPr/>
      </w:r>
      <w:hyperlink w:history="true" w:anchor="_bookmark738">
        <w:r>
          <w:rPr>
            <w:color w:val="005DA1"/>
            <w:position w:val="5"/>
            <w:sz w:val="14"/>
            <w:u w:val="single" w:color="005DA1"/>
          </w:rPr>
          <w:t>435</w:t>
        </w:r>
      </w:hyperlink>
      <w:r>
        <w:rPr>
          <w:position w:val="5"/>
          <w:sz w:val="14"/>
        </w:rPr>
        <w:t>.</w:t>
      </w:r>
      <w:r>
        <w:rPr>
          <w:spacing w:val="80"/>
          <w:position w:val="5"/>
          <w:sz w:val="14"/>
        </w:rPr>
        <w:t>  </w:t>
      </w:r>
      <w:r>
        <w:rPr>
          <w:rFonts w:ascii="Arial" w:hAnsi="Arial"/>
          <w:i/>
          <w:sz w:val="20"/>
        </w:rPr>
        <w:t>[1976] Q.B. 801</w:t>
      </w:r>
      <w:r>
        <w:rPr>
          <w:sz w:val="20"/>
        </w:rPr>
        <w:t>; also </w:t>
      </w:r>
      <w:r>
        <w:rPr>
          <w:rFonts w:ascii="Arial" w:hAnsi="Arial"/>
          <w:i/>
          <w:sz w:val="20"/>
        </w:rPr>
        <w:t>McInerny v Lloyds Bank Ltd [1974] 2 Lloyd’s Rep. 246, 253–254</w:t>
      </w:r>
      <w:r>
        <w:rPr>
          <w:sz w:val="20"/>
        </w:rPr>
        <w:t>; </w:t>
      </w:r>
      <w:r>
        <w:rPr>
          <w:rFonts w:ascii="Arial" w:hAnsi="Arial"/>
          <w:i/>
          <w:sz w:val="20"/>
        </w:rPr>
        <w:t>Cornish v Midland Bank Plc [1985] 3 All E.R. 513</w:t>
      </w:r>
      <w:r>
        <w:rPr>
          <w:sz w:val="20"/>
        </w:rPr>
        <w:t>; </w:t>
      </w:r>
      <w:r>
        <w:rPr>
          <w:rFonts w:ascii="Arial" w:hAnsi="Arial"/>
          <w:i/>
          <w:sz w:val="20"/>
        </w:rPr>
        <w:t>Gran Gelato Ltd v Richcliff (Group) Ltd [1992] Ch. </w:t>
      </w:r>
      <w:r>
        <w:rPr>
          <w:rFonts w:ascii="Arial" w:hAnsi="Arial"/>
          <w:i/>
          <w:spacing w:val="-4"/>
          <w:sz w:val="20"/>
        </w:rPr>
        <w:t>560</w:t>
      </w:r>
      <w:r>
        <w:rPr>
          <w:spacing w:val="-4"/>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864" w:id="866"/>
      <w:bookmarkEnd w:id="866"/>
      <w:r>
        <w:rPr/>
      </w:r>
      <w:hyperlink w:history="true" w:anchor="_bookmark739">
        <w:r>
          <w:rPr>
            <w:color w:val="005DA1"/>
            <w:spacing w:val="-4"/>
            <w:position w:val="5"/>
            <w:sz w:val="14"/>
            <w:u w:val="single" w:color="005DA1"/>
          </w:rPr>
          <w:t>436</w:t>
        </w:r>
      </w:hyperlink>
      <w:r>
        <w:rPr>
          <w:spacing w:val="-4"/>
          <w:position w:val="5"/>
          <w:sz w:val="14"/>
        </w:rPr>
        <w:t>.</w:t>
      </w:r>
      <w:r>
        <w:rPr>
          <w:position w:val="5"/>
          <w:sz w:val="14"/>
        </w:rPr>
        <w:tab/>
      </w:r>
      <w:r>
        <w:rPr>
          <w:sz w:val="20"/>
        </w:rPr>
        <w:t>Contrast</w:t>
      </w:r>
      <w:r>
        <w:rPr>
          <w:spacing w:val="69"/>
          <w:sz w:val="20"/>
        </w:rPr>
        <w:t> </w:t>
      </w:r>
      <w:r>
        <w:rPr>
          <w:sz w:val="20"/>
        </w:rPr>
        <w:t>the</w:t>
      </w:r>
      <w:r>
        <w:rPr>
          <w:spacing w:val="69"/>
          <w:sz w:val="20"/>
        </w:rPr>
        <w:t> </w:t>
      </w:r>
      <w:r>
        <w:rPr>
          <w:rFonts w:ascii="Arial"/>
          <w:i/>
          <w:sz w:val="20"/>
        </w:rPr>
        <w:t>Howard</w:t>
      </w:r>
      <w:r>
        <w:rPr>
          <w:rFonts w:ascii="Arial"/>
          <w:i/>
          <w:spacing w:val="69"/>
          <w:sz w:val="20"/>
        </w:rPr>
        <w:t> </w:t>
      </w:r>
      <w:r>
        <w:rPr>
          <w:rFonts w:ascii="Arial"/>
          <w:i/>
          <w:sz w:val="20"/>
        </w:rPr>
        <w:t>Marine</w:t>
      </w:r>
      <w:r>
        <w:rPr>
          <w:rFonts w:ascii="Arial"/>
          <w:i/>
          <w:spacing w:val="69"/>
          <w:sz w:val="20"/>
        </w:rPr>
        <w:t> </w:t>
      </w:r>
      <w:r>
        <w:rPr>
          <w:rFonts w:ascii="Arial"/>
          <w:i/>
          <w:sz w:val="20"/>
        </w:rPr>
        <w:t>case</w:t>
      </w:r>
      <w:r>
        <w:rPr>
          <w:rFonts w:ascii="Arial"/>
          <w:i/>
          <w:spacing w:val="69"/>
          <w:sz w:val="20"/>
        </w:rPr>
        <w:t> </w:t>
      </w:r>
      <w:r>
        <w:rPr>
          <w:rFonts w:ascii="Arial"/>
          <w:i/>
          <w:sz w:val="20"/>
        </w:rPr>
        <w:t>[1978]</w:t>
      </w:r>
      <w:r>
        <w:rPr>
          <w:rFonts w:ascii="Arial"/>
          <w:i/>
          <w:spacing w:val="69"/>
          <w:sz w:val="20"/>
        </w:rPr>
        <w:t> </w:t>
      </w:r>
      <w:r>
        <w:rPr>
          <w:rFonts w:ascii="Arial"/>
          <w:i/>
          <w:sz w:val="20"/>
        </w:rPr>
        <w:t>Q.B.</w:t>
      </w:r>
      <w:r>
        <w:rPr>
          <w:rFonts w:ascii="Arial"/>
          <w:i/>
          <w:spacing w:val="69"/>
          <w:sz w:val="20"/>
        </w:rPr>
        <w:t> </w:t>
      </w:r>
      <w:r>
        <w:rPr>
          <w:rFonts w:ascii="Arial"/>
          <w:i/>
          <w:sz w:val="20"/>
        </w:rPr>
        <w:t>574</w:t>
      </w:r>
      <w:r>
        <w:rPr>
          <w:sz w:val="20"/>
        </w:rPr>
        <w:t>,</w:t>
      </w:r>
      <w:r>
        <w:rPr>
          <w:spacing w:val="69"/>
          <w:sz w:val="20"/>
        </w:rPr>
        <w:t> </w:t>
      </w:r>
      <w:r>
        <w:rPr>
          <w:sz w:val="20"/>
        </w:rPr>
        <w:t>where</w:t>
      </w:r>
      <w:r>
        <w:rPr>
          <w:spacing w:val="69"/>
          <w:sz w:val="20"/>
        </w:rPr>
        <w:t> </w:t>
      </w:r>
      <w:r>
        <w:rPr>
          <w:sz w:val="20"/>
        </w:rPr>
        <w:t>the</w:t>
      </w:r>
      <w:r>
        <w:rPr>
          <w:spacing w:val="69"/>
          <w:sz w:val="20"/>
        </w:rPr>
        <w:t> </w:t>
      </w:r>
      <w:r>
        <w:rPr>
          <w:sz w:val="20"/>
        </w:rPr>
        <w:t>majority</w:t>
      </w:r>
      <w:r>
        <w:rPr>
          <w:spacing w:val="69"/>
          <w:sz w:val="20"/>
        </w:rPr>
        <w:t> </w:t>
      </w:r>
      <w:r>
        <w:rPr>
          <w:sz w:val="20"/>
        </w:rPr>
        <w:t>seems</w:t>
      </w:r>
      <w:r>
        <w:rPr>
          <w:spacing w:val="69"/>
          <w:sz w:val="20"/>
        </w:rPr>
        <w:t> </w:t>
      </w:r>
      <w:r>
        <w:rPr>
          <w:sz w:val="20"/>
        </w:rPr>
        <w:t>to</w:t>
      </w:r>
      <w:r>
        <w:rPr>
          <w:spacing w:val="69"/>
          <w:sz w:val="20"/>
        </w:rPr>
        <w:t> </w:t>
      </w:r>
      <w:r>
        <w:rPr>
          <w:sz w:val="20"/>
        </w:rPr>
        <w:t>have considered that the casual nature of the answer precluded a duty of care.</w:t>
      </w:r>
    </w:p>
    <w:p>
      <w:pPr>
        <w:pStyle w:val="BodyText"/>
        <w:spacing w:before="5"/>
      </w:pPr>
    </w:p>
    <w:p>
      <w:pPr>
        <w:tabs>
          <w:tab w:pos="705" w:val="left" w:leader="none"/>
        </w:tabs>
        <w:spacing w:before="0"/>
        <w:ind w:left="165" w:right="0" w:firstLine="0"/>
        <w:jc w:val="left"/>
        <w:rPr>
          <w:sz w:val="20"/>
        </w:rPr>
      </w:pPr>
      <w:bookmarkStart w:name="_bookmark865" w:id="867"/>
      <w:bookmarkEnd w:id="867"/>
      <w:r>
        <w:rPr/>
      </w:r>
      <w:hyperlink w:history="true" w:anchor="_bookmark740">
        <w:r>
          <w:rPr>
            <w:color w:val="005DA1"/>
            <w:spacing w:val="-4"/>
            <w:position w:val="5"/>
            <w:sz w:val="14"/>
            <w:u w:val="single" w:color="005DA1"/>
          </w:rPr>
          <w:t>437</w:t>
        </w:r>
      </w:hyperlink>
      <w:r>
        <w:rPr>
          <w:spacing w:val="-4"/>
          <w:position w:val="5"/>
          <w:sz w:val="14"/>
        </w:rPr>
        <w:t>.</w:t>
      </w:r>
      <w:r>
        <w:rPr>
          <w:position w:val="5"/>
          <w:sz w:val="14"/>
        </w:rPr>
        <w:tab/>
      </w:r>
      <w:r>
        <w:rPr>
          <w:rFonts w:ascii="Arial"/>
          <w:i/>
          <w:sz w:val="20"/>
        </w:rPr>
        <w:t>Argy Trading Development Co Ltd v Lapid Developments Ltd [1977] 1 W.L.R. </w:t>
      </w:r>
      <w:r>
        <w:rPr>
          <w:rFonts w:ascii="Arial"/>
          <w:i/>
          <w:spacing w:val="-4"/>
          <w:sz w:val="20"/>
        </w:rPr>
        <w:t>444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66" w:id="868"/>
      <w:bookmarkEnd w:id="868"/>
      <w:r>
        <w:rPr/>
      </w:r>
      <w:hyperlink w:history="true" w:anchor="_bookmark741">
        <w:r>
          <w:rPr>
            <w:color w:val="005DA1"/>
            <w:spacing w:val="-4"/>
            <w:position w:val="5"/>
            <w:sz w:val="14"/>
            <w:u w:val="single" w:color="005DA1"/>
          </w:rPr>
          <w:t>438</w:t>
        </w:r>
      </w:hyperlink>
      <w:r>
        <w:rPr>
          <w:spacing w:val="-4"/>
          <w:position w:val="5"/>
          <w:sz w:val="14"/>
        </w:rPr>
        <w:t>.</w:t>
      </w:r>
      <w:r>
        <w:rPr>
          <w:position w:val="5"/>
          <w:sz w:val="14"/>
        </w:rPr>
        <w:tab/>
      </w:r>
      <w:r>
        <w:rPr>
          <w:rFonts w:ascii="Arial"/>
          <w:i/>
          <w:sz w:val="20"/>
        </w:rPr>
        <w:t>[1977]</w:t>
      </w:r>
      <w:r>
        <w:rPr>
          <w:rFonts w:ascii="Arial"/>
          <w:i/>
          <w:spacing w:val="-2"/>
          <w:sz w:val="20"/>
        </w:rPr>
        <w:t> </w:t>
      </w:r>
      <w:r>
        <w:rPr>
          <w:rFonts w:ascii="Arial"/>
          <w:i/>
          <w:sz w:val="20"/>
        </w:rPr>
        <w:t>1 W.L.R. </w:t>
      </w:r>
      <w:r>
        <w:rPr>
          <w:rFonts w:ascii="Arial"/>
          <w:i/>
          <w:spacing w:val="-4"/>
          <w:sz w:val="20"/>
        </w:rPr>
        <w:t>444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67" w:id="869"/>
      <w:bookmarkEnd w:id="869"/>
      <w:r>
        <w:rPr/>
      </w:r>
      <w:hyperlink w:history="true" w:anchor="_bookmark742">
        <w:r>
          <w:rPr>
            <w:color w:val="005DA1"/>
            <w:spacing w:val="-4"/>
            <w:position w:val="5"/>
            <w:sz w:val="14"/>
            <w:u w:val="single" w:color="005DA1"/>
          </w:rPr>
          <w:t>439</w:t>
        </w:r>
      </w:hyperlink>
      <w:r>
        <w:rPr>
          <w:spacing w:val="-4"/>
          <w:position w:val="5"/>
          <w:sz w:val="14"/>
        </w:rPr>
        <w:t>.</w:t>
      </w:r>
      <w:r>
        <w:rPr>
          <w:position w:val="5"/>
          <w:sz w:val="14"/>
        </w:rPr>
        <w:tab/>
      </w:r>
      <w:r>
        <w:rPr>
          <w:rFonts w:ascii="Arial" w:hAnsi="Arial"/>
          <w:i/>
          <w:sz w:val="20"/>
        </w:rPr>
        <w:t>Rust v Abbey Life Insurance Co Ltd [1978] 2 Lloyd’s Rep. </w:t>
      </w:r>
      <w:r>
        <w:rPr>
          <w:rFonts w:ascii="Arial" w:hAnsi="Arial"/>
          <w:i/>
          <w:spacing w:val="-4"/>
          <w:sz w:val="20"/>
        </w:rPr>
        <w:t>386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68" w:id="870"/>
      <w:bookmarkEnd w:id="870"/>
      <w:r>
        <w:rPr/>
      </w:r>
      <w:hyperlink w:history="true" w:anchor="_bookmark743">
        <w:r>
          <w:rPr>
            <w:color w:val="005DA1"/>
            <w:spacing w:val="-4"/>
            <w:position w:val="5"/>
            <w:sz w:val="14"/>
            <w:u w:val="single" w:color="005DA1"/>
          </w:rPr>
          <w:t>440</w:t>
        </w:r>
      </w:hyperlink>
      <w:r>
        <w:rPr>
          <w:spacing w:val="-4"/>
          <w:position w:val="5"/>
          <w:sz w:val="14"/>
        </w:rPr>
        <w:t>.</w:t>
      </w:r>
      <w:r>
        <w:rPr>
          <w:position w:val="5"/>
          <w:sz w:val="14"/>
        </w:rPr>
        <w:tab/>
      </w:r>
      <w:r>
        <w:rPr>
          <w:rFonts w:ascii="Arial"/>
          <w:i/>
          <w:sz w:val="20"/>
        </w:rPr>
        <w:t>Computastaff Ltd v Ingledew Brown Bennison &amp; Garrett (1983) 268 E.G. </w:t>
      </w:r>
      <w:r>
        <w:rPr>
          <w:rFonts w:ascii="Arial"/>
          <w:i/>
          <w:spacing w:val="-4"/>
          <w:sz w:val="20"/>
        </w:rPr>
        <w:t>598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69" w:id="871"/>
      <w:bookmarkEnd w:id="871"/>
      <w:r>
        <w:rPr/>
      </w:r>
      <w:hyperlink w:history="true" w:anchor="_bookmark744">
        <w:r>
          <w:rPr>
            <w:color w:val="005DA1"/>
            <w:spacing w:val="-4"/>
            <w:position w:val="5"/>
            <w:sz w:val="14"/>
            <w:u w:val="single" w:color="005DA1"/>
          </w:rPr>
          <w:t>441</w:t>
        </w:r>
      </w:hyperlink>
      <w:r>
        <w:rPr>
          <w:spacing w:val="-4"/>
          <w:position w:val="5"/>
          <w:sz w:val="14"/>
        </w:rPr>
        <w:t>.</w:t>
      </w:r>
      <w:r>
        <w:rPr>
          <w:position w:val="5"/>
          <w:sz w:val="14"/>
        </w:rPr>
        <w:tab/>
      </w:r>
      <w:r>
        <w:rPr>
          <w:rFonts w:ascii="Arial"/>
          <w:i/>
          <w:sz w:val="20"/>
        </w:rPr>
        <w:t>A.L. Gullison &amp; Sons Ltd v Corey (1980) 29 N.B.R. (2d) </w:t>
      </w:r>
      <w:r>
        <w:rPr>
          <w:rFonts w:ascii="Arial"/>
          <w:i/>
          <w:spacing w:val="-5"/>
          <w:sz w:val="20"/>
        </w:rPr>
        <w:t>86</w:t>
      </w:r>
      <w:r>
        <w:rPr>
          <w:spacing w:val="-5"/>
          <w:sz w:val="20"/>
        </w:rPr>
        <w:t>.</w:t>
      </w:r>
    </w:p>
    <w:p>
      <w:pPr>
        <w:pStyle w:val="BodyText"/>
        <w:spacing w:before="9"/>
      </w:pPr>
    </w:p>
    <w:p>
      <w:pPr>
        <w:spacing w:line="235" w:lineRule="auto" w:before="0"/>
        <w:ind w:left="705" w:right="167" w:hanging="541"/>
        <w:jc w:val="both"/>
        <w:rPr>
          <w:sz w:val="20"/>
        </w:rPr>
      </w:pPr>
      <w:bookmarkStart w:name="_bookmark870" w:id="872"/>
      <w:bookmarkEnd w:id="872"/>
      <w:r>
        <w:rPr/>
      </w:r>
      <w:hyperlink w:history="true" w:anchor="_bookmark745">
        <w:r>
          <w:rPr>
            <w:color w:val="005DA1"/>
            <w:position w:val="5"/>
            <w:sz w:val="14"/>
            <w:u w:val="single" w:color="005DA1"/>
          </w:rPr>
          <w:t>442</w:t>
        </w:r>
      </w:hyperlink>
      <w:r>
        <w:rPr>
          <w:position w:val="5"/>
          <w:sz w:val="14"/>
        </w:rPr>
        <w:t>.</w:t>
      </w:r>
      <w:r>
        <w:rPr>
          <w:spacing w:val="40"/>
          <w:position w:val="5"/>
          <w:sz w:val="14"/>
        </w:rPr>
        <w:t>  </w:t>
      </w:r>
      <w:r>
        <w:rPr>
          <w:rFonts w:ascii="Arial" w:hAnsi="Arial"/>
          <w:i/>
          <w:sz w:val="20"/>
        </w:rPr>
        <w:t>La Banque Financiére de la Cité SA v Westgate Insurance Co Ltd Banque Keyser Ullman SA </w:t>
      </w:r>
      <w:r>
        <w:rPr>
          <w:rFonts w:ascii="Arial" w:hAnsi="Arial"/>
          <w:i/>
          <w:sz w:val="20"/>
        </w:rPr>
        <w:t>v Skandia (UK) Insurance Co Ltd [1990] 1 Q.B. 665, 791, 794–795, 799, 802–803, affirmed on other grounds [1991] 2 A.C. 249</w:t>
      </w:r>
      <w:r>
        <w:rPr>
          <w:sz w:val="20"/>
        </w:rPr>
        <w:t>. On contracts uberrimae fidei see below, paras 7-155 et seq. It is possible that there might be an implicit assumption of responsibility if the defendant should have known that the plaintiff was reasonably relying on the defendant to disclose certain facts: cf. </w:t>
      </w:r>
      <w:r>
        <w:rPr>
          <w:rFonts w:ascii="Arial" w:hAnsi="Arial"/>
          <w:i/>
          <w:sz w:val="20"/>
        </w:rPr>
        <w:t>Smith v Eric S. Bush [1990] 1 A.C. 831</w:t>
      </w:r>
      <w:r>
        <w:rPr>
          <w:sz w:val="20"/>
        </w:rPr>
        <w:t>, above, para.7-091.</w:t>
      </w:r>
    </w:p>
    <w:p>
      <w:pPr>
        <w:pStyle w:val="BodyText"/>
        <w:spacing w:before="4"/>
      </w:pPr>
    </w:p>
    <w:p>
      <w:pPr>
        <w:tabs>
          <w:tab w:pos="705" w:val="left" w:leader="none"/>
        </w:tabs>
        <w:spacing w:before="0"/>
        <w:ind w:left="165" w:right="0" w:firstLine="0"/>
        <w:jc w:val="left"/>
        <w:rPr>
          <w:sz w:val="20"/>
        </w:rPr>
      </w:pPr>
      <w:bookmarkStart w:name="_bookmark871" w:id="873"/>
      <w:bookmarkEnd w:id="873"/>
      <w:r>
        <w:rPr/>
      </w:r>
      <w:hyperlink w:history="true" w:anchor="_bookmark746">
        <w:r>
          <w:rPr>
            <w:color w:val="005DA1"/>
            <w:spacing w:val="-4"/>
            <w:position w:val="5"/>
            <w:sz w:val="14"/>
            <w:u w:val="single" w:color="005DA1"/>
          </w:rPr>
          <w:t>443</w:t>
        </w:r>
      </w:hyperlink>
      <w:r>
        <w:rPr>
          <w:spacing w:val="-4"/>
          <w:position w:val="5"/>
          <w:sz w:val="14"/>
        </w:rPr>
        <w:t>.</w:t>
      </w:r>
      <w:r>
        <w:rPr>
          <w:position w:val="5"/>
          <w:sz w:val="14"/>
        </w:rPr>
        <w:tab/>
      </w:r>
      <w:r>
        <w:rPr>
          <w:rFonts w:ascii="Arial"/>
          <w:i/>
          <w:sz w:val="20"/>
        </w:rPr>
        <w:t>[1982]</w:t>
      </w:r>
      <w:r>
        <w:rPr>
          <w:rFonts w:ascii="Arial"/>
          <w:i/>
          <w:spacing w:val="-1"/>
          <w:sz w:val="20"/>
        </w:rPr>
        <w:t> </w:t>
      </w:r>
      <w:r>
        <w:rPr>
          <w:rFonts w:ascii="Arial"/>
          <w:i/>
          <w:sz w:val="20"/>
        </w:rPr>
        <w:t>A.C. 225</w:t>
      </w:r>
      <w:r>
        <w:rPr>
          <w:sz w:val="20"/>
        </w:rPr>
        <w:t>; this issue was not discussed on appeal to the House of </w:t>
      </w:r>
      <w:r>
        <w:rPr>
          <w:spacing w:val="-2"/>
          <w:sz w:val="20"/>
        </w:rPr>
        <w:t>Lords.</w:t>
      </w:r>
    </w:p>
    <w:p>
      <w:pPr>
        <w:pStyle w:val="BodyText"/>
        <w:spacing w:before="5"/>
      </w:pPr>
    </w:p>
    <w:p>
      <w:pPr>
        <w:tabs>
          <w:tab w:pos="705" w:val="left" w:leader="none"/>
        </w:tabs>
        <w:spacing w:before="0"/>
        <w:ind w:left="165" w:right="0" w:firstLine="0"/>
        <w:jc w:val="left"/>
        <w:rPr>
          <w:sz w:val="20"/>
        </w:rPr>
      </w:pPr>
      <w:bookmarkStart w:name="_bookmark872" w:id="874"/>
      <w:bookmarkEnd w:id="874"/>
      <w:r>
        <w:rPr/>
      </w:r>
      <w:hyperlink w:history="true" w:anchor="_bookmark747">
        <w:r>
          <w:rPr>
            <w:color w:val="005DA1"/>
            <w:spacing w:val="-4"/>
            <w:position w:val="5"/>
            <w:sz w:val="14"/>
            <w:u w:val="single" w:color="005DA1"/>
          </w:rPr>
          <w:t>444</w:t>
        </w:r>
      </w:hyperlink>
      <w:r>
        <w:rPr>
          <w:spacing w:val="-4"/>
          <w:position w:val="5"/>
          <w:sz w:val="14"/>
        </w:rPr>
        <w:t>.</w:t>
      </w:r>
      <w:r>
        <w:rPr>
          <w:position w:val="5"/>
          <w:sz w:val="14"/>
        </w:rPr>
        <w:tab/>
      </w:r>
      <w:r>
        <w:rPr>
          <w:rFonts w:ascii="Arial"/>
          <w:i/>
          <w:sz w:val="20"/>
        </w:rPr>
        <w:t>[1990]</w:t>
      </w:r>
      <w:r>
        <w:rPr>
          <w:rFonts w:ascii="Arial"/>
          <w:i/>
          <w:spacing w:val="-1"/>
          <w:sz w:val="20"/>
        </w:rPr>
        <w:t> </w:t>
      </w:r>
      <w:r>
        <w:rPr>
          <w:rFonts w:ascii="Arial"/>
          <w:i/>
          <w:sz w:val="20"/>
        </w:rPr>
        <w:t>2 A.C. 605</w:t>
      </w:r>
      <w:r>
        <w:rPr>
          <w:sz w:val="20"/>
        </w:rPr>
        <w:t>, above, para.7-</w:t>
      </w:r>
      <w:r>
        <w:rPr>
          <w:spacing w:val="-4"/>
          <w:sz w:val="20"/>
        </w:rPr>
        <w:t>090.</w:t>
      </w:r>
    </w:p>
    <w:p>
      <w:pPr>
        <w:pStyle w:val="BodyText"/>
        <w:spacing w:before="9"/>
      </w:pPr>
    </w:p>
    <w:p>
      <w:pPr>
        <w:spacing w:line="235" w:lineRule="auto" w:before="0"/>
        <w:ind w:left="705" w:right="167" w:hanging="541"/>
        <w:jc w:val="both"/>
        <w:rPr>
          <w:sz w:val="20"/>
        </w:rPr>
      </w:pPr>
      <w:bookmarkStart w:name="_bookmark873" w:id="875"/>
      <w:bookmarkEnd w:id="875"/>
      <w:r>
        <w:rPr/>
      </w:r>
      <w:hyperlink w:history="true" w:anchor="_bookmark748">
        <w:r>
          <w:rPr>
            <w:color w:val="005DA1"/>
            <w:position w:val="5"/>
            <w:sz w:val="14"/>
            <w:u w:val="single" w:color="005DA1"/>
          </w:rPr>
          <w:t>445</w:t>
        </w:r>
      </w:hyperlink>
      <w:r>
        <w:rPr>
          <w:position w:val="5"/>
          <w:sz w:val="14"/>
        </w:rPr>
        <w:t>.</w:t>
      </w:r>
      <w:r>
        <w:rPr>
          <w:spacing w:val="40"/>
          <w:position w:val="5"/>
          <w:sz w:val="14"/>
        </w:rPr>
        <w:t>  </w:t>
      </w:r>
      <w:r>
        <w:rPr>
          <w:sz w:val="20"/>
        </w:rPr>
        <w:t>By</w:t>
      </w:r>
      <w:r>
        <w:rPr>
          <w:spacing w:val="40"/>
          <w:sz w:val="20"/>
        </w:rPr>
        <w:t> </w:t>
      </w:r>
      <w:r>
        <w:rPr>
          <w:sz w:val="20"/>
        </w:rPr>
        <w:t>analogy</w:t>
      </w:r>
      <w:r>
        <w:rPr>
          <w:spacing w:val="40"/>
          <w:sz w:val="20"/>
        </w:rPr>
        <w:t> </w:t>
      </w:r>
      <w:r>
        <w:rPr>
          <w:sz w:val="20"/>
        </w:rPr>
        <w:t>to</w:t>
      </w:r>
      <w:r>
        <w:rPr>
          <w:spacing w:val="40"/>
          <w:sz w:val="20"/>
        </w:rPr>
        <w:t> </w:t>
      </w:r>
      <w:r>
        <w:rPr>
          <w:sz w:val="20"/>
        </w:rPr>
        <w:t>the</w:t>
      </w:r>
      <w:r>
        <w:rPr>
          <w:spacing w:val="40"/>
          <w:sz w:val="20"/>
        </w:rPr>
        <w:t> </w:t>
      </w:r>
      <w:r>
        <w:rPr>
          <w:sz w:val="20"/>
        </w:rPr>
        <w:t>special</w:t>
      </w:r>
      <w:r>
        <w:rPr>
          <w:spacing w:val="40"/>
          <w:sz w:val="20"/>
        </w:rPr>
        <w:t> </w:t>
      </w:r>
      <w:r>
        <w:rPr>
          <w:sz w:val="20"/>
        </w:rPr>
        <w:t>relationship</w:t>
      </w:r>
      <w:r>
        <w:rPr>
          <w:spacing w:val="40"/>
          <w:sz w:val="20"/>
        </w:rPr>
        <w:t> </w:t>
      </w:r>
      <w:r>
        <w:rPr>
          <w:sz w:val="20"/>
        </w:rPr>
        <w:t>between</w:t>
      </w:r>
      <w:r>
        <w:rPr>
          <w:spacing w:val="40"/>
          <w:sz w:val="20"/>
        </w:rPr>
        <w:t> </w:t>
      </w:r>
      <w:r>
        <w:rPr>
          <w:sz w:val="20"/>
        </w:rPr>
        <w:t>employer</w:t>
      </w:r>
      <w:r>
        <w:rPr>
          <w:spacing w:val="40"/>
          <w:sz w:val="20"/>
        </w:rPr>
        <w:t> </w:t>
      </w:r>
      <w:r>
        <w:rPr>
          <w:sz w:val="20"/>
        </w:rPr>
        <w:t>and</w:t>
      </w:r>
      <w:r>
        <w:rPr>
          <w:spacing w:val="40"/>
          <w:sz w:val="20"/>
        </w:rPr>
        <w:t> </w:t>
      </w:r>
      <w:r>
        <w:rPr>
          <w:sz w:val="20"/>
        </w:rPr>
        <w:t>nominated</w:t>
      </w:r>
      <w:r>
        <w:rPr>
          <w:spacing w:val="40"/>
          <w:sz w:val="20"/>
        </w:rPr>
        <w:t> </w:t>
      </w:r>
      <w:r>
        <w:rPr>
          <w:sz w:val="20"/>
        </w:rPr>
        <w:t>sub-contractor</w:t>
      </w:r>
      <w:r>
        <w:rPr>
          <w:spacing w:val="40"/>
          <w:sz w:val="20"/>
        </w:rPr>
        <w:t> </w:t>
      </w:r>
      <w:r>
        <w:rPr>
          <w:sz w:val="20"/>
        </w:rPr>
        <w:t>in </w:t>
      </w:r>
      <w:r>
        <w:rPr>
          <w:rFonts w:ascii="Arial"/>
          <w:i/>
          <w:sz w:val="20"/>
        </w:rPr>
        <w:t>Junior Books Ltd v Veitchi Co Ltd [1983] 1 A.C. 520</w:t>
      </w:r>
      <w:r>
        <w:rPr>
          <w:sz w:val="20"/>
        </w:rPr>
        <w:t>. cf. </w:t>
      </w:r>
      <w:r>
        <w:rPr>
          <w:rFonts w:ascii="Arial"/>
          <w:i/>
          <w:sz w:val="20"/>
        </w:rPr>
        <w:t>Independent Broadcasting Authority v EMI</w:t>
      </w:r>
      <w:r>
        <w:rPr>
          <w:rFonts w:ascii="Arial"/>
          <w:i/>
          <w:spacing w:val="-1"/>
          <w:sz w:val="20"/>
        </w:rPr>
        <w:t> </w:t>
      </w:r>
      <w:r>
        <w:rPr>
          <w:rFonts w:ascii="Arial"/>
          <w:i/>
          <w:sz w:val="20"/>
        </w:rPr>
        <w:t>Electronics</w:t>
      </w:r>
      <w:r>
        <w:rPr>
          <w:rFonts w:ascii="Arial"/>
          <w:i/>
          <w:spacing w:val="-1"/>
          <w:sz w:val="20"/>
        </w:rPr>
        <w:t> </w:t>
      </w:r>
      <w:r>
        <w:rPr>
          <w:rFonts w:ascii="Arial"/>
          <w:i/>
          <w:sz w:val="20"/>
        </w:rPr>
        <w:t>and</w:t>
      </w:r>
      <w:r>
        <w:rPr>
          <w:rFonts w:ascii="Arial"/>
          <w:i/>
          <w:spacing w:val="-1"/>
          <w:sz w:val="20"/>
        </w:rPr>
        <w:t> </w:t>
      </w:r>
      <w:r>
        <w:rPr>
          <w:rFonts w:ascii="Arial"/>
          <w:i/>
          <w:sz w:val="20"/>
        </w:rPr>
        <w:t>BICC</w:t>
      </w:r>
      <w:r>
        <w:rPr>
          <w:rFonts w:ascii="Arial"/>
          <w:i/>
          <w:spacing w:val="-1"/>
          <w:sz w:val="20"/>
        </w:rPr>
        <w:t> </w:t>
      </w:r>
      <w:r>
        <w:rPr>
          <w:rFonts w:ascii="Arial"/>
          <w:i/>
          <w:sz w:val="20"/>
        </w:rPr>
        <w:t>Construction</w:t>
      </w:r>
      <w:r>
        <w:rPr>
          <w:rFonts w:ascii="Arial"/>
          <w:i/>
          <w:spacing w:val="-1"/>
          <w:sz w:val="20"/>
        </w:rPr>
        <w:t> </w:t>
      </w:r>
      <w:r>
        <w:rPr>
          <w:rFonts w:ascii="Arial"/>
          <w:i/>
          <w:sz w:val="20"/>
        </w:rPr>
        <w:t>Ltd</w:t>
      </w:r>
      <w:r>
        <w:rPr>
          <w:rFonts w:ascii="Arial"/>
          <w:i/>
          <w:spacing w:val="-1"/>
          <w:sz w:val="20"/>
        </w:rPr>
        <w:t> </w:t>
      </w:r>
      <w:r>
        <w:rPr>
          <w:rFonts w:ascii="Arial"/>
          <w:i/>
          <w:sz w:val="20"/>
        </w:rPr>
        <w:t>(1980)</w:t>
      </w:r>
      <w:r>
        <w:rPr>
          <w:rFonts w:ascii="Arial"/>
          <w:i/>
          <w:spacing w:val="-1"/>
          <w:sz w:val="20"/>
        </w:rPr>
        <w:t> </w:t>
      </w:r>
      <w:r>
        <w:rPr>
          <w:rFonts w:ascii="Arial"/>
          <w:i/>
          <w:sz w:val="20"/>
        </w:rPr>
        <w:t>14</w:t>
      </w:r>
      <w:r>
        <w:rPr>
          <w:rFonts w:ascii="Arial"/>
          <w:i/>
          <w:spacing w:val="-1"/>
          <w:sz w:val="20"/>
        </w:rPr>
        <w:t> </w:t>
      </w:r>
      <w:r>
        <w:rPr>
          <w:rFonts w:ascii="Arial"/>
          <w:i/>
          <w:sz w:val="20"/>
        </w:rPr>
        <w:t>Build.</w:t>
      </w:r>
      <w:r>
        <w:rPr>
          <w:rFonts w:ascii="Arial"/>
          <w:i/>
          <w:spacing w:val="-1"/>
          <w:sz w:val="20"/>
        </w:rPr>
        <w:t> </w:t>
      </w:r>
      <w:r>
        <w:rPr>
          <w:rFonts w:ascii="Arial"/>
          <w:i/>
          <w:sz w:val="20"/>
        </w:rPr>
        <w:t>L.R.</w:t>
      </w:r>
      <w:r>
        <w:rPr>
          <w:rFonts w:ascii="Arial"/>
          <w:i/>
          <w:spacing w:val="-1"/>
          <w:sz w:val="20"/>
        </w:rPr>
        <w:t> </w:t>
      </w:r>
      <w:r>
        <w:rPr>
          <w:rFonts w:ascii="Arial"/>
          <w:i/>
          <w:sz w:val="20"/>
        </w:rPr>
        <w:t>1</w:t>
      </w:r>
      <w:r>
        <w:rPr>
          <w:sz w:val="20"/>
        </w:rPr>
        <w:t>,</w:t>
      </w:r>
      <w:r>
        <w:rPr>
          <w:spacing w:val="-1"/>
          <w:sz w:val="20"/>
        </w:rPr>
        <w:t> </w:t>
      </w:r>
      <w:r>
        <w:rPr>
          <w:sz w:val="20"/>
        </w:rPr>
        <w:t>a</w:t>
      </w:r>
      <w:r>
        <w:rPr>
          <w:spacing w:val="-1"/>
          <w:sz w:val="20"/>
        </w:rPr>
        <w:t> </w:t>
      </w:r>
      <w:r>
        <w:rPr>
          <w:sz w:val="20"/>
        </w:rPr>
        <w:t>case</w:t>
      </w:r>
      <w:r>
        <w:rPr>
          <w:spacing w:val="-1"/>
          <w:sz w:val="20"/>
        </w:rPr>
        <w:t> </w:t>
      </w:r>
      <w:r>
        <w:rPr>
          <w:sz w:val="20"/>
        </w:rPr>
        <w:t>of</w:t>
      </w:r>
      <w:r>
        <w:rPr>
          <w:spacing w:val="-1"/>
          <w:sz w:val="20"/>
        </w:rPr>
        <w:t> </w:t>
      </w:r>
      <w:r>
        <w:rPr>
          <w:sz w:val="20"/>
        </w:rPr>
        <w:t>a</w:t>
      </w:r>
      <w:r>
        <w:rPr>
          <w:spacing w:val="-1"/>
          <w:sz w:val="20"/>
        </w:rPr>
        <w:t> </w:t>
      </w:r>
      <w:r>
        <w:rPr>
          <w:sz w:val="20"/>
        </w:rPr>
        <w:t>post-contractual </w:t>
      </w:r>
      <w:r>
        <w:rPr>
          <w:spacing w:val="-2"/>
          <w:sz w:val="20"/>
        </w:rPr>
        <w:t>representation.</w:t>
      </w:r>
    </w:p>
    <w:p>
      <w:pPr>
        <w:pStyle w:val="BodyText"/>
        <w:spacing w:before="8"/>
      </w:pPr>
    </w:p>
    <w:p>
      <w:pPr>
        <w:tabs>
          <w:tab w:pos="705" w:val="left" w:leader="none"/>
        </w:tabs>
        <w:spacing w:line="235" w:lineRule="auto" w:before="0"/>
        <w:ind w:left="705" w:right="168" w:hanging="541"/>
        <w:jc w:val="left"/>
        <w:rPr>
          <w:sz w:val="20"/>
        </w:rPr>
      </w:pPr>
      <w:bookmarkStart w:name="_bookmark874" w:id="876"/>
      <w:bookmarkEnd w:id="876"/>
      <w:r>
        <w:rPr/>
      </w:r>
      <w:hyperlink w:history="true" w:anchor="_bookmark749">
        <w:r>
          <w:rPr>
            <w:color w:val="005DA1"/>
            <w:spacing w:val="-4"/>
            <w:position w:val="5"/>
            <w:sz w:val="14"/>
            <w:u w:val="single" w:color="005DA1"/>
          </w:rPr>
          <w:t>446</w:t>
        </w:r>
      </w:hyperlink>
      <w:r>
        <w:rPr>
          <w:spacing w:val="-4"/>
          <w:position w:val="5"/>
          <w:sz w:val="14"/>
        </w:rPr>
        <w:t>.</w:t>
      </w:r>
      <w:r>
        <w:rPr>
          <w:position w:val="5"/>
          <w:sz w:val="14"/>
        </w:rPr>
        <w:tab/>
      </w:r>
      <w:r>
        <w:rPr>
          <w:rFonts w:ascii="Arial"/>
          <w:i/>
          <w:sz w:val="20"/>
        </w:rPr>
        <w:t>Shanklin Pier v Detel Products Ltd [1951] 2 K.B. 854</w:t>
      </w:r>
      <w:r>
        <w:rPr>
          <w:sz w:val="20"/>
        </w:rPr>
        <w:t>; </w:t>
      </w:r>
      <w:r>
        <w:rPr>
          <w:rFonts w:ascii="Arial"/>
          <w:i/>
          <w:sz w:val="20"/>
        </w:rPr>
        <w:t>Wells (Merstham) Ltd v Buckland </w:t>
      </w:r>
      <w:r>
        <w:rPr>
          <w:rFonts w:ascii="Arial"/>
          <w:i/>
          <w:sz w:val="20"/>
        </w:rPr>
        <w:t>Sand</w:t>
      </w:r>
      <w:r>
        <w:rPr>
          <w:rFonts w:ascii="Arial"/>
          <w:i/>
          <w:spacing w:val="40"/>
          <w:sz w:val="20"/>
        </w:rPr>
        <w:t> </w:t>
      </w:r>
      <w:r>
        <w:rPr>
          <w:rFonts w:ascii="Arial"/>
          <w:i/>
          <w:sz w:val="20"/>
        </w:rPr>
        <w:t>and Silica Co Ltd [1965] 2 Q.B. 170</w:t>
      </w:r>
      <w:r>
        <w:rPr>
          <w:sz w:val="20"/>
        </w:rPr>
        <w:t>.</w:t>
      </w:r>
    </w:p>
    <w:p>
      <w:pPr>
        <w:pStyle w:val="BodyText"/>
        <w:spacing w:before="9"/>
      </w:pPr>
    </w:p>
    <w:p>
      <w:pPr>
        <w:tabs>
          <w:tab w:pos="705" w:val="left" w:leader="none"/>
        </w:tabs>
        <w:spacing w:line="235" w:lineRule="auto" w:before="1"/>
        <w:ind w:left="705" w:right="168" w:hanging="541"/>
        <w:jc w:val="left"/>
        <w:rPr>
          <w:sz w:val="20"/>
        </w:rPr>
      </w:pPr>
      <w:bookmarkStart w:name="_bookmark875" w:id="877"/>
      <w:bookmarkEnd w:id="877"/>
      <w:r>
        <w:rPr/>
      </w:r>
      <w:hyperlink w:history="true" w:anchor="_bookmark750">
        <w:r>
          <w:rPr>
            <w:color w:val="005DA1"/>
            <w:spacing w:val="-4"/>
            <w:position w:val="5"/>
            <w:sz w:val="14"/>
            <w:u w:val="single" w:color="005DA1"/>
          </w:rPr>
          <w:t>447</w:t>
        </w:r>
      </w:hyperlink>
      <w:r>
        <w:rPr>
          <w:spacing w:val="-4"/>
          <w:position w:val="5"/>
          <w:sz w:val="14"/>
        </w:rPr>
        <w:t>.</w:t>
      </w:r>
      <w:r>
        <w:rPr>
          <w:position w:val="5"/>
          <w:sz w:val="14"/>
        </w:rPr>
        <w:tab/>
      </w:r>
      <w:r>
        <w:rPr>
          <w:sz w:val="20"/>
        </w:rPr>
        <w:t>See,</w:t>
      </w:r>
      <w:r>
        <w:rPr>
          <w:spacing w:val="-1"/>
          <w:sz w:val="20"/>
        </w:rPr>
        <w:t> </w:t>
      </w:r>
      <w:r>
        <w:rPr>
          <w:sz w:val="20"/>
        </w:rPr>
        <w:t>e.g.</w:t>
      </w:r>
      <w:r>
        <w:rPr>
          <w:spacing w:val="-1"/>
          <w:sz w:val="20"/>
        </w:rPr>
        <w:t> </w:t>
      </w:r>
      <w:r>
        <w:rPr>
          <w:rFonts w:ascii="Arial"/>
          <w:i/>
          <w:sz w:val="20"/>
        </w:rPr>
        <w:t>Greenman</w:t>
      </w:r>
      <w:r>
        <w:rPr>
          <w:rFonts w:ascii="Arial"/>
          <w:i/>
          <w:spacing w:val="-1"/>
          <w:sz w:val="20"/>
        </w:rPr>
        <w:t> </w:t>
      </w:r>
      <w:r>
        <w:rPr>
          <w:rFonts w:ascii="Arial"/>
          <w:i/>
          <w:sz w:val="20"/>
        </w:rPr>
        <w:t>v</w:t>
      </w:r>
      <w:r>
        <w:rPr>
          <w:rFonts w:ascii="Arial"/>
          <w:i/>
          <w:spacing w:val="-1"/>
          <w:sz w:val="20"/>
        </w:rPr>
        <w:t> </w:t>
      </w:r>
      <w:r>
        <w:rPr>
          <w:rFonts w:ascii="Arial"/>
          <w:i/>
          <w:sz w:val="20"/>
        </w:rPr>
        <w:t>Yuba</w:t>
      </w:r>
      <w:r>
        <w:rPr>
          <w:rFonts w:ascii="Arial"/>
          <w:i/>
          <w:spacing w:val="-1"/>
          <w:sz w:val="20"/>
        </w:rPr>
        <w:t> </w:t>
      </w:r>
      <w:r>
        <w:rPr>
          <w:rFonts w:ascii="Arial"/>
          <w:i/>
          <w:sz w:val="20"/>
        </w:rPr>
        <w:t>Power</w:t>
      </w:r>
      <w:r>
        <w:rPr>
          <w:rFonts w:ascii="Arial"/>
          <w:i/>
          <w:spacing w:val="-1"/>
          <w:sz w:val="20"/>
        </w:rPr>
        <w:t> </w:t>
      </w:r>
      <w:r>
        <w:rPr>
          <w:rFonts w:ascii="Arial"/>
          <w:i/>
          <w:sz w:val="20"/>
        </w:rPr>
        <w:t>Products</w:t>
      </w:r>
      <w:r>
        <w:rPr>
          <w:rFonts w:ascii="Arial"/>
          <w:i/>
          <w:spacing w:val="-1"/>
          <w:sz w:val="20"/>
        </w:rPr>
        <w:t> </w:t>
      </w:r>
      <w:r>
        <w:rPr>
          <w:rFonts w:ascii="Arial"/>
          <w:i/>
          <w:sz w:val="20"/>
        </w:rPr>
        <w:t>(1963)</w:t>
      </w:r>
      <w:r>
        <w:rPr>
          <w:rFonts w:ascii="Arial"/>
          <w:i/>
          <w:spacing w:val="-1"/>
          <w:sz w:val="20"/>
        </w:rPr>
        <w:t> </w:t>
      </w:r>
      <w:r>
        <w:rPr>
          <w:rFonts w:ascii="Arial"/>
          <w:i/>
          <w:sz w:val="20"/>
        </w:rPr>
        <w:t>377</w:t>
      </w:r>
      <w:r>
        <w:rPr>
          <w:rFonts w:ascii="Arial"/>
          <w:i/>
          <w:spacing w:val="-1"/>
          <w:sz w:val="20"/>
        </w:rPr>
        <w:t> </w:t>
      </w:r>
      <w:r>
        <w:rPr>
          <w:rFonts w:ascii="Arial"/>
          <w:i/>
          <w:sz w:val="20"/>
        </w:rPr>
        <w:t>P.</w:t>
      </w:r>
      <w:r>
        <w:rPr>
          <w:rFonts w:ascii="Arial"/>
          <w:i/>
          <w:spacing w:val="-1"/>
          <w:sz w:val="20"/>
        </w:rPr>
        <w:t> </w:t>
      </w:r>
      <w:r>
        <w:rPr>
          <w:rFonts w:ascii="Arial"/>
          <w:i/>
          <w:sz w:val="20"/>
        </w:rPr>
        <w:t>2d</w:t>
      </w:r>
      <w:r>
        <w:rPr>
          <w:rFonts w:ascii="Arial"/>
          <w:i/>
          <w:spacing w:val="-1"/>
          <w:sz w:val="20"/>
        </w:rPr>
        <w:t> </w:t>
      </w:r>
      <w:r>
        <w:rPr>
          <w:rFonts w:ascii="Arial"/>
          <w:i/>
          <w:sz w:val="20"/>
        </w:rPr>
        <w:t>897</w:t>
      </w:r>
      <w:r>
        <w:rPr>
          <w:sz w:val="20"/>
        </w:rPr>
        <w:t>,</w:t>
      </w:r>
      <w:r>
        <w:rPr>
          <w:spacing w:val="-1"/>
          <w:sz w:val="20"/>
        </w:rPr>
        <w:t> </w:t>
      </w:r>
      <w:r>
        <w:rPr>
          <w:sz w:val="20"/>
        </w:rPr>
        <w:t>and</w:t>
      </w:r>
      <w:r>
        <w:rPr>
          <w:spacing w:val="-1"/>
          <w:sz w:val="20"/>
        </w:rPr>
        <w:t> </w:t>
      </w:r>
      <w:r>
        <w:rPr>
          <w:sz w:val="20"/>
        </w:rPr>
        <w:t>many</w:t>
      </w:r>
      <w:r>
        <w:rPr>
          <w:spacing w:val="-1"/>
          <w:sz w:val="20"/>
        </w:rPr>
        <w:t> </w:t>
      </w:r>
      <w:r>
        <w:rPr>
          <w:sz w:val="20"/>
        </w:rPr>
        <w:t>other</w:t>
      </w:r>
      <w:r>
        <w:rPr>
          <w:spacing w:val="-1"/>
          <w:sz w:val="20"/>
        </w:rPr>
        <w:t> </w:t>
      </w:r>
      <w:r>
        <w:rPr>
          <w:sz w:val="20"/>
        </w:rPr>
        <w:t>cases</w:t>
      </w:r>
      <w:r>
        <w:rPr>
          <w:spacing w:val="-1"/>
          <w:sz w:val="20"/>
        </w:rPr>
        <w:t> </w:t>
      </w:r>
      <w:r>
        <w:rPr>
          <w:sz w:val="20"/>
        </w:rPr>
        <w:t>cited in White &amp; Summers, </w:t>
      </w:r>
      <w:r>
        <w:rPr>
          <w:rFonts w:ascii="Arial"/>
          <w:i/>
          <w:sz w:val="20"/>
        </w:rPr>
        <w:t>Uniform Commercial Code</w:t>
      </w:r>
      <w:r>
        <w:rPr>
          <w:sz w:val="20"/>
        </w:rPr>
        <w:t>, 5th edn (2000), para.11-2.</w:t>
      </w:r>
    </w:p>
    <w:p>
      <w:pPr>
        <w:pStyle w:val="BodyText"/>
        <w:spacing w:before="5"/>
      </w:pPr>
    </w:p>
    <w:p>
      <w:pPr>
        <w:tabs>
          <w:tab w:pos="705" w:val="left" w:leader="none"/>
        </w:tabs>
        <w:spacing w:before="0"/>
        <w:ind w:left="165" w:right="0" w:firstLine="0"/>
        <w:jc w:val="left"/>
        <w:rPr>
          <w:sz w:val="20"/>
        </w:rPr>
      </w:pPr>
      <w:bookmarkStart w:name="_bookmark876" w:id="878"/>
      <w:bookmarkEnd w:id="878"/>
      <w:r>
        <w:rPr/>
      </w:r>
      <w:hyperlink w:history="true" w:anchor="_bookmark751">
        <w:r>
          <w:rPr>
            <w:color w:val="005DA1"/>
            <w:spacing w:val="-4"/>
            <w:position w:val="5"/>
            <w:sz w:val="14"/>
            <w:u w:val="single" w:color="005DA1"/>
          </w:rPr>
          <w:t>448</w:t>
        </w:r>
      </w:hyperlink>
      <w:r>
        <w:rPr>
          <w:spacing w:val="-4"/>
          <w:position w:val="5"/>
          <w:sz w:val="14"/>
        </w:rPr>
        <w:t>.</w:t>
      </w:r>
      <w:r>
        <w:rPr>
          <w:position w:val="5"/>
          <w:sz w:val="14"/>
        </w:rPr>
        <w:tab/>
      </w:r>
      <w:r>
        <w:rPr>
          <w:sz w:val="20"/>
        </w:rPr>
        <w:t>See</w:t>
      </w:r>
      <w:r>
        <w:rPr>
          <w:spacing w:val="-1"/>
          <w:sz w:val="20"/>
        </w:rPr>
        <w:t> </w:t>
      </w:r>
      <w:r>
        <w:rPr>
          <w:rFonts w:ascii="Arial" w:hAnsi="Arial"/>
          <w:i/>
          <w:sz w:val="20"/>
        </w:rPr>
        <w:t>Lambert v Lewis [1982] A.C. 225</w:t>
      </w:r>
      <w:r>
        <w:rPr>
          <w:rFonts w:ascii="Arial" w:hAnsi="Arial"/>
          <w:i/>
          <w:spacing w:val="-1"/>
          <w:sz w:val="20"/>
        </w:rPr>
        <w:t> </w:t>
      </w:r>
      <w:r>
        <w:rPr>
          <w:sz w:val="20"/>
        </w:rPr>
        <w:t>itself, and see also below, paras 13-003—13-</w:t>
      </w:r>
      <w:r>
        <w:rPr>
          <w:spacing w:val="-4"/>
          <w:sz w:val="20"/>
        </w:rPr>
        <w:t>007.</w:t>
      </w:r>
    </w:p>
    <w:p>
      <w:pPr>
        <w:pStyle w:val="BodyText"/>
        <w:spacing w:before="9"/>
      </w:pPr>
    </w:p>
    <w:p>
      <w:pPr>
        <w:pStyle w:val="BodyText"/>
        <w:spacing w:line="235" w:lineRule="auto"/>
        <w:ind w:left="705" w:right="167" w:hanging="541"/>
        <w:jc w:val="both"/>
      </w:pPr>
      <w:bookmarkStart w:name="_bookmark877" w:id="879"/>
      <w:bookmarkEnd w:id="879"/>
      <w:r>
        <w:rPr/>
      </w:r>
      <w:hyperlink w:history="true" w:anchor="_bookmark752">
        <w:r>
          <w:rPr>
            <w:color w:val="005DA1"/>
            <w:position w:val="5"/>
            <w:sz w:val="14"/>
            <w:u w:val="single" w:color="005DA1"/>
          </w:rPr>
          <w:t>449</w:t>
        </w:r>
      </w:hyperlink>
      <w:r>
        <w:rPr>
          <w:position w:val="5"/>
          <w:sz w:val="14"/>
        </w:rPr>
        <w:t>.</w:t>
      </w:r>
      <w:r>
        <w:rPr>
          <w:spacing w:val="80"/>
          <w:w w:val="150"/>
          <w:position w:val="5"/>
          <w:sz w:val="14"/>
        </w:rPr>
        <w:t> </w:t>
      </w:r>
      <w:r>
        <w:rPr/>
        <w:t>Sale of Goods Act 1979 s.14(2D)–(2F); see below, Vol.II, para.38-406. Under the </w:t>
      </w:r>
      <w:r>
        <w:rPr/>
        <w:t>Consumer Rights Act 2015, these sections are repealed and replaced by cl.9(5)–(7) of the Act: see below, </w:t>
      </w:r>
      <w:r>
        <w:rPr>
          <w:spacing w:val="-2"/>
        </w:rPr>
        <w:t>para.44-095.</w:t>
      </w:r>
    </w:p>
    <w:p>
      <w:pPr>
        <w:pStyle w:val="BodyText"/>
        <w:spacing w:before="5"/>
      </w:pPr>
    </w:p>
    <w:p>
      <w:pPr>
        <w:pStyle w:val="BodyText"/>
        <w:tabs>
          <w:tab w:pos="705" w:val="left" w:leader="none"/>
        </w:tabs>
        <w:ind w:left="165"/>
      </w:pPr>
      <w:bookmarkStart w:name="_bookmark878" w:id="880"/>
      <w:bookmarkEnd w:id="880"/>
      <w:r>
        <w:rPr/>
      </w:r>
      <w:hyperlink w:history="true" w:anchor="_bookmark753">
        <w:r>
          <w:rPr>
            <w:color w:val="005DA1"/>
            <w:spacing w:val="-4"/>
            <w:position w:val="5"/>
            <w:sz w:val="14"/>
            <w:u w:val="single" w:color="005DA1"/>
          </w:rPr>
          <w:t>450</w:t>
        </w:r>
      </w:hyperlink>
      <w:r>
        <w:rPr>
          <w:spacing w:val="-4"/>
          <w:position w:val="5"/>
          <w:sz w:val="14"/>
        </w:rPr>
        <w:t>.</w:t>
      </w:r>
      <w:r>
        <w:rPr>
          <w:position w:val="5"/>
          <w:sz w:val="14"/>
        </w:rPr>
        <w:tab/>
      </w:r>
      <w:r>
        <w:rPr/>
        <w:t>SI 2002/3045. See further below, Vol.II, para.38-</w:t>
      </w:r>
      <w:r>
        <w:rPr>
          <w:spacing w:val="-4"/>
        </w:rPr>
        <w:t>491.</w:t>
      </w:r>
    </w:p>
    <w:p>
      <w:pPr>
        <w:pStyle w:val="BodyText"/>
        <w:spacing w:before="5"/>
      </w:pPr>
    </w:p>
    <w:p>
      <w:pPr>
        <w:pStyle w:val="BodyText"/>
        <w:tabs>
          <w:tab w:pos="705" w:val="left" w:leader="none"/>
        </w:tabs>
        <w:ind w:left="165"/>
      </w:pPr>
      <w:bookmarkStart w:name="_bookmark879" w:id="881"/>
      <w:bookmarkEnd w:id="881"/>
      <w:r>
        <w:rPr/>
      </w:r>
      <w:hyperlink w:history="true" w:anchor="_bookmark754">
        <w:r>
          <w:rPr>
            <w:color w:val="005DA1"/>
            <w:spacing w:val="-4"/>
            <w:position w:val="5"/>
            <w:sz w:val="14"/>
            <w:u w:val="single" w:color="005DA1"/>
          </w:rPr>
          <w:t>451</w:t>
        </w:r>
      </w:hyperlink>
      <w:r>
        <w:rPr>
          <w:spacing w:val="-4"/>
          <w:position w:val="5"/>
          <w:sz w:val="14"/>
        </w:rPr>
        <w:t>.</w:t>
      </w:r>
      <w:r>
        <w:rPr>
          <w:position w:val="5"/>
          <w:sz w:val="14"/>
        </w:rPr>
        <w:tab/>
      </w:r>
      <w:r>
        <w:rPr/>
        <w:t>Consumer Rights Act 2015, s.30: see below, Vol.II, para.38-</w:t>
      </w:r>
      <w:r>
        <w:rPr>
          <w:spacing w:val="-4"/>
        </w:rPr>
        <w:t>403.</w:t>
      </w:r>
    </w:p>
    <w:p>
      <w:pPr>
        <w:pStyle w:val="BodyText"/>
        <w:spacing w:before="5"/>
      </w:pPr>
    </w:p>
    <w:p>
      <w:pPr>
        <w:pStyle w:val="BodyText"/>
        <w:tabs>
          <w:tab w:pos="705" w:val="left" w:leader="none"/>
        </w:tabs>
        <w:ind w:left="165"/>
      </w:pPr>
      <w:bookmarkStart w:name="_bookmark880" w:id="882"/>
      <w:bookmarkEnd w:id="882"/>
      <w:r>
        <w:rPr/>
      </w:r>
      <w:hyperlink w:history="true" w:anchor="_bookmark755">
        <w:r>
          <w:rPr>
            <w:color w:val="005DA1"/>
            <w:spacing w:val="-4"/>
            <w:position w:val="5"/>
            <w:sz w:val="14"/>
            <w:u w:val="single" w:color="005DA1"/>
          </w:rPr>
          <w:t>452</w:t>
        </w:r>
      </w:hyperlink>
      <w:r>
        <w:rPr>
          <w:spacing w:val="-4"/>
          <w:position w:val="5"/>
          <w:sz w:val="14"/>
        </w:rPr>
        <w:t>.</w:t>
      </w:r>
      <w:r>
        <w:rPr>
          <w:position w:val="5"/>
          <w:sz w:val="14"/>
        </w:rPr>
        <w:tab/>
      </w:r>
      <w:r>
        <w:rPr/>
        <w:t>2002 Regulations </w:t>
      </w:r>
      <w:r>
        <w:rPr>
          <w:spacing w:val="-2"/>
        </w:rPr>
        <w:t>reg.15(1).</w:t>
      </w:r>
    </w:p>
    <w:p>
      <w:pPr>
        <w:pStyle w:val="BodyText"/>
        <w:spacing w:before="5"/>
      </w:pPr>
    </w:p>
    <w:p>
      <w:pPr>
        <w:tabs>
          <w:tab w:pos="705" w:val="left" w:leader="none"/>
        </w:tabs>
        <w:spacing w:before="0"/>
        <w:ind w:left="165" w:right="0" w:firstLine="0"/>
        <w:jc w:val="left"/>
        <w:rPr>
          <w:sz w:val="20"/>
        </w:rPr>
      </w:pPr>
      <w:bookmarkStart w:name="_bookmark881" w:id="883"/>
      <w:bookmarkEnd w:id="883"/>
      <w:r>
        <w:rPr/>
      </w:r>
      <w:hyperlink w:history="true" w:anchor="_bookmark756">
        <w:r>
          <w:rPr>
            <w:color w:val="005DA1"/>
            <w:spacing w:val="-4"/>
            <w:position w:val="5"/>
            <w:sz w:val="14"/>
            <w:u w:val="single" w:color="005DA1"/>
          </w:rPr>
          <w:t>453</w:t>
        </w:r>
      </w:hyperlink>
      <w:r>
        <w:rPr>
          <w:spacing w:val="-4"/>
          <w:position w:val="5"/>
          <w:sz w:val="14"/>
        </w:rPr>
        <w:t>.</w:t>
      </w:r>
      <w:r>
        <w:rPr>
          <w:position w:val="5"/>
          <w:sz w:val="14"/>
        </w:rPr>
        <w:tab/>
      </w:r>
      <w:r>
        <w:rPr>
          <w:rFonts w:ascii="Arial" w:hAnsi="Arial"/>
          <w:i/>
          <w:sz w:val="20"/>
        </w:rPr>
        <w:t>[1979]</w:t>
      </w:r>
      <w:r>
        <w:rPr>
          <w:rFonts w:ascii="Arial" w:hAnsi="Arial"/>
          <w:i/>
          <w:spacing w:val="-1"/>
          <w:sz w:val="20"/>
        </w:rPr>
        <w:t> </w:t>
      </w:r>
      <w:r>
        <w:rPr>
          <w:rFonts w:ascii="Arial" w:hAnsi="Arial"/>
          <w:i/>
          <w:sz w:val="20"/>
        </w:rPr>
        <w:t>2 Lloyd’s Rep. 391</w:t>
      </w:r>
      <w:r>
        <w:rPr>
          <w:sz w:val="20"/>
        </w:rPr>
        <w:t>, on appeal (as to costs only)</w:t>
      </w:r>
      <w:r>
        <w:rPr>
          <w:spacing w:val="-1"/>
          <w:sz w:val="20"/>
        </w:rPr>
        <w:t> </w:t>
      </w:r>
      <w:r>
        <w:rPr>
          <w:rFonts w:ascii="Arial" w:hAnsi="Arial"/>
          <w:i/>
          <w:sz w:val="20"/>
        </w:rPr>
        <w:t>[1981] 1 Lloyd’s Rep. </w:t>
      </w:r>
      <w:r>
        <w:rPr>
          <w:rFonts w:ascii="Arial" w:hAnsi="Arial"/>
          <w:i/>
          <w:spacing w:val="-4"/>
          <w:sz w:val="20"/>
        </w:rPr>
        <w:t>434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82" w:id="884"/>
      <w:bookmarkEnd w:id="884"/>
      <w:r>
        <w:rPr/>
      </w:r>
      <w:hyperlink w:history="true" w:anchor="_bookmark757">
        <w:r>
          <w:rPr>
            <w:color w:val="005DA1"/>
            <w:spacing w:val="-4"/>
            <w:position w:val="5"/>
            <w:sz w:val="14"/>
            <w:u w:val="single" w:color="005DA1"/>
          </w:rPr>
          <w:t>454</w:t>
        </w:r>
      </w:hyperlink>
      <w:r>
        <w:rPr>
          <w:spacing w:val="-4"/>
          <w:position w:val="5"/>
          <w:sz w:val="14"/>
        </w:rPr>
        <w:t>.</w:t>
      </w:r>
      <w:r>
        <w:rPr>
          <w:position w:val="5"/>
          <w:sz w:val="14"/>
        </w:rPr>
        <w:tab/>
      </w:r>
      <w:r>
        <w:rPr>
          <w:rFonts w:ascii="Arial"/>
          <w:i/>
          <w:sz w:val="20"/>
        </w:rPr>
        <w:t>Henderson</w:t>
      </w:r>
      <w:r>
        <w:rPr>
          <w:rFonts w:ascii="Arial"/>
          <w:i/>
          <w:spacing w:val="-1"/>
          <w:sz w:val="20"/>
        </w:rPr>
        <w:t> </w:t>
      </w:r>
      <w:r>
        <w:rPr>
          <w:rFonts w:ascii="Arial"/>
          <w:i/>
          <w:sz w:val="20"/>
        </w:rPr>
        <w:t>v Merrett Syndicates Ltd [1995] 2 A.C. 145</w:t>
      </w:r>
      <w:r>
        <w:rPr>
          <w:sz w:val="20"/>
        </w:rPr>
        <w:t>; above, paras 1-154 et </w:t>
      </w:r>
      <w:r>
        <w:rPr>
          <w:spacing w:val="-4"/>
          <w:sz w:val="20"/>
        </w:rPr>
        <w:t>seq.</w:t>
      </w:r>
    </w:p>
    <w:p>
      <w:pPr>
        <w:pStyle w:val="BodyText"/>
        <w:spacing w:before="5"/>
      </w:pPr>
    </w:p>
    <w:p>
      <w:pPr>
        <w:tabs>
          <w:tab w:pos="705" w:val="left" w:leader="none"/>
        </w:tabs>
        <w:spacing w:before="0"/>
        <w:ind w:left="165" w:right="0" w:firstLine="0"/>
        <w:jc w:val="left"/>
        <w:rPr>
          <w:sz w:val="20"/>
        </w:rPr>
      </w:pPr>
      <w:bookmarkStart w:name="_bookmark883" w:id="885"/>
      <w:bookmarkEnd w:id="885"/>
      <w:r>
        <w:rPr/>
      </w:r>
      <w:hyperlink w:history="true" w:anchor="_bookmark758">
        <w:r>
          <w:rPr>
            <w:color w:val="005DA1"/>
            <w:spacing w:val="-4"/>
            <w:position w:val="5"/>
            <w:sz w:val="14"/>
            <w:u w:val="single" w:color="005DA1"/>
          </w:rPr>
          <w:t>455</w:t>
        </w:r>
      </w:hyperlink>
      <w:r>
        <w:rPr>
          <w:spacing w:val="-4"/>
          <w:position w:val="5"/>
          <w:sz w:val="14"/>
        </w:rPr>
        <w:t>.</w:t>
      </w:r>
      <w:r>
        <w:rPr>
          <w:position w:val="5"/>
          <w:sz w:val="14"/>
        </w:rPr>
        <w:tab/>
      </w:r>
      <w:r>
        <w:rPr>
          <w:rFonts w:ascii="Arial" w:hAnsi="Arial"/>
          <w:i/>
          <w:sz w:val="20"/>
        </w:rPr>
        <w:t>André &amp; Cie SA v Ets Michel Blanc &amp; Fils [1977] 2 Lloyd’s Rep. </w:t>
      </w:r>
      <w:r>
        <w:rPr>
          <w:rFonts w:ascii="Arial" w:hAnsi="Arial"/>
          <w:i/>
          <w:spacing w:val="-4"/>
          <w:sz w:val="20"/>
        </w:rPr>
        <w:t>166</w:t>
      </w:r>
      <w:r>
        <w:rPr>
          <w:spacing w:val="-4"/>
          <w:sz w:val="20"/>
        </w:rPr>
        <w:t>.</w:t>
      </w:r>
    </w:p>
    <w:p>
      <w:pPr>
        <w:spacing w:after="0"/>
        <w:jc w:val="left"/>
        <w:rPr>
          <w:sz w:val="20"/>
        </w:rPr>
        <w:sectPr>
          <w:pgSz w:w="11900" w:h="16840"/>
          <w:pgMar w:header="971" w:footer="0" w:top="1160" w:bottom="280" w:left="1275" w:right="1275"/>
        </w:sectPr>
      </w:pPr>
    </w:p>
    <w:p>
      <w:pPr>
        <w:pStyle w:val="BodyText"/>
        <w:spacing w:before="81"/>
      </w:pPr>
    </w:p>
    <w:p>
      <w:pPr>
        <w:pStyle w:val="BodyText"/>
        <w:tabs>
          <w:tab w:pos="705" w:val="left" w:leader="none"/>
        </w:tabs>
        <w:ind w:left="165"/>
      </w:pPr>
      <w:hyperlink w:history="true" w:anchor="_bookmark759">
        <w:r>
          <w:rPr>
            <w:color w:val="005DA1"/>
            <w:spacing w:val="-4"/>
            <w:position w:val="5"/>
            <w:sz w:val="14"/>
            <w:u w:val="single" w:color="005DA1"/>
          </w:rPr>
          <w:t>456</w:t>
        </w:r>
      </w:hyperlink>
      <w:r>
        <w:rPr>
          <w:spacing w:val="-4"/>
          <w:position w:val="5"/>
          <w:sz w:val="14"/>
        </w:rPr>
        <w:t>.</w:t>
      </w:r>
      <w:r>
        <w:rPr>
          <w:position w:val="5"/>
          <w:sz w:val="14"/>
        </w:rPr>
        <w:tab/>
      </w:r>
      <w:r>
        <w:rPr/>
        <w:t>See</w:t>
      </w:r>
      <w:r>
        <w:rPr>
          <w:spacing w:val="-2"/>
        </w:rPr>
        <w:t> </w:t>
      </w:r>
      <w:r>
        <w:rPr/>
        <w:t>above, para.7-</w:t>
      </w:r>
      <w:r>
        <w:rPr>
          <w:spacing w:val="-4"/>
        </w:rPr>
        <w:t>055.</w:t>
      </w:r>
    </w:p>
    <w:p>
      <w:pPr>
        <w:pStyle w:val="BodyText"/>
        <w:spacing w:before="5"/>
      </w:pPr>
    </w:p>
    <w:p>
      <w:pPr>
        <w:pStyle w:val="BodyText"/>
        <w:tabs>
          <w:tab w:pos="705" w:val="left" w:leader="none"/>
        </w:tabs>
        <w:ind w:left="165"/>
      </w:pPr>
      <w:bookmarkStart w:name="_bookmark884" w:id="886"/>
      <w:bookmarkEnd w:id="886"/>
      <w:r>
        <w:rPr/>
      </w:r>
      <w:hyperlink w:history="true" w:anchor="_bookmark760">
        <w:r>
          <w:rPr>
            <w:color w:val="005DA1"/>
            <w:spacing w:val="-4"/>
            <w:position w:val="5"/>
            <w:sz w:val="14"/>
            <w:u w:val="single" w:color="005DA1"/>
          </w:rPr>
          <w:t>457</w:t>
        </w:r>
      </w:hyperlink>
      <w:r>
        <w:rPr>
          <w:spacing w:val="-4"/>
          <w:position w:val="5"/>
          <w:sz w:val="14"/>
        </w:rPr>
        <w:t>.</w:t>
      </w:r>
      <w:r>
        <w:rPr>
          <w:position w:val="5"/>
          <w:sz w:val="14"/>
        </w:rPr>
        <w:tab/>
      </w:r>
      <w:r>
        <w:rPr/>
        <w:t>Compare</w:t>
      </w:r>
      <w:r>
        <w:rPr>
          <w:spacing w:val="-2"/>
        </w:rPr>
        <w:t> </w:t>
      </w:r>
      <w:r>
        <w:rPr/>
        <w:t>above, para.7-</w:t>
      </w:r>
      <w:r>
        <w:rPr>
          <w:spacing w:val="-4"/>
        </w:rPr>
        <w:t>056.</w:t>
      </w:r>
    </w:p>
    <w:p>
      <w:pPr>
        <w:pStyle w:val="BodyText"/>
        <w:spacing w:before="5"/>
      </w:pPr>
    </w:p>
    <w:p>
      <w:pPr>
        <w:tabs>
          <w:tab w:pos="705" w:val="left" w:leader="none"/>
        </w:tabs>
        <w:spacing w:before="0"/>
        <w:ind w:left="165" w:right="0" w:firstLine="0"/>
        <w:jc w:val="left"/>
        <w:rPr>
          <w:sz w:val="20"/>
        </w:rPr>
      </w:pPr>
      <w:bookmarkStart w:name="_bookmark885" w:id="887"/>
      <w:bookmarkEnd w:id="887"/>
      <w:r>
        <w:rPr/>
      </w:r>
      <w:hyperlink w:history="true" w:anchor="_bookmark760">
        <w:r>
          <w:rPr>
            <w:color w:val="005DA1"/>
            <w:spacing w:val="-4"/>
            <w:position w:val="5"/>
            <w:sz w:val="14"/>
            <w:u w:val="single" w:color="005DA1"/>
          </w:rPr>
          <w:t>458</w:t>
        </w:r>
      </w:hyperlink>
      <w:r>
        <w:rPr>
          <w:spacing w:val="-4"/>
          <w:position w:val="5"/>
          <w:sz w:val="14"/>
        </w:rPr>
        <w:t>.</w:t>
      </w:r>
      <w:r>
        <w:rPr>
          <w:position w:val="5"/>
          <w:sz w:val="14"/>
        </w:rPr>
        <w:tab/>
      </w:r>
      <w:r>
        <w:rPr>
          <w:sz w:val="20"/>
        </w:rPr>
        <w:t>Above, para.7-</w:t>
      </w:r>
      <w:r>
        <w:rPr>
          <w:spacing w:val="-4"/>
          <w:sz w:val="20"/>
        </w:rPr>
        <w:t>082.</w:t>
      </w:r>
    </w:p>
    <w:p>
      <w:pPr>
        <w:pStyle w:val="BodyText"/>
        <w:spacing w:before="5"/>
      </w:pPr>
    </w:p>
    <w:p>
      <w:pPr>
        <w:tabs>
          <w:tab w:pos="705" w:val="left" w:leader="none"/>
        </w:tabs>
        <w:spacing w:before="0"/>
        <w:ind w:left="165" w:right="0" w:firstLine="0"/>
        <w:jc w:val="left"/>
        <w:rPr>
          <w:sz w:val="20"/>
        </w:rPr>
      </w:pPr>
      <w:bookmarkStart w:name="_bookmark886" w:id="888"/>
      <w:bookmarkEnd w:id="888"/>
      <w:r>
        <w:rPr/>
      </w:r>
      <w:hyperlink w:history="true" w:anchor="_bookmark761">
        <w:r>
          <w:rPr>
            <w:color w:val="005DA1"/>
            <w:spacing w:val="-4"/>
            <w:position w:val="5"/>
            <w:sz w:val="14"/>
            <w:u w:val="single" w:color="005DA1"/>
          </w:rPr>
          <w:t>459</w:t>
        </w:r>
      </w:hyperlink>
      <w:r>
        <w:rPr>
          <w:spacing w:val="-4"/>
          <w:position w:val="5"/>
          <w:sz w:val="14"/>
        </w:rPr>
        <w:t>.</w:t>
      </w:r>
      <w:r>
        <w:rPr>
          <w:position w:val="5"/>
          <w:sz w:val="14"/>
        </w:rPr>
        <w:tab/>
      </w:r>
      <w:r>
        <w:rPr>
          <w:rFonts w:ascii="Arial"/>
          <w:i/>
          <w:sz w:val="20"/>
        </w:rPr>
        <w:t>[1997]</w:t>
      </w:r>
      <w:r>
        <w:rPr>
          <w:rFonts w:ascii="Arial"/>
          <w:i/>
          <w:spacing w:val="-1"/>
          <w:sz w:val="20"/>
        </w:rPr>
        <w:t> </w:t>
      </w:r>
      <w:r>
        <w:rPr>
          <w:rFonts w:ascii="Arial"/>
          <w:i/>
          <w:sz w:val="20"/>
        </w:rPr>
        <w:t>A.C. 191</w:t>
      </w:r>
      <w:r>
        <w:rPr>
          <w:sz w:val="20"/>
        </w:rPr>
        <w:t>; above, para.7-064 and below, para.26-</w:t>
      </w:r>
      <w:r>
        <w:rPr>
          <w:spacing w:val="-4"/>
          <w:sz w:val="20"/>
        </w:rPr>
        <w:t>168.</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8064">
            <wp:simplePos x="0" y="0"/>
            <wp:positionH relativeFrom="page">
              <wp:posOffset>1257846</wp:posOffset>
            </wp:positionH>
            <wp:positionV relativeFrom="paragraph">
              <wp:posOffset>160262</wp:posOffset>
            </wp:positionV>
            <wp:extent cx="107988" cy="107988"/>
            <wp:effectExtent l="0" t="0" r="0" b="0"/>
            <wp:wrapNone/>
            <wp:docPr id="166" name="Image 166"/>
            <wp:cNvGraphicFramePr>
              <a:graphicFrameLocks/>
            </wp:cNvGraphicFramePr>
            <a:graphic>
              <a:graphicData uri="http://schemas.openxmlformats.org/drawingml/2006/picture">
                <pic:pic>
                  <pic:nvPicPr>
                    <pic:cNvPr id="166" name="Image 16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887" w:id="889"/>
      <w:bookmarkEnd w:id="889"/>
      <w:r>
        <w:rPr/>
      </w:r>
      <w:hyperlink w:history="true" w:anchor="_bookmark762">
        <w:r>
          <w:rPr>
            <w:color w:val="005DA1"/>
            <w:spacing w:val="-4"/>
            <w:sz w:val="14"/>
            <w:u w:val="single" w:color="005DA1"/>
          </w:rPr>
          <w:t>460</w:t>
        </w:r>
      </w:hyperlink>
      <w:r>
        <w:rPr>
          <w:spacing w:val="-4"/>
          <w:sz w:val="14"/>
        </w:rPr>
        <w:t>.</w:t>
      </w:r>
    </w:p>
    <w:p>
      <w:pPr>
        <w:spacing w:line="235" w:lineRule="auto" w:before="212"/>
        <w:ind w:left="165" w:right="167" w:firstLine="170"/>
        <w:jc w:val="both"/>
        <w:rPr>
          <w:sz w:val="20"/>
        </w:rPr>
      </w:pPr>
      <w:r>
        <w:rPr/>
        <w:br w:type="column"/>
      </w:r>
      <w:r>
        <w:rPr>
          <w:sz w:val="20"/>
        </w:rPr>
        <w:t>Financial Services Act 2012 ss.89–92 impose criminal liability for knowingly or </w:t>
      </w:r>
      <w:r>
        <w:rPr>
          <w:sz w:val="20"/>
        </w:rPr>
        <w:t>recklessly making false or misleading statements in relation to financial services, impressions as to the market in or the price or value of any relevant investments or false or misleading statements in relation to benchmarks; but it does not appear that there will be civil liability. These sections replace Financial Services and Markets Act 2000 s.397, that section replacing Financial Services Act 1986 s.47, which was held not to confer any right to damages or other civil</w:t>
      </w:r>
      <w:r>
        <w:rPr>
          <w:spacing w:val="40"/>
          <w:sz w:val="20"/>
        </w:rPr>
        <w:t> </w:t>
      </w:r>
      <w:r>
        <w:rPr>
          <w:sz w:val="20"/>
        </w:rPr>
        <w:t>remedy: </w:t>
      </w:r>
      <w:r>
        <w:rPr>
          <w:rFonts w:ascii="Arial" w:hAnsi="Arial"/>
          <w:i/>
          <w:sz w:val="20"/>
        </w:rPr>
        <w:t>Norwich Union Life Insurance Society v Qureshi [1999] 2 All E.R. (Comm) 707, CA</w:t>
      </w:r>
      <w:r>
        <w:rPr>
          <w:sz w:val="20"/>
        </w:rPr>
        <w:t>. See further Cartwright, </w:t>
      </w:r>
      <w:r>
        <w:rPr>
          <w:rFonts w:ascii="Arial" w:hAnsi="Arial"/>
          <w:i/>
          <w:sz w:val="20"/>
        </w:rPr>
        <w:t>Misrepresentation, Mistake and Non-disclosure</w:t>
      </w:r>
      <w:r>
        <w:rPr>
          <w:sz w:val="20"/>
        </w:rPr>
        <w:t>, 4th edn (2016), paras</w:t>
      </w:r>
      <w:r>
        <w:rPr>
          <w:spacing w:val="40"/>
          <w:sz w:val="20"/>
        </w:rPr>
        <w:t> </w:t>
      </w:r>
      <w:r>
        <w:rPr>
          <w:sz w:val="20"/>
        </w:rPr>
        <w:t>7-82–7-83. For the possibility of a restitution order on the basis that the conduct may constitute market abuse within the Market Abuse Regulation (Regulation (EU) 596/2014) see Gower &amp; Davies, </w:t>
      </w:r>
      <w:r>
        <w:rPr>
          <w:rFonts w:ascii="Arial" w:hAnsi="Arial"/>
          <w:i/>
          <w:sz w:val="20"/>
        </w:rPr>
        <w:t>Principles of Modern Company Law</w:t>
      </w:r>
      <w:r>
        <w:rPr>
          <w:sz w:val="20"/>
        </w:rPr>
        <w:t>, 10th edn (2016), paras 30-51 and 30-55 and cf. </w:t>
      </w:r>
      <w:r>
        <w:rPr>
          <w:rFonts w:ascii="Arial" w:hAnsi="Arial"/>
          <w:i/>
          <w:sz w:val="20"/>
        </w:rPr>
        <w:t>Securities and Investments Board Ltd v Pantell SA (No.2) [1993] Ch. 256</w:t>
      </w:r>
      <w:r>
        <w:rPr>
          <w:sz w:val="20"/>
        </w:rPr>
        <w:t>, decided under Financial Services Act 1986.</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5"/>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8576">
            <wp:simplePos x="0" y="0"/>
            <wp:positionH relativeFrom="page">
              <wp:posOffset>1257846</wp:posOffset>
            </wp:positionH>
            <wp:positionV relativeFrom="paragraph">
              <wp:posOffset>160300</wp:posOffset>
            </wp:positionV>
            <wp:extent cx="107988" cy="107988"/>
            <wp:effectExtent l="0" t="0" r="0" b="0"/>
            <wp:wrapNone/>
            <wp:docPr id="167" name="Image 167"/>
            <wp:cNvGraphicFramePr>
              <a:graphicFrameLocks/>
            </wp:cNvGraphicFramePr>
            <a:graphic>
              <a:graphicData uri="http://schemas.openxmlformats.org/drawingml/2006/picture">
                <pic:pic>
                  <pic:nvPicPr>
                    <pic:cNvPr id="167" name="Image 16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888" w:id="890"/>
      <w:bookmarkEnd w:id="890"/>
      <w:r>
        <w:rPr/>
      </w:r>
      <w:hyperlink w:history="true" w:anchor="_bookmark763">
        <w:r>
          <w:rPr>
            <w:color w:val="005DA1"/>
            <w:spacing w:val="-4"/>
            <w:sz w:val="14"/>
            <w:u w:val="single" w:color="005DA1"/>
          </w:rPr>
          <w:t>461</w:t>
        </w:r>
      </w:hyperlink>
      <w:r>
        <w:rPr>
          <w:spacing w:val="-4"/>
          <w:sz w:val="14"/>
        </w:rPr>
        <w:t>.</w:t>
      </w:r>
    </w:p>
    <w:p>
      <w:pPr>
        <w:spacing w:line="235" w:lineRule="auto" w:before="212"/>
        <w:ind w:left="165" w:right="167" w:firstLine="170"/>
        <w:jc w:val="both"/>
        <w:rPr>
          <w:sz w:val="20"/>
        </w:rPr>
      </w:pPr>
      <w:r>
        <w:rPr/>
        <w:br w:type="column"/>
      </w:r>
      <w:r>
        <w:rPr>
          <w:sz w:val="20"/>
        </w:rPr>
        <w:t>See generally, Gower &amp; Davies, </w:t>
      </w:r>
      <w:r>
        <w:rPr>
          <w:rFonts w:ascii="Arial" w:hAnsi="Arial"/>
          <w:i/>
          <w:sz w:val="20"/>
        </w:rPr>
        <w:t>Principles of Modern Company Law</w:t>
      </w:r>
      <w:r>
        <w:rPr>
          <w:sz w:val="20"/>
        </w:rPr>
        <w:t>, 10th edn (2016), </w:t>
      </w:r>
      <w:r>
        <w:rPr>
          <w:sz w:val="20"/>
        </w:rPr>
        <w:t>paras 25–10 et seq.; Cartwright, </w:t>
      </w:r>
      <w:r>
        <w:rPr>
          <w:rFonts w:ascii="Arial" w:hAnsi="Arial"/>
          <w:i/>
          <w:sz w:val="20"/>
        </w:rPr>
        <w:t>Misrepresentation, Mistake and Non-disclosure</w:t>
      </w:r>
      <w:r>
        <w:rPr>
          <w:sz w:val="20"/>
        </w:rPr>
        <w:t>, 4th edn (2016), paras</w:t>
      </w:r>
      <w:r>
        <w:rPr>
          <w:spacing w:val="40"/>
          <w:sz w:val="20"/>
        </w:rPr>
        <w:t> </w:t>
      </w:r>
      <w:r>
        <w:rPr>
          <w:sz w:val="20"/>
        </w:rPr>
        <w:t>7-49</w:t>
      </w:r>
      <w:r>
        <w:rPr>
          <w:spacing w:val="40"/>
          <w:sz w:val="20"/>
        </w:rPr>
        <w:t> </w:t>
      </w:r>
      <w:r>
        <w:rPr>
          <w:sz w:val="20"/>
        </w:rPr>
        <w:t>et</w:t>
      </w:r>
      <w:r>
        <w:rPr>
          <w:spacing w:val="40"/>
          <w:sz w:val="20"/>
        </w:rPr>
        <w:t> </w:t>
      </w:r>
      <w:r>
        <w:rPr>
          <w:sz w:val="20"/>
        </w:rPr>
        <w:t>seq..</w:t>
      </w:r>
      <w:r>
        <w:rPr>
          <w:spacing w:val="40"/>
          <w:sz w:val="20"/>
        </w:rPr>
        <w:t> </w:t>
      </w:r>
      <w:r>
        <w:rPr>
          <w:sz w:val="20"/>
        </w:rPr>
        <w:t>For</w:t>
      </w:r>
      <w:r>
        <w:rPr>
          <w:spacing w:val="40"/>
          <w:sz w:val="20"/>
        </w:rPr>
        <w:t> </w:t>
      </w:r>
      <w:r>
        <w:rPr>
          <w:sz w:val="20"/>
        </w:rPr>
        <w:t>the</w:t>
      </w:r>
      <w:r>
        <w:rPr>
          <w:spacing w:val="40"/>
          <w:sz w:val="20"/>
        </w:rPr>
        <w:t> </w:t>
      </w:r>
      <w:r>
        <w:rPr>
          <w:sz w:val="20"/>
        </w:rPr>
        <w:t>duties</w:t>
      </w:r>
      <w:r>
        <w:rPr>
          <w:spacing w:val="40"/>
          <w:sz w:val="20"/>
        </w:rPr>
        <w:t> </w:t>
      </w:r>
      <w:r>
        <w:rPr>
          <w:sz w:val="20"/>
        </w:rPr>
        <w:t>of</w:t>
      </w:r>
      <w:r>
        <w:rPr>
          <w:spacing w:val="40"/>
          <w:sz w:val="20"/>
        </w:rPr>
        <w:t> </w:t>
      </w:r>
      <w:r>
        <w:rPr>
          <w:sz w:val="20"/>
        </w:rPr>
        <w:t>disclosure</w:t>
      </w:r>
      <w:r>
        <w:rPr>
          <w:spacing w:val="40"/>
          <w:sz w:val="20"/>
        </w:rPr>
        <w:t> </w:t>
      </w:r>
      <w:r>
        <w:rPr>
          <w:sz w:val="20"/>
        </w:rPr>
        <w:t>imposed</w:t>
      </w:r>
      <w:r>
        <w:rPr>
          <w:spacing w:val="40"/>
          <w:sz w:val="20"/>
        </w:rPr>
        <w:t> </w:t>
      </w:r>
      <w:r>
        <w:rPr>
          <w:sz w:val="20"/>
        </w:rPr>
        <w:t>by</w:t>
      </w:r>
      <w:r>
        <w:rPr>
          <w:spacing w:val="40"/>
          <w:sz w:val="20"/>
        </w:rPr>
        <w:t> </w:t>
      </w:r>
      <w:r>
        <w:rPr>
          <w:sz w:val="20"/>
        </w:rPr>
        <w:t>these</w:t>
      </w:r>
      <w:r>
        <w:rPr>
          <w:spacing w:val="40"/>
          <w:sz w:val="20"/>
        </w:rPr>
        <w:t> </w:t>
      </w:r>
      <w:r>
        <w:rPr>
          <w:sz w:val="20"/>
        </w:rPr>
        <w:t>provisions</w:t>
      </w:r>
      <w:r>
        <w:rPr>
          <w:spacing w:val="40"/>
          <w:sz w:val="20"/>
        </w:rPr>
        <w:t> </w:t>
      </w:r>
      <w:r>
        <w:rPr>
          <w:sz w:val="20"/>
        </w:rPr>
        <w:t>see</w:t>
      </w:r>
      <w:r>
        <w:rPr>
          <w:spacing w:val="40"/>
          <w:sz w:val="20"/>
        </w:rPr>
        <w:t> </w:t>
      </w:r>
      <w:r>
        <w:rPr>
          <w:sz w:val="20"/>
        </w:rPr>
        <w:t>below, </w:t>
      </w:r>
      <w:r>
        <w:rPr>
          <w:spacing w:val="-2"/>
          <w:sz w:val="20"/>
        </w:rPr>
        <w:t>para.7-169.</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8"/>
      </w:pPr>
    </w:p>
    <w:p>
      <w:pPr>
        <w:pStyle w:val="BodyText"/>
        <w:tabs>
          <w:tab w:pos="705" w:val="left" w:leader="none"/>
        </w:tabs>
        <w:spacing w:line="235" w:lineRule="auto"/>
        <w:ind w:left="705" w:right="168" w:hanging="541"/>
      </w:pPr>
      <w:bookmarkStart w:name="_bookmark889" w:id="891"/>
      <w:bookmarkEnd w:id="891"/>
      <w:r>
        <w:rPr/>
      </w:r>
      <w:hyperlink w:history="true" w:anchor="_bookmark764">
        <w:r>
          <w:rPr>
            <w:color w:val="005DA1"/>
            <w:spacing w:val="-4"/>
            <w:position w:val="5"/>
            <w:sz w:val="14"/>
            <w:u w:val="single" w:color="005DA1"/>
          </w:rPr>
          <w:t>462</w:t>
        </w:r>
      </w:hyperlink>
      <w:r>
        <w:rPr>
          <w:spacing w:val="-4"/>
          <w:position w:val="5"/>
          <w:sz w:val="14"/>
        </w:rPr>
        <w:t>.</w:t>
      </w:r>
      <w:r>
        <w:rPr>
          <w:position w:val="5"/>
          <w:sz w:val="14"/>
        </w:rPr>
        <w:tab/>
      </w:r>
      <w:r>
        <w:rPr/>
        <w:t>Thus</w:t>
      </w:r>
      <w:r>
        <w:rPr>
          <w:spacing w:val="64"/>
        </w:rPr>
        <w:t> </w:t>
      </w:r>
      <w:r>
        <w:rPr/>
        <w:t>investors</w:t>
      </w:r>
      <w:r>
        <w:rPr>
          <w:spacing w:val="64"/>
        </w:rPr>
        <w:t> </w:t>
      </w:r>
      <w:r>
        <w:rPr/>
        <w:t>who</w:t>
      </w:r>
      <w:r>
        <w:rPr>
          <w:spacing w:val="64"/>
        </w:rPr>
        <w:t> </w:t>
      </w:r>
      <w:r>
        <w:rPr/>
        <w:t>have</w:t>
      </w:r>
      <w:r>
        <w:rPr>
          <w:spacing w:val="64"/>
        </w:rPr>
        <w:t> </w:t>
      </w:r>
      <w:r>
        <w:rPr/>
        <w:t>bought</w:t>
      </w:r>
      <w:r>
        <w:rPr>
          <w:spacing w:val="64"/>
        </w:rPr>
        <w:t> </w:t>
      </w:r>
      <w:r>
        <w:rPr/>
        <w:t>on</w:t>
      </w:r>
      <w:r>
        <w:rPr>
          <w:spacing w:val="64"/>
        </w:rPr>
        <w:t> </w:t>
      </w:r>
      <w:r>
        <w:rPr/>
        <w:t>the</w:t>
      </w:r>
      <w:r>
        <w:rPr>
          <w:spacing w:val="64"/>
        </w:rPr>
        <w:t> </w:t>
      </w:r>
      <w:r>
        <w:rPr/>
        <w:t>market</w:t>
      </w:r>
      <w:r>
        <w:rPr>
          <w:spacing w:val="64"/>
        </w:rPr>
        <w:t> </w:t>
      </w:r>
      <w:r>
        <w:rPr/>
        <w:t>after</w:t>
      </w:r>
      <w:r>
        <w:rPr>
          <w:spacing w:val="64"/>
        </w:rPr>
        <w:t> </w:t>
      </w:r>
      <w:r>
        <w:rPr/>
        <w:t>dealing</w:t>
      </w:r>
      <w:r>
        <w:rPr>
          <w:spacing w:val="64"/>
        </w:rPr>
        <w:t> </w:t>
      </w:r>
      <w:r>
        <w:rPr/>
        <w:t>has</w:t>
      </w:r>
      <w:r>
        <w:rPr>
          <w:spacing w:val="64"/>
        </w:rPr>
        <w:t> </w:t>
      </w:r>
      <w:r>
        <w:rPr/>
        <w:t>commenced</w:t>
      </w:r>
      <w:r>
        <w:rPr>
          <w:spacing w:val="64"/>
        </w:rPr>
        <w:t> </w:t>
      </w:r>
      <w:r>
        <w:rPr/>
        <w:t>are</w:t>
      </w:r>
      <w:r>
        <w:rPr>
          <w:spacing w:val="64"/>
        </w:rPr>
        <w:t> </w:t>
      </w:r>
      <w:r>
        <w:rPr/>
        <w:t>now </w:t>
      </w:r>
      <w:r>
        <w:rPr>
          <w:spacing w:val="-2"/>
        </w:rPr>
        <w:t>protected.</w:t>
      </w:r>
    </w:p>
    <w:p>
      <w:pPr>
        <w:pStyle w:val="BodyText"/>
        <w:spacing w:before="9"/>
      </w:pPr>
    </w:p>
    <w:p>
      <w:pPr>
        <w:pStyle w:val="BodyText"/>
        <w:spacing w:line="235" w:lineRule="auto" w:before="1"/>
        <w:ind w:left="705" w:right="167" w:hanging="541"/>
        <w:jc w:val="both"/>
      </w:pPr>
      <w:bookmarkStart w:name="_bookmark890" w:id="892"/>
      <w:bookmarkEnd w:id="892"/>
      <w:r>
        <w:rPr/>
      </w:r>
      <w:hyperlink w:history="true" w:anchor="_bookmark765">
        <w:r>
          <w:rPr>
            <w:color w:val="005DA1"/>
            <w:position w:val="5"/>
            <w:sz w:val="14"/>
            <w:u w:val="single" w:color="005DA1"/>
          </w:rPr>
          <w:t>463</w:t>
        </w:r>
      </w:hyperlink>
      <w:r>
        <w:rPr>
          <w:position w:val="5"/>
          <w:sz w:val="14"/>
        </w:rPr>
        <w:t>.</w:t>
      </w:r>
      <w:r>
        <w:rPr>
          <w:spacing w:val="40"/>
          <w:position w:val="5"/>
          <w:sz w:val="14"/>
        </w:rPr>
        <w:t>  </w:t>
      </w:r>
      <w:r>
        <w:rPr/>
        <w:t>Financial</w:t>
      </w:r>
      <w:r>
        <w:rPr>
          <w:spacing w:val="-1"/>
        </w:rPr>
        <w:t> </w:t>
      </w:r>
      <w:r>
        <w:rPr/>
        <w:t>Services</w:t>
      </w:r>
      <w:r>
        <w:rPr>
          <w:spacing w:val="-1"/>
        </w:rPr>
        <w:t> </w:t>
      </w:r>
      <w:r>
        <w:rPr/>
        <w:t>and</w:t>
      </w:r>
      <w:r>
        <w:rPr>
          <w:spacing w:val="-1"/>
        </w:rPr>
        <w:t> </w:t>
      </w:r>
      <w:r>
        <w:rPr/>
        <w:t>Markets</w:t>
      </w:r>
      <w:r>
        <w:rPr>
          <w:spacing w:val="-1"/>
        </w:rPr>
        <w:t> </w:t>
      </w:r>
      <w:r>
        <w:rPr/>
        <w:t>Act</w:t>
      </w:r>
      <w:r>
        <w:rPr>
          <w:spacing w:val="-1"/>
        </w:rPr>
        <w:t> </w:t>
      </w:r>
      <w:r>
        <w:rPr/>
        <w:t>2000</w:t>
      </w:r>
      <w:r>
        <w:rPr>
          <w:spacing w:val="-1"/>
        </w:rPr>
        <w:t> </w:t>
      </w:r>
      <w:r>
        <w:rPr/>
        <w:t>ss.85,</w:t>
      </w:r>
      <w:r>
        <w:rPr>
          <w:spacing w:val="-1"/>
        </w:rPr>
        <w:t> </w:t>
      </w:r>
      <w:r>
        <w:rPr/>
        <w:t>90(1).</w:t>
      </w:r>
      <w:r>
        <w:rPr>
          <w:spacing w:val="-1"/>
        </w:rPr>
        <w:t> </w:t>
      </w:r>
      <w:r>
        <w:rPr/>
        <w:t>Note</w:t>
      </w:r>
      <w:r>
        <w:rPr>
          <w:spacing w:val="-1"/>
        </w:rPr>
        <w:t> </w:t>
      </w:r>
      <w:r>
        <w:rPr/>
        <w:t>that</w:t>
      </w:r>
      <w:r>
        <w:rPr>
          <w:spacing w:val="-1"/>
        </w:rPr>
        <w:t> </w:t>
      </w:r>
      <w:r>
        <w:rPr/>
        <w:t>s.90</w:t>
      </w:r>
      <w:r>
        <w:rPr>
          <w:spacing w:val="-1"/>
        </w:rPr>
        <w:t> </w:t>
      </w:r>
      <w:r>
        <w:rPr/>
        <w:t>is</w:t>
      </w:r>
      <w:r>
        <w:rPr>
          <w:spacing w:val="-1"/>
        </w:rPr>
        <w:t> </w:t>
      </w:r>
      <w:r>
        <w:rPr/>
        <w:t>without</w:t>
      </w:r>
      <w:r>
        <w:rPr>
          <w:spacing w:val="-1"/>
        </w:rPr>
        <w:t> </w:t>
      </w:r>
      <w:r>
        <w:rPr/>
        <w:t>prejudice</w:t>
      </w:r>
      <w:r>
        <w:rPr>
          <w:spacing w:val="-1"/>
        </w:rPr>
        <w:t> </w:t>
      </w:r>
      <w:r>
        <w:rPr/>
        <w:t>to</w:t>
      </w:r>
      <w:r>
        <w:rPr>
          <w:spacing w:val="-1"/>
        </w:rPr>
        <w:t> </w:t>
      </w:r>
      <w:r>
        <w:rPr/>
        <w:t>any liability which may be incurred apart from the section or regulation: s.90(6). These </w:t>
      </w:r>
      <w:r>
        <w:rPr/>
        <w:t>provisions stem ultimately from the Directors Liability Act 1890, which was passed to reverse the effect of </w:t>
      </w:r>
      <w:r>
        <w:rPr>
          <w:rFonts w:ascii="Arial"/>
          <w:i/>
        </w:rPr>
        <w:t>Derry v Peek (1889) 14 App. Cas. 337</w:t>
      </w:r>
      <w:r>
        <w:rPr/>
        <w:t>, so far as it applied to prospectuses.</w:t>
      </w:r>
    </w:p>
    <w:p>
      <w:pPr>
        <w:pStyle w:val="BodyText"/>
        <w:spacing w:before="8"/>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9088">
            <wp:simplePos x="0" y="0"/>
            <wp:positionH relativeFrom="page">
              <wp:posOffset>1257846</wp:posOffset>
            </wp:positionH>
            <wp:positionV relativeFrom="paragraph">
              <wp:posOffset>160454</wp:posOffset>
            </wp:positionV>
            <wp:extent cx="107988" cy="107988"/>
            <wp:effectExtent l="0" t="0" r="0" b="0"/>
            <wp:wrapNone/>
            <wp:docPr id="168" name="Image 168"/>
            <wp:cNvGraphicFramePr>
              <a:graphicFrameLocks/>
            </wp:cNvGraphicFramePr>
            <a:graphic>
              <a:graphicData uri="http://schemas.openxmlformats.org/drawingml/2006/picture">
                <pic:pic>
                  <pic:nvPicPr>
                    <pic:cNvPr id="168" name="Image 16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891" w:id="893"/>
      <w:bookmarkEnd w:id="893"/>
      <w:r>
        <w:rPr/>
      </w:r>
      <w:hyperlink w:history="true" w:anchor="_bookmark766">
        <w:r>
          <w:rPr>
            <w:color w:val="005DA1"/>
            <w:spacing w:val="-4"/>
            <w:sz w:val="14"/>
            <w:u w:val="single" w:color="005DA1"/>
          </w:rPr>
          <w:t>464</w:t>
        </w:r>
      </w:hyperlink>
      <w:r>
        <w:rPr>
          <w:spacing w:val="-4"/>
          <w:sz w:val="14"/>
        </w:rPr>
        <w:t>.</w:t>
      </w:r>
    </w:p>
    <w:p>
      <w:pPr>
        <w:pStyle w:val="BodyText"/>
        <w:spacing w:line="235" w:lineRule="auto" w:before="212"/>
        <w:ind w:left="165" w:right="167" w:firstLine="170"/>
        <w:jc w:val="both"/>
      </w:pPr>
      <w:r>
        <w:rPr/>
        <w:br w:type="column"/>
      </w:r>
      <w:r>
        <w:rPr/>
        <w:t>Financial</w:t>
      </w:r>
      <w:r>
        <w:rPr>
          <w:spacing w:val="-1"/>
        </w:rPr>
        <w:t> </w:t>
      </w:r>
      <w:r>
        <w:rPr/>
        <w:t>Services</w:t>
      </w:r>
      <w:r>
        <w:rPr>
          <w:spacing w:val="-1"/>
        </w:rPr>
        <w:t> </w:t>
      </w:r>
      <w:r>
        <w:rPr/>
        <w:t>and</w:t>
      </w:r>
      <w:r>
        <w:rPr>
          <w:spacing w:val="-1"/>
        </w:rPr>
        <w:t> </w:t>
      </w:r>
      <w:r>
        <w:rPr/>
        <w:t>Markets</w:t>
      </w:r>
      <w:r>
        <w:rPr>
          <w:spacing w:val="-1"/>
        </w:rPr>
        <w:t> </w:t>
      </w:r>
      <w:r>
        <w:rPr/>
        <w:t>Act</w:t>
      </w:r>
      <w:r>
        <w:rPr>
          <w:spacing w:val="-1"/>
        </w:rPr>
        <w:t> </w:t>
      </w:r>
      <w:r>
        <w:rPr/>
        <w:t>2000</w:t>
      </w:r>
      <w:r>
        <w:rPr>
          <w:spacing w:val="-1"/>
        </w:rPr>
        <w:t> </w:t>
      </w:r>
      <w:r>
        <w:rPr/>
        <w:t>Sch.10</w:t>
      </w:r>
      <w:r>
        <w:rPr>
          <w:spacing w:val="-1"/>
        </w:rPr>
        <w:t> </w:t>
      </w:r>
      <w:r>
        <w:rPr/>
        <w:t>para.1(2).</w:t>
      </w:r>
      <w:r>
        <w:rPr>
          <w:spacing w:val="-1"/>
        </w:rPr>
        <w:t> </w:t>
      </w:r>
      <w:r>
        <w:rPr/>
        <w:t>For</w:t>
      </w:r>
      <w:r>
        <w:rPr>
          <w:spacing w:val="-1"/>
        </w:rPr>
        <w:t> </w:t>
      </w:r>
      <w:r>
        <w:rPr/>
        <w:t>the</w:t>
      </w:r>
      <w:r>
        <w:rPr>
          <w:spacing w:val="-1"/>
        </w:rPr>
        <w:t> </w:t>
      </w:r>
      <w:r>
        <w:rPr/>
        <w:t>possible</w:t>
      </w:r>
      <w:r>
        <w:rPr>
          <w:spacing w:val="-1"/>
        </w:rPr>
        <w:t> </w:t>
      </w:r>
      <w:r>
        <w:rPr/>
        <w:t>application</w:t>
      </w:r>
      <w:r>
        <w:rPr>
          <w:spacing w:val="-1"/>
        </w:rPr>
        <w:t> </w:t>
      </w:r>
      <w:r>
        <w:rPr/>
        <w:t>of</w:t>
      </w:r>
      <w:r>
        <w:rPr>
          <w:spacing w:val="-1"/>
        </w:rPr>
        <w:t> </w:t>
      </w:r>
      <w:r>
        <w:rPr/>
        <w:t>the </w:t>
      </w:r>
      <w:r>
        <w:rPr>
          <w:rFonts w:ascii="Arial" w:hAnsi="Arial"/>
          <w:i/>
        </w:rPr>
        <w:t>Hedley Byrne </w:t>
      </w:r>
      <w:r>
        <w:rPr/>
        <w:t>principle (above, para.7-089) and of Misrepresentation Act 1967 </w:t>
      </w:r>
      <w:r>
        <w:rPr/>
        <w:t>to</w:t>
      </w:r>
      <w:r>
        <w:rPr>
          <w:spacing w:val="40"/>
        </w:rPr>
        <w:t> </w:t>
      </w:r>
      <w:r>
        <w:rPr/>
        <w:t>misstatements in prospectuses and particulars, see Gower &amp; Davies, </w:t>
      </w:r>
      <w:r>
        <w:rPr>
          <w:rFonts w:ascii="Arial" w:hAnsi="Arial"/>
          <w:i/>
        </w:rPr>
        <w:t>Principles of Modern Company Law</w:t>
      </w:r>
      <w:r>
        <w:rPr/>
        <w:t>, 10th edn (2016), paras 25-36—25-39.</w:t>
      </w:r>
    </w:p>
    <w:p>
      <w:pPr>
        <w:pStyle w:val="BodyText"/>
        <w:spacing w:after="0" w:line="235" w:lineRule="auto"/>
        <w:jc w:val="both"/>
        <w:sectPr>
          <w:type w:val="continuous"/>
          <w:pgSz w:w="11900" w:h="16840"/>
          <w:pgMar w:header="971" w:footer="0" w:top="1160" w:bottom="280" w:left="1275" w:right="1275"/>
          <w:cols w:num="2" w:equalWidth="0">
            <w:col w:w="478" w:space="63"/>
            <w:col w:w="8809"/>
          </w:cols>
        </w:sectPr>
      </w:pPr>
    </w:p>
    <w:p>
      <w:pPr>
        <w:pStyle w:val="BodyText"/>
        <w:spacing w:before="5"/>
      </w:pPr>
    </w:p>
    <w:p>
      <w:pPr>
        <w:pStyle w:val="BodyText"/>
        <w:tabs>
          <w:tab w:pos="705" w:val="left" w:leader="none"/>
        </w:tabs>
        <w:ind w:left="165"/>
      </w:pPr>
      <w:bookmarkStart w:name="_bookmark892" w:id="894"/>
      <w:bookmarkEnd w:id="894"/>
      <w:r>
        <w:rPr/>
      </w:r>
      <w:hyperlink w:history="true" w:anchor="_bookmark767">
        <w:r>
          <w:rPr>
            <w:color w:val="005DA1"/>
            <w:spacing w:val="-4"/>
            <w:position w:val="5"/>
            <w:sz w:val="14"/>
            <w:u w:val="single" w:color="005DA1"/>
          </w:rPr>
          <w:t>465</w:t>
        </w:r>
      </w:hyperlink>
      <w:r>
        <w:rPr>
          <w:spacing w:val="-4"/>
          <w:position w:val="5"/>
          <w:sz w:val="14"/>
        </w:rPr>
        <w:t>.</w:t>
      </w:r>
      <w:r>
        <w:rPr>
          <w:position w:val="5"/>
          <w:sz w:val="14"/>
        </w:rPr>
        <w:tab/>
      </w:r>
      <w:r>
        <w:rPr/>
        <w:t>See further below, para.7-</w:t>
      </w:r>
      <w:r>
        <w:rPr>
          <w:spacing w:val="-4"/>
        </w:rPr>
        <w:t>169.</w:t>
      </w:r>
    </w:p>
    <w:p>
      <w:pPr>
        <w:pStyle w:val="BodyText"/>
        <w:spacing w:before="5"/>
      </w:pPr>
    </w:p>
    <w:p>
      <w:pPr>
        <w:pStyle w:val="BodyText"/>
        <w:tabs>
          <w:tab w:pos="705" w:val="left" w:leader="none"/>
        </w:tabs>
        <w:ind w:left="165"/>
      </w:pPr>
      <w:bookmarkStart w:name="_bookmark893" w:id="895"/>
      <w:bookmarkEnd w:id="895"/>
      <w:r>
        <w:rPr/>
      </w:r>
      <w:hyperlink w:history="true" w:anchor="_bookmark768">
        <w:r>
          <w:rPr>
            <w:color w:val="005DA1"/>
            <w:spacing w:val="-4"/>
            <w:position w:val="5"/>
            <w:sz w:val="14"/>
            <w:u w:val="single" w:color="005DA1"/>
          </w:rPr>
          <w:t>466</w:t>
        </w:r>
      </w:hyperlink>
      <w:r>
        <w:rPr>
          <w:spacing w:val="-4"/>
          <w:position w:val="5"/>
          <w:sz w:val="14"/>
        </w:rPr>
        <w:t>.</w:t>
      </w:r>
      <w:r>
        <w:rPr>
          <w:position w:val="5"/>
          <w:sz w:val="14"/>
        </w:rPr>
        <w:tab/>
      </w:r>
      <w:r>
        <w:rPr/>
        <w:t>See Property Misdescriptions (Specified Matters) Order (SI </w:t>
      </w:r>
      <w:r>
        <w:rPr>
          <w:spacing w:val="-2"/>
        </w:rPr>
        <w:t>1992/2834).</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894" w:id="896"/>
      <w:bookmarkEnd w:id="896"/>
      <w:r>
        <w:rPr/>
      </w:r>
      <w:hyperlink w:history="true" w:anchor="_bookmark769">
        <w:r>
          <w:rPr>
            <w:color w:val="005DA1"/>
            <w:spacing w:val="-4"/>
            <w:position w:val="5"/>
            <w:sz w:val="14"/>
            <w:u w:val="single" w:color="005DA1"/>
          </w:rPr>
          <w:t>467</w:t>
        </w:r>
      </w:hyperlink>
      <w:r>
        <w:rPr>
          <w:spacing w:val="-4"/>
          <w:position w:val="5"/>
          <w:sz w:val="14"/>
        </w:rPr>
        <w:t>.</w:t>
      </w:r>
      <w:r>
        <w:rPr>
          <w:position w:val="5"/>
          <w:sz w:val="14"/>
        </w:rPr>
        <w:tab/>
      </w:r>
      <w:r>
        <w:rPr>
          <w:sz w:val="20"/>
        </w:rPr>
        <w:t>Property</w:t>
      </w:r>
      <w:r>
        <w:rPr>
          <w:spacing w:val="6"/>
          <w:sz w:val="20"/>
        </w:rPr>
        <w:t> </w:t>
      </w:r>
      <w:r>
        <w:rPr>
          <w:sz w:val="20"/>
        </w:rPr>
        <w:t>Misdescriptions</w:t>
      </w:r>
      <w:r>
        <w:rPr>
          <w:spacing w:val="8"/>
          <w:sz w:val="20"/>
        </w:rPr>
        <w:t> </w:t>
      </w:r>
      <w:r>
        <w:rPr>
          <w:sz w:val="20"/>
        </w:rPr>
        <w:t>Act</w:t>
      </w:r>
      <w:r>
        <w:rPr>
          <w:spacing w:val="8"/>
          <w:sz w:val="20"/>
        </w:rPr>
        <w:t> </w:t>
      </w:r>
      <w:r>
        <w:rPr>
          <w:sz w:val="20"/>
        </w:rPr>
        <w:t>1991</w:t>
      </w:r>
      <w:r>
        <w:rPr>
          <w:spacing w:val="8"/>
          <w:sz w:val="20"/>
        </w:rPr>
        <w:t> </w:t>
      </w:r>
      <w:r>
        <w:rPr>
          <w:sz w:val="20"/>
        </w:rPr>
        <w:t>s.2.</w:t>
      </w:r>
      <w:r>
        <w:rPr>
          <w:spacing w:val="8"/>
          <w:sz w:val="20"/>
        </w:rPr>
        <w:t> </w:t>
      </w:r>
      <w:r>
        <w:rPr>
          <w:sz w:val="20"/>
        </w:rPr>
        <w:t>See</w:t>
      </w:r>
      <w:r>
        <w:rPr>
          <w:spacing w:val="7"/>
          <w:sz w:val="20"/>
        </w:rPr>
        <w:t> </w:t>
      </w:r>
      <w:r>
        <w:rPr>
          <w:rFonts w:ascii="Arial"/>
          <w:i/>
          <w:sz w:val="20"/>
        </w:rPr>
        <w:t>Enfield</w:t>
      </w:r>
      <w:r>
        <w:rPr>
          <w:rFonts w:ascii="Arial"/>
          <w:i/>
          <w:spacing w:val="8"/>
          <w:sz w:val="20"/>
        </w:rPr>
        <w:t> </w:t>
      </w:r>
      <w:r>
        <w:rPr>
          <w:rFonts w:ascii="Arial"/>
          <w:i/>
          <w:sz w:val="20"/>
        </w:rPr>
        <w:t>LBC</w:t>
      </w:r>
      <w:r>
        <w:rPr>
          <w:rFonts w:ascii="Arial"/>
          <w:i/>
          <w:spacing w:val="8"/>
          <w:sz w:val="20"/>
        </w:rPr>
        <w:t> </w:t>
      </w:r>
      <w:r>
        <w:rPr>
          <w:rFonts w:ascii="Arial"/>
          <w:i/>
          <w:sz w:val="20"/>
        </w:rPr>
        <w:t>v</w:t>
      </w:r>
      <w:r>
        <w:rPr>
          <w:rFonts w:ascii="Arial"/>
          <w:i/>
          <w:spacing w:val="8"/>
          <w:sz w:val="20"/>
        </w:rPr>
        <w:t> </w:t>
      </w:r>
      <w:r>
        <w:rPr>
          <w:rFonts w:ascii="Arial"/>
          <w:i/>
          <w:sz w:val="20"/>
        </w:rPr>
        <w:t>Castles</w:t>
      </w:r>
      <w:r>
        <w:rPr>
          <w:rFonts w:ascii="Arial"/>
          <w:i/>
          <w:spacing w:val="8"/>
          <w:sz w:val="20"/>
        </w:rPr>
        <w:t> </w:t>
      </w:r>
      <w:r>
        <w:rPr>
          <w:rFonts w:ascii="Arial"/>
          <w:i/>
          <w:sz w:val="20"/>
        </w:rPr>
        <w:t>Estate</w:t>
      </w:r>
      <w:r>
        <w:rPr>
          <w:rFonts w:ascii="Arial"/>
          <w:i/>
          <w:spacing w:val="8"/>
          <w:sz w:val="20"/>
        </w:rPr>
        <w:t> </w:t>
      </w:r>
      <w:r>
        <w:rPr>
          <w:rFonts w:ascii="Arial"/>
          <w:i/>
          <w:sz w:val="20"/>
        </w:rPr>
        <w:t>Agents</w:t>
      </w:r>
      <w:r>
        <w:rPr>
          <w:rFonts w:ascii="Arial"/>
          <w:i/>
          <w:spacing w:val="8"/>
          <w:sz w:val="20"/>
        </w:rPr>
        <w:t> </w:t>
      </w:r>
      <w:r>
        <w:rPr>
          <w:rFonts w:ascii="Arial"/>
          <w:i/>
          <w:sz w:val="20"/>
        </w:rPr>
        <w:t>Ltd</w:t>
      </w:r>
      <w:r>
        <w:rPr>
          <w:rFonts w:ascii="Arial"/>
          <w:i/>
          <w:spacing w:val="8"/>
          <w:sz w:val="20"/>
        </w:rPr>
        <w:t> </w:t>
      </w:r>
      <w:r>
        <w:rPr>
          <w:rFonts w:ascii="Arial"/>
          <w:i/>
          <w:sz w:val="20"/>
        </w:rPr>
        <w:t>(1997)</w:t>
      </w:r>
      <w:r>
        <w:rPr>
          <w:rFonts w:ascii="Arial"/>
          <w:i/>
          <w:spacing w:val="8"/>
          <w:sz w:val="20"/>
        </w:rPr>
        <w:t> </w:t>
      </w:r>
      <w:r>
        <w:rPr>
          <w:rFonts w:ascii="Arial"/>
          <w:i/>
          <w:spacing w:val="-5"/>
          <w:sz w:val="20"/>
        </w:rPr>
        <w:t>73</w:t>
      </w:r>
    </w:p>
    <w:p>
      <w:pPr>
        <w:spacing w:line="227" w:lineRule="exact" w:before="0"/>
        <w:ind w:left="705" w:right="0" w:firstLine="0"/>
        <w:jc w:val="left"/>
        <w:rPr>
          <w:sz w:val="20"/>
        </w:rPr>
      </w:pPr>
      <w:r>
        <w:rPr>
          <w:rFonts w:ascii="Arial"/>
          <w:i/>
          <w:sz w:val="20"/>
        </w:rPr>
        <w:t>P.</w:t>
      </w:r>
      <w:r>
        <w:rPr>
          <w:rFonts w:ascii="Arial"/>
          <w:i/>
          <w:spacing w:val="-2"/>
          <w:sz w:val="20"/>
        </w:rPr>
        <w:t> </w:t>
      </w:r>
      <w:r>
        <w:rPr>
          <w:rFonts w:ascii="Arial"/>
          <w:i/>
          <w:sz w:val="20"/>
        </w:rPr>
        <w:t>&amp; C.R. </w:t>
      </w:r>
      <w:r>
        <w:rPr>
          <w:rFonts w:ascii="Arial"/>
          <w:i/>
          <w:spacing w:val="-4"/>
          <w:sz w:val="20"/>
        </w:rPr>
        <w:t>343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95" w:id="897"/>
      <w:bookmarkEnd w:id="897"/>
      <w:r>
        <w:rPr/>
      </w:r>
      <w:hyperlink w:history="true" w:anchor="_bookmark770">
        <w:r>
          <w:rPr>
            <w:color w:val="005DA1"/>
            <w:spacing w:val="-4"/>
            <w:position w:val="5"/>
            <w:sz w:val="14"/>
            <w:u w:val="single" w:color="005DA1"/>
          </w:rPr>
          <w:t>468</w:t>
        </w:r>
      </w:hyperlink>
      <w:r>
        <w:rPr>
          <w:spacing w:val="-4"/>
          <w:position w:val="5"/>
          <w:sz w:val="14"/>
        </w:rPr>
        <w:t>.</w:t>
      </w:r>
      <w:r>
        <w:rPr>
          <w:position w:val="5"/>
          <w:sz w:val="14"/>
        </w:rPr>
        <w:tab/>
      </w:r>
      <w:r>
        <w:rPr>
          <w:spacing w:val="-2"/>
          <w:sz w:val="20"/>
        </w:rPr>
        <w:t>s.1(4).</w:t>
      </w:r>
    </w:p>
    <w:p>
      <w:pPr>
        <w:pStyle w:val="BodyText"/>
        <w:spacing w:before="5"/>
      </w:pPr>
    </w:p>
    <w:p>
      <w:pPr>
        <w:pStyle w:val="BodyText"/>
        <w:tabs>
          <w:tab w:pos="705" w:val="left" w:leader="none"/>
        </w:tabs>
        <w:ind w:left="165"/>
      </w:pPr>
      <w:bookmarkStart w:name="_bookmark896" w:id="898"/>
      <w:bookmarkEnd w:id="898"/>
      <w:r>
        <w:rPr/>
      </w:r>
      <w:hyperlink w:history="true" w:anchor="_bookmark771">
        <w:r>
          <w:rPr>
            <w:color w:val="005DA1"/>
            <w:spacing w:val="-4"/>
            <w:position w:val="5"/>
            <w:sz w:val="14"/>
            <w:u w:val="single" w:color="005DA1"/>
          </w:rPr>
          <w:t>469</w:t>
        </w:r>
      </w:hyperlink>
      <w:r>
        <w:rPr>
          <w:spacing w:val="-4"/>
          <w:position w:val="5"/>
          <w:sz w:val="14"/>
        </w:rPr>
        <w:t>.</w:t>
      </w:r>
      <w:r>
        <w:rPr>
          <w:position w:val="5"/>
          <w:sz w:val="14"/>
        </w:rPr>
        <w:tab/>
      </w:r>
      <w:r>
        <w:rPr/>
        <w:t>Property Misdescriptions Act 1991 (Repeal) Order 2013 (SI </w:t>
      </w:r>
      <w:r>
        <w:rPr>
          <w:spacing w:val="-2"/>
        </w:rPr>
        <w:t>2013/1575).</w:t>
      </w:r>
    </w:p>
    <w:p>
      <w:pPr>
        <w:pStyle w:val="BodyText"/>
        <w:spacing w:before="5"/>
      </w:pPr>
    </w:p>
    <w:p>
      <w:pPr>
        <w:pStyle w:val="BodyText"/>
        <w:tabs>
          <w:tab w:pos="705" w:val="left" w:leader="none"/>
        </w:tabs>
        <w:ind w:left="165"/>
      </w:pPr>
      <w:bookmarkStart w:name="_bookmark897" w:id="899"/>
      <w:bookmarkEnd w:id="899"/>
      <w:r>
        <w:rPr/>
      </w:r>
      <w:hyperlink w:history="true" w:anchor="_bookmark772">
        <w:r>
          <w:rPr>
            <w:color w:val="005DA1"/>
            <w:spacing w:val="-4"/>
            <w:position w:val="5"/>
            <w:sz w:val="14"/>
            <w:u w:val="single" w:color="005DA1"/>
          </w:rPr>
          <w:t>470</w:t>
        </w:r>
      </w:hyperlink>
      <w:r>
        <w:rPr>
          <w:spacing w:val="-4"/>
          <w:position w:val="5"/>
          <w:sz w:val="14"/>
        </w:rPr>
        <w:t>.</w:t>
      </w:r>
      <w:r>
        <w:rPr>
          <w:position w:val="5"/>
          <w:sz w:val="14"/>
        </w:rPr>
        <w:tab/>
      </w:r>
      <w:r>
        <w:rPr/>
        <w:t>See above, para.7-002 and below, Vol.II, paras 38-145 et </w:t>
      </w:r>
      <w:r>
        <w:rPr>
          <w:spacing w:val="-4"/>
        </w:rPr>
        <w:t>seq.</w:t>
      </w:r>
    </w:p>
    <w:p>
      <w:pPr>
        <w:pStyle w:val="BodyText"/>
        <w:spacing w:before="5"/>
      </w:pPr>
    </w:p>
    <w:p>
      <w:pPr>
        <w:pStyle w:val="BodyText"/>
        <w:tabs>
          <w:tab w:pos="705" w:val="left" w:leader="none"/>
        </w:tabs>
        <w:ind w:left="165"/>
      </w:pPr>
      <w:bookmarkStart w:name="_bookmark898" w:id="900"/>
      <w:bookmarkEnd w:id="900"/>
      <w:r>
        <w:rPr/>
      </w:r>
      <w:hyperlink w:history="true" w:anchor="_bookmark773">
        <w:r>
          <w:rPr>
            <w:color w:val="005DA1"/>
            <w:spacing w:val="-4"/>
            <w:position w:val="5"/>
            <w:sz w:val="14"/>
            <w:u w:val="single" w:color="005DA1"/>
          </w:rPr>
          <w:t>471</w:t>
        </w:r>
      </w:hyperlink>
      <w:r>
        <w:rPr>
          <w:spacing w:val="-4"/>
          <w:position w:val="5"/>
          <w:sz w:val="14"/>
        </w:rPr>
        <w:t>.</w:t>
      </w:r>
      <w:r>
        <w:rPr>
          <w:position w:val="5"/>
          <w:sz w:val="14"/>
        </w:rPr>
        <w:tab/>
      </w:r>
      <w:r>
        <w:rPr/>
        <w:t>SI 1992/3288 implementing Directive 90/314. See below, para.14-</w:t>
      </w:r>
      <w:r>
        <w:rPr>
          <w:spacing w:val="-4"/>
        </w:rPr>
        <w:t>044.</w:t>
      </w:r>
    </w:p>
    <w:p>
      <w:pPr>
        <w:pStyle w:val="BodyText"/>
        <w:spacing w:before="5"/>
      </w:pPr>
    </w:p>
    <w:p>
      <w:pPr>
        <w:pStyle w:val="BodyText"/>
        <w:tabs>
          <w:tab w:pos="705" w:val="left" w:leader="none"/>
        </w:tabs>
        <w:ind w:left="165"/>
      </w:pPr>
      <w:bookmarkStart w:name="_bookmark899" w:id="901"/>
      <w:bookmarkEnd w:id="901"/>
      <w:r>
        <w:rPr/>
      </w:r>
      <w:hyperlink w:history="true" w:anchor="_bookmark774">
        <w:r>
          <w:rPr>
            <w:color w:val="005DA1"/>
            <w:spacing w:val="-4"/>
            <w:position w:val="5"/>
            <w:sz w:val="14"/>
            <w:u w:val="single" w:color="005DA1"/>
          </w:rPr>
          <w:t>472</w:t>
        </w:r>
      </w:hyperlink>
      <w:r>
        <w:rPr>
          <w:spacing w:val="-4"/>
          <w:position w:val="5"/>
          <w:sz w:val="14"/>
        </w:rPr>
        <w:t>.</w:t>
      </w:r>
      <w:r>
        <w:rPr>
          <w:position w:val="5"/>
          <w:sz w:val="14"/>
        </w:rPr>
        <w:tab/>
      </w:r>
      <w:r>
        <w:rPr/>
        <w:t>1992 Regulations </w:t>
      </w:r>
      <w:r>
        <w:rPr>
          <w:spacing w:val="-2"/>
        </w:rPr>
        <w:t>reg.4.</w:t>
      </w: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9600">
            <wp:simplePos x="0" y="0"/>
            <wp:positionH relativeFrom="page">
              <wp:posOffset>1257846</wp:posOffset>
            </wp:positionH>
            <wp:positionV relativeFrom="paragraph">
              <wp:posOffset>160328</wp:posOffset>
            </wp:positionV>
            <wp:extent cx="107988" cy="107988"/>
            <wp:effectExtent l="0" t="0" r="0" b="0"/>
            <wp:wrapNone/>
            <wp:docPr id="169" name="Image 169"/>
            <wp:cNvGraphicFramePr>
              <a:graphicFrameLocks/>
            </wp:cNvGraphicFramePr>
            <a:graphic>
              <a:graphicData uri="http://schemas.openxmlformats.org/drawingml/2006/picture">
                <pic:pic>
                  <pic:nvPicPr>
                    <pic:cNvPr id="169" name="Image 16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00" w:id="902"/>
      <w:bookmarkEnd w:id="902"/>
      <w:r>
        <w:rPr/>
      </w:r>
      <w:hyperlink w:history="true" w:anchor="_bookmark775">
        <w:r>
          <w:rPr>
            <w:color w:val="005DA1"/>
            <w:spacing w:val="-4"/>
            <w:sz w:val="14"/>
            <w:u w:val="single" w:color="005DA1"/>
          </w:rPr>
          <w:t>473</w:t>
        </w:r>
      </w:hyperlink>
      <w:r>
        <w:rPr>
          <w:spacing w:val="-4"/>
          <w:sz w:val="14"/>
        </w:rPr>
        <w:t>.</w:t>
      </w:r>
    </w:p>
    <w:p>
      <w:pPr>
        <w:spacing w:before="208"/>
        <w:ind w:left="335" w:right="0" w:firstLine="0"/>
        <w:jc w:val="left"/>
        <w:rPr>
          <w:sz w:val="20"/>
        </w:rPr>
      </w:pPr>
      <w:r>
        <w:rPr/>
        <w:br w:type="column"/>
      </w:r>
      <w:r>
        <w:rPr>
          <w:sz w:val="20"/>
        </w:rPr>
        <w:t>Cartwright,</w:t>
      </w:r>
      <w:r>
        <w:rPr>
          <w:spacing w:val="-2"/>
          <w:sz w:val="20"/>
        </w:rPr>
        <w:t> </w:t>
      </w:r>
      <w:r>
        <w:rPr>
          <w:rFonts w:ascii="Arial"/>
          <w:i/>
          <w:sz w:val="20"/>
        </w:rPr>
        <w:t>Misrepresentation, Mistake and Non-disclosure</w:t>
      </w:r>
      <w:r>
        <w:rPr>
          <w:sz w:val="20"/>
        </w:rPr>
        <w:t>, 4th edn (2016), para.7-</w:t>
      </w:r>
      <w:r>
        <w:rPr>
          <w:spacing w:val="-5"/>
          <w:sz w:val="20"/>
        </w:rPr>
        <w:t>68.</w:t>
      </w:r>
    </w:p>
    <w:p>
      <w:pPr>
        <w:spacing w:after="0"/>
        <w:jc w:val="left"/>
        <w:rPr>
          <w:sz w:val="20"/>
        </w:rPr>
        <w:sectPr>
          <w:type w:val="continuous"/>
          <w:pgSz w:w="11900" w:h="16840"/>
          <w:pgMar w:header="971" w:footer="0" w:top="1160" w:bottom="280" w:left="1275" w:right="1275"/>
          <w:cols w:num="2" w:equalWidth="0">
            <w:col w:w="478" w:space="63"/>
            <w:col w:w="8809"/>
          </w:cols>
        </w:sectPr>
      </w:pPr>
    </w:p>
    <w:p>
      <w:pPr>
        <w:pStyle w:val="BodyText"/>
        <w:spacing w:before="4"/>
        <w:rPr>
          <w:sz w:val="19"/>
        </w:rPr>
      </w:pPr>
    </w:p>
    <w:p>
      <w:pPr>
        <w:pStyle w:val="BodyText"/>
        <w:spacing w:after="0"/>
        <w:rPr>
          <w:sz w:val="19"/>
        </w:rPr>
        <w:sectPr>
          <w:pgSz w:w="11900" w:h="16840"/>
          <w:pgMar w:header="971" w:footer="0" w:top="1160" w:bottom="280" w:left="1275" w:right="1275"/>
        </w:sectPr>
      </w:pPr>
    </w:p>
    <w:p>
      <w:pPr>
        <w:spacing w:before="96"/>
        <w:ind w:left="165" w:right="0" w:firstLine="0"/>
        <w:jc w:val="left"/>
        <w:rPr>
          <w:sz w:val="14"/>
        </w:rPr>
      </w:pPr>
      <w:hyperlink w:history="true" w:anchor="_bookmark776">
        <w:r>
          <w:rPr>
            <w:color w:val="005DA1"/>
            <w:spacing w:val="-4"/>
            <w:sz w:val="14"/>
            <w:u w:val="single" w:color="005DA1"/>
          </w:rPr>
          <w:t>474</w:t>
        </w:r>
      </w:hyperlink>
      <w:r>
        <w:rPr>
          <w:spacing w:val="-4"/>
          <w:sz w:val="14"/>
        </w:rPr>
        <w:t>.</w:t>
      </w:r>
    </w:p>
    <w:p>
      <w:pPr>
        <w:pStyle w:val="BodyText"/>
        <w:spacing w:before="208"/>
        <w:ind w:left="335"/>
      </w:pPr>
      <w:r>
        <w:rPr/>
        <w:br w:type="column"/>
      </w:r>
      <w:r>
        <w:rPr/>
        <w:t>Cartwright at 4th edn (2016), para.7-</w:t>
      </w:r>
      <w:r>
        <w:rPr>
          <w:spacing w:val="-5"/>
        </w:rPr>
        <w:t>69.</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9"/>
      </w:pPr>
    </w:p>
    <w:p>
      <w:pPr>
        <w:pStyle w:val="BodyText"/>
        <w:tabs>
          <w:tab w:pos="705" w:val="left" w:leader="none"/>
        </w:tabs>
        <w:spacing w:line="235" w:lineRule="auto"/>
        <w:ind w:left="705" w:right="168" w:hanging="541"/>
      </w:pPr>
      <w:r>
        <w:rPr/>
        <w:drawing>
          <wp:anchor distT="0" distB="0" distL="0" distR="0" allowOverlap="1" layoutInCell="1" locked="0" behindDoc="0" simplePos="0" relativeHeight="15770112">
            <wp:simplePos x="0" y="0"/>
            <wp:positionH relativeFrom="page">
              <wp:posOffset>1257846</wp:posOffset>
            </wp:positionH>
            <wp:positionV relativeFrom="paragraph">
              <wp:posOffset>-269385</wp:posOffset>
            </wp:positionV>
            <wp:extent cx="107988" cy="107988"/>
            <wp:effectExtent l="0" t="0" r="0" b="0"/>
            <wp:wrapNone/>
            <wp:docPr id="170" name="Image 170"/>
            <wp:cNvGraphicFramePr>
              <a:graphicFrameLocks/>
            </wp:cNvGraphicFramePr>
            <a:graphic>
              <a:graphicData uri="http://schemas.openxmlformats.org/drawingml/2006/picture">
                <pic:pic>
                  <pic:nvPicPr>
                    <pic:cNvPr id="170" name="Image 17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01" w:id="903"/>
      <w:bookmarkEnd w:id="903"/>
      <w:r>
        <w:rPr/>
      </w:r>
      <w:hyperlink w:history="true" w:anchor="_bookmark777">
        <w:r>
          <w:rPr>
            <w:color w:val="005DA1"/>
            <w:spacing w:val="-4"/>
            <w:position w:val="5"/>
            <w:sz w:val="14"/>
            <w:u w:val="single" w:color="005DA1"/>
          </w:rPr>
          <w:t>475</w:t>
        </w:r>
      </w:hyperlink>
      <w:r>
        <w:rPr>
          <w:spacing w:val="-4"/>
          <w:position w:val="5"/>
          <w:sz w:val="14"/>
        </w:rPr>
        <w:t>.</w:t>
      </w:r>
      <w:r>
        <w:rPr>
          <w:position w:val="5"/>
          <w:sz w:val="14"/>
        </w:rPr>
        <w:tab/>
      </w:r>
      <w:r>
        <w:rPr/>
        <w:t>See</w:t>
      </w:r>
      <w:r>
        <w:rPr>
          <w:spacing w:val="65"/>
        </w:rPr>
        <w:t> </w:t>
      </w:r>
      <w:r>
        <w:rPr/>
        <w:t>the</w:t>
      </w:r>
      <w:r>
        <w:rPr>
          <w:spacing w:val="65"/>
        </w:rPr>
        <w:t> </w:t>
      </w:r>
      <w:r>
        <w:rPr/>
        <w:t>Housing</w:t>
      </w:r>
      <w:r>
        <w:rPr>
          <w:spacing w:val="65"/>
        </w:rPr>
        <w:t> </w:t>
      </w:r>
      <w:r>
        <w:rPr/>
        <w:t>Act</w:t>
      </w:r>
      <w:r>
        <w:rPr>
          <w:spacing w:val="65"/>
        </w:rPr>
        <w:t> </w:t>
      </w:r>
      <w:r>
        <w:rPr/>
        <w:t>2004</w:t>
      </w:r>
      <w:r>
        <w:rPr>
          <w:spacing w:val="65"/>
        </w:rPr>
        <w:t> </w:t>
      </w:r>
      <w:r>
        <w:rPr/>
        <w:t>Pt</w:t>
      </w:r>
      <w:r>
        <w:rPr>
          <w:spacing w:val="65"/>
        </w:rPr>
        <w:t> </w:t>
      </w:r>
      <w:r>
        <w:rPr/>
        <w:t>5</w:t>
      </w:r>
      <w:r>
        <w:rPr>
          <w:spacing w:val="65"/>
        </w:rPr>
        <w:t> </w:t>
      </w:r>
      <w:r>
        <w:rPr/>
        <w:t>and</w:t>
      </w:r>
      <w:r>
        <w:rPr>
          <w:spacing w:val="65"/>
        </w:rPr>
        <w:t> </w:t>
      </w:r>
      <w:r>
        <w:rPr/>
        <w:t>the</w:t>
      </w:r>
      <w:r>
        <w:rPr>
          <w:spacing w:val="65"/>
        </w:rPr>
        <w:t> </w:t>
      </w:r>
      <w:r>
        <w:rPr/>
        <w:t>Home</w:t>
      </w:r>
      <w:r>
        <w:rPr>
          <w:spacing w:val="65"/>
        </w:rPr>
        <w:t> </w:t>
      </w:r>
      <w:r>
        <w:rPr/>
        <w:t>Information</w:t>
      </w:r>
      <w:r>
        <w:rPr>
          <w:spacing w:val="65"/>
        </w:rPr>
        <w:t> </w:t>
      </w:r>
      <w:r>
        <w:rPr/>
        <w:t>Pack</w:t>
      </w:r>
      <w:r>
        <w:rPr>
          <w:spacing w:val="65"/>
        </w:rPr>
        <w:t> </w:t>
      </w:r>
      <w:r>
        <w:rPr/>
        <w:t>Regulations</w:t>
      </w:r>
      <w:r>
        <w:rPr>
          <w:spacing w:val="65"/>
        </w:rPr>
        <w:t> </w:t>
      </w:r>
      <w:r>
        <w:rPr/>
        <w:t>2006</w:t>
      </w:r>
      <w:r>
        <w:rPr>
          <w:spacing w:val="65"/>
        </w:rPr>
        <w:t> </w:t>
      </w:r>
      <w:r>
        <w:rPr/>
        <w:t>(SI 2006/1503) reg.8.</w:t>
      </w:r>
    </w:p>
    <w:p>
      <w:pPr>
        <w:pStyle w:val="BodyText"/>
        <w:spacing w:before="6"/>
      </w:pPr>
    </w:p>
    <w:p>
      <w:pPr>
        <w:tabs>
          <w:tab w:pos="705" w:val="left" w:leader="none"/>
        </w:tabs>
        <w:spacing w:before="0"/>
        <w:ind w:left="165" w:right="0" w:firstLine="0"/>
        <w:jc w:val="left"/>
        <w:rPr>
          <w:sz w:val="20"/>
        </w:rPr>
      </w:pPr>
      <w:bookmarkStart w:name="_bookmark902" w:id="904"/>
      <w:bookmarkEnd w:id="904"/>
      <w:r>
        <w:rPr/>
      </w:r>
      <w:hyperlink w:history="true" w:anchor="_bookmark778">
        <w:r>
          <w:rPr>
            <w:color w:val="005DA1"/>
            <w:spacing w:val="-4"/>
            <w:position w:val="5"/>
            <w:sz w:val="14"/>
            <w:u w:val="single" w:color="005DA1"/>
          </w:rPr>
          <w:t>476</w:t>
        </w:r>
      </w:hyperlink>
      <w:r>
        <w:rPr>
          <w:spacing w:val="-4"/>
          <w:position w:val="5"/>
          <w:sz w:val="14"/>
        </w:rPr>
        <w:t>.</w:t>
      </w:r>
      <w:r>
        <w:rPr>
          <w:position w:val="5"/>
          <w:sz w:val="14"/>
        </w:rPr>
        <w:tab/>
      </w:r>
      <w:r>
        <w:rPr>
          <w:sz w:val="20"/>
        </w:rPr>
        <w:t>By SI </w:t>
      </w:r>
      <w:r>
        <w:rPr>
          <w:spacing w:val="-2"/>
          <w:sz w:val="20"/>
        </w:rPr>
        <w:t>2007/1525.</w:t>
      </w:r>
    </w:p>
    <w:p>
      <w:pPr>
        <w:pStyle w:val="BodyText"/>
        <w:spacing w:before="8"/>
      </w:pPr>
    </w:p>
    <w:p>
      <w:pPr>
        <w:pStyle w:val="BodyText"/>
        <w:spacing w:line="235" w:lineRule="auto" w:before="1"/>
        <w:ind w:left="705" w:right="167" w:hanging="541"/>
        <w:jc w:val="both"/>
      </w:pPr>
      <w:bookmarkStart w:name="_bookmark903" w:id="905"/>
      <w:bookmarkEnd w:id="905"/>
      <w:r>
        <w:rPr/>
      </w:r>
      <w:hyperlink w:history="true" w:anchor="_bookmark778">
        <w:r>
          <w:rPr>
            <w:color w:val="005DA1"/>
            <w:position w:val="5"/>
            <w:sz w:val="14"/>
            <w:u w:val="single" w:color="005DA1"/>
          </w:rPr>
          <w:t>477</w:t>
        </w:r>
      </w:hyperlink>
      <w:r>
        <w:rPr>
          <w:position w:val="5"/>
          <w:sz w:val="14"/>
        </w:rPr>
        <w:t>.</w:t>
      </w:r>
      <w:r>
        <w:rPr>
          <w:spacing w:val="80"/>
          <w:position w:val="5"/>
          <w:sz w:val="14"/>
        </w:rPr>
        <w:t> </w:t>
      </w:r>
      <w:r>
        <w:rPr/>
        <w:t>See Home Information Pack (No.2) Regulations 2007 (SI 2007/1667) reg.9. If a report was provided, the home inspector would be obliged to use reasonable care and skill and the terms</w:t>
      </w:r>
      <w:r>
        <w:rPr>
          <w:spacing w:val="40"/>
        </w:rPr>
        <w:t> </w:t>
      </w:r>
      <w:r>
        <w:rPr/>
        <w:t>of</w:t>
      </w:r>
      <w:r>
        <w:rPr>
          <w:spacing w:val="-2"/>
        </w:rPr>
        <w:t> </w:t>
      </w:r>
      <w:r>
        <w:rPr/>
        <w:t>the</w:t>
      </w:r>
      <w:r>
        <w:rPr>
          <w:spacing w:val="-2"/>
        </w:rPr>
        <w:t> </w:t>
      </w:r>
      <w:r>
        <w:rPr/>
        <w:t>contract</w:t>
      </w:r>
      <w:r>
        <w:rPr>
          <w:spacing w:val="-2"/>
        </w:rPr>
        <w:t> </w:t>
      </w:r>
      <w:r>
        <w:rPr/>
        <w:t>under</w:t>
      </w:r>
      <w:r>
        <w:rPr>
          <w:spacing w:val="-2"/>
        </w:rPr>
        <w:t> </w:t>
      </w:r>
      <w:r>
        <w:rPr/>
        <w:t>which</w:t>
      </w:r>
      <w:r>
        <w:rPr>
          <w:spacing w:val="-2"/>
        </w:rPr>
        <w:t> </w:t>
      </w:r>
      <w:r>
        <w:rPr/>
        <w:t>the</w:t>
      </w:r>
      <w:r>
        <w:rPr>
          <w:spacing w:val="-2"/>
        </w:rPr>
        <w:t> </w:t>
      </w:r>
      <w:r>
        <w:rPr/>
        <w:t>report</w:t>
      </w:r>
      <w:r>
        <w:rPr>
          <w:spacing w:val="-2"/>
        </w:rPr>
        <w:t> </w:t>
      </w:r>
      <w:r>
        <w:rPr/>
        <w:t>was</w:t>
      </w:r>
      <w:r>
        <w:rPr>
          <w:spacing w:val="-2"/>
        </w:rPr>
        <w:t> </w:t>
      </w:r>
      <w:r>
        <w:rPr/>
        <w:t>prepared</w:t>
      </w:r>
      <w:r>
        <w:rPr>
          <w:spacing w:val="-2"/>
        </w:rPr>
        <w:t> </w:t>
      </w:r>
      <w:r>
        <w:rPr/>
        <w:t>must</w:t>
      </w:r>
      <w:r>
        <w:rPr>
          <w:spacing w:val="-2"/>
        </w:rPr>
        <w:t> </w:t>
      </w:r>
      <w:r>
        <w:rPr/>
        <w:t>provide</w:t>
      </w:r>
      <w:r>
        <w:rPr>
          <w:spacing w:val="-2"/>
        </w:rPr>
        <w:t> </w:t>
      </w:r>
      <w:r>
        <w:rPr/>
        <w:t>that,</w:t>
      </w:r>
      <w:r>
        <w:rPr>
          <w:spacing w:val="-2"/>
        </w:rPr>
        <w:t> </w:t>
      </w:r>
      <w:r>
        <w:rPr/>
        <w:t>if</w:t>
      </w:r>
      <w:r>
        <w:rPr>
          <w:spacing w:val="-2"/>
        </w:rPr>
        <w:t> </w:t>
      </w:r>
      <w:r>
        <w:rPr/>
        <w:t>he</w:t>
      </w:r>
      <w:r>
        <w:rPr>
          <w:spacing w:val="-2"/>
        </w:rPr>
        <w:t> </w:t>
      </w:r>
      <w:r>
        <w:rPr/>
        <w:t>does</w:t>
      </w:r>
      <w:r>
        <w:rPr>
          <w:spacing w:val="-2"/>
        </w:rPr>
        <w:t> </w:t>
      </w:r>
      <w:r>
        <w:rPr/>
        <w:t>not,</w:t>
      </w:r>
      <w:r>
        <w:rPr>
          <w:spacing w:val="-2"/>
        </w:rPr>
        <w:t> </w:t>
      </w:r>
      <w:r>
        <w:rPr/>
        <w:t>the</w:t>
      </w:r>
      <w:r>
        <w:rPr>
          <w:spacing w:val="-2"/>
        </w:rPr>
        <w:t> </w:t>
      </w:r>
      <w:r>
        <w:rPr/>
        <w:t>seller, the</w:t>
      </w:r>
      <w:r>
        <w:rPr>
          <w:spacing w:val="-2"/>
        </w:rPr>
        <w:t> </w:t>
      </w:r>
      <w:r>
        <w:rPr/>
        <w:t>purchaser</w:t>
      </w:r>
      <w:r>
        <w:rPr>
          <w:spacing w:val="-2"/>
        </w:rPr>
        <w:t> </w:t>
      </w:r>
      <w:r>
        <w:rPr/>
        <w:t>or</w:t>
      </w:r>
      <w:r>
        <w:rPr>
          <w:spacing w:val="-2"/>
        </w:rPr>
        <w:t> </w:t>
      </w:r>
      <w:r>
        <w:rPr/>
        <w:t>a</w:t>
      </w:r>
      <w:r>
        <w:rPr>
          <w:spacing w:val="-2"/>
        </w:rPr>
        <w:t> </w:t>
      </w:r>
      <w:r>
        <w:rPr/>
        <w:t>mortgagee</w:t>
      </w:r>
      <w:r>
        <w:rPr>
          <w:spacing w:val="-2"/>
        </w:rPr>
        <w:t> </w:t>
      </w:r>
      <w:r>
        <w:rPr/>
        <w:t>of</w:t>
      </w:r>
      <w:r>
        <w:rPr>
          <w:spacing w:val="-2"/>
        </w:rPr>
        <w:t> </w:t>
      </w:r>
      <w:r>
        <w:rPr/>
        <w:t>the</w:t>
      </w:r>
      <w:r>
        <w:rPr>
          <w:spacing w:val="-2"/>
        </w:rPr>
        <w:t> </w:t>
      </w:r>
      <w:r>
        <w:rPr/>
        <w:t>property</w:t>
      </w:r>
      <w:r>
        <w:rPr>
          <w:spacing w:val="-2"/>
        </w:rPr>
        <w:t> </w:t>
      </w:r>
      <w:r>
        <w:rPr/>
        <w:t>will</w:t>
      </w:r>
      <w:r>
        <w:rPr>
          <w:spacing w:val="-2"/>
        </w:rPr>
        <w:t> </w:t>
      </w:r>
      <w:r>
        <w:rPr/>
        <w:t>have</w:t>
      </w:r>
      <w:r>
        <w:rPr>
          <w:spacing w:val="-2"/>
        </w:rPr>
        <w:t> </w:t>
      </w:r>
      <w:r>
        <w:rPr/>
        <w:t>a</w:t>
      </w:r>
      <w:r>
        <w:rPr>
          <w:spacing w:val="-2"/>
        </w:rPr>
        <w:t> </w:t>
      </w:r>
      <w:r>
        <w:rPr/>
        <w:t>direct</w:t>
      </w:r>
      <w:r>
        <w:rPr>
          <w:spacing w:val="-2"/>
        </w:rPr>
        <w:t> </w:t>
      </w:r>
      <w:r>
        <w:rPr/>
        <w:t>right</w:t>
      </w:r>
      <w:r>
        <w:rPr>
          <w:spacing w:val="-2"/>
        </w:rPr>
        <w:t> </w:t>
      </w:r>
      <w:r>
        <w:rPr/>
        <w:t>of</w:t>
      </w:r>
      <w:r>
        <w:rPr>
          <w:spacing w:val="-2"/>
        </w:rPr>
        <w:t> </w:t>
      </w:r>
      <w:r>
        <w:rPr/>
        <w:t>action</w:t>
      </w:r>
      <w:r>
        <w:rPr>
          <w:spacing w:val="-2"/>
        </w:rPr>
        <w:t> </w:t>
      </w:r>
      <w:r>
        <w:rPr/>
        <w:t>against</w:t>
      </w:r>
      <w:r>
        <w:rPr>
          <w:spacing w:val="-2"/>
        </w:rPr>
        <w:t> </w:t>
      </w:r>
      <w:r>
        <w:rPr/>
        <w:t>him,</w:t>
      </w:r>
      <w:r>
        <w:rPr>
          <w:spacing w:val="-2"/>
        </w:rPr>
        <w:t> </w:t>
      </w:r>
      <w:r>
        <w:rPr/>
        <w:t>Sch.9 arts 2 and 3.</w:t>
      </w:r>
    </w:p>
    <w:p>
      <w:pPr>
        <w:pStyle w:val="BodyText"/>
        <w:spacing w:before="4"/>
      </w:pPr>
    </w:p>
    <w:p>
      <w:pPr>
        <w:pStyle w:val="BodyText"/>
        <w:tabs>
          <w:tab w:pos="705" w:val="left" w:leader="none"/>
        </w:tabs>
        <w:ind w:left="165"/>
      </w:pPr>
      <w:bookmarkStart w:name="_bookmark904" w:id="906"/>
      <w:bookmarkEnd w:id="906"/>
      <w:r>
        <w:rPr/>
      </w:r>
      <w:hyperlink w:history="true" w:anchor="_bookmark779">
        <w:r>
          <w:rPr>
            <w:color w:val="005DA1"/>
            <w:spacing w:val="-4"/>
            <w:position w:val="5"/>
            <w:sz w:val="14"/>
            <w:u w:val="single" w:color="005DA1"/>
          </w:rPr>
          <w:t>478</w:t>
        </w:r>
      </w:hyperlink>
      <w:r>
        <w:rPr>
          <w:spacing w:val="-4"/>
          <w:position w:val="5"/>
          <w:sz w:val="14"/>
        </w:rPr>
        <w:t>.</w:t>
      </w:r>
      <w:r>
        <w:rPr>
          <w:position w:val="5"/>
          <w:sz w:val="14"/>
        </w:rPr>
        <w:tab/>
      </w:r>
      <w:r>
        <w:rPr/>
        <w:t>Home Information Pack (Suspension) Order 2010 (SI </w:t>
      </w:r>
      <w:r>
        <w:rPr>
          <w:spacing w:val="-2"/>
        </w:rPr>
        <w:t>2010/1455).</w:t>
      </w:r>
    </w:p>
    <w:p>
      <w:pPr>
        <w:pStyle w:val="BodyText"/>
        <w:spacing w:before="5"/>
      </w:pPr>
    </w:p>
    <w:p>
      <w:pPr>
        <w:pStyle w:val="BodyText"/>
        <w:tabs>
          <w:tab w:pos="705" w:val="left" w:leader="none"/>
        </w:tabs>
        <w:ind w:left="165"/>
      </w:pPr>
      <w:bookmarkStart w:name="_bookmark905" w:id="907"/>
      <w:bookmarkEnd w:id="907"/>
      <w:r>
        <w:rPr/>
      </w:r>
      <w:hyperlink w:history="true" w:anchor="_bookmark780">
        <w:r>
          <w:rPr>
            <w:color w:val="005DA1"/>
            <w:spacing w:val="-4"/>
            <w:position w:val="5"/>
            <w:sz w:val="14"/>
            <w:u w:val="single" w:color="005DA1"/>
          </w:rPr>
          <w:t>479</w:t>
        </w:r>
      </w:hyperlink>
      <w:r>
        <w:rPr>
          <w:spacing w:val="-4"/>
          <w:position w:val="5"/>
          <w:sz w:val="14"/>
        </w:rPr>
        <w:t>.</w:t>
      </w:r>
      <w:r>
        <w:rPr>
          <w:position w:val="5"/>
          <w:sz w:val="14"/>
        </w:rPr>
        <w:tab/>
      </w:r>
      <w:r>
        <w:rPr/>
        <w:t>Localism Act 2011, Sch.25(29) para.1 repealed Housing Act 2004 Pt </w:t>
      </w:r>
      <w:r>
        <w:rPr>
          <w:spacing w:val="-5"/>
        </w:rPr>
        <w:t>5.</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539" w:right="2543"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3904512">
                <wp:simplePos x="0" y="0"/>
                <wp:positionH relativeFrom="page">
                  <wp:posOffset>4851958</wp:posOffset>
                </wp:positionH>
                <wp:positionV relativeFrom="paragraph">
                  <wp:posOffset>377436</wp:posOffset>
                </wp:positionV>
                <wp:extent cx="42545"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11968" from="382.044006pt,29.719406pt" to="385.380006pt,29.719406pt" stroked="true" strokeweight=".428pt" strokecolor="#005da1">
                <v:stroke dashstyle="solid"/>
                <w10:wrap type="none"/>
              </v:line>
            </w:pict>
          </mc:Fallback>
        </mc:AlternateContent>
      </w:r>
      <w:r>
        <w:rPr>
          <w:rFonts w:ascii="Arial"/>
          <w:b/>
          <w:sz w:val="24"/>
        </w:rPr>
        <w:t>Part 2 - Formation of Contract Chapter 7 - Misrepresentation</w:t>
      </w:r>
      <w:r>
        <w:rPr>
          <w:rFonts w:ascii="Arial"/>
          <w:b/>
          <w:spacing w:val="-1"/>
          <w:sz w:val="24"/>
        </w:rPr>
        <w:t> </w:t>
      </w:r>
      <w:r>
        <w:rPr>
          <w:rFonts w:ascii="Arial"/>
          <w:b/>
          <w:color w:val="005DA1"/>
          <w:spacing w:val="-10"/>
          <w:position w:val="11"/>
          <w:sz w:val="12"/>
        </w:rPr>
        <w:t>1</w:t>
      </w:r>
    </w:p>
    <w:p>
      <w:pPr>
        <w:spacing w:before="2"/>
        <w:ind w:left="940" w:right="943" w:firstLine="0"/>
        <w:jc w:val="center"/>
        <w:rPr>
          <w:rFonts w:ascii="Arial"/>
          <w:b/>
          <w:sz w:val="24"/>
        </w:rPr>
      </w:pPr>
      <w:r>
        <w:rPr>
          <w:rFonts w:ascii="Arial"/>
          <w:b/>
          <w:sz w:val="24"/>
        </w:rPr>
        <w:t>Section 3. - Damages for </w:t>
      </w:r>
      <w:r>
        <w:rPr>
          <w:rFonts w:ascii="Arial"/>
          <w:b/>
          <w:spacing w:val="-2"/>
          <w:sz w:val="24"/>
        </w:rPr>
        <w:t>Misrepresentation</w:t>
      </w:r>
    </w:p>
    <w:p>
      <w:pPr>
        <w:spacing w:before="194"/>
        <w:ind w:left="2851" w:right="0" w:firstLine="0"/>
        <w:jc w:val="left"/>
        <w:rPr>
          <w:rFonts w:ascii="Arial"/>
          <w:b/>
          <w:sz w:val="24"/>
        </w:rPr>
      </w:pPr>
      <w:r>
        <w:rPr>
          <w:rFonts w:ascii="Arial"/>
          <w:b/>
          <w:sz w:val="24"/>
        </w:rPr>
        <w:t>(c) - Innocent </w:t>
      </w:r>
      <w:r>
        <w:rPr>
          <w:rFonts w:ascii="Arial"/>
          <w:b/>
          <w:spacing w:val="-2"/>
          <w:sz w:val="24"/>
        </w:rPr>
        <w:t>Misrepresentation</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No damages for innocent </w:t>
      </w:r>
      <w:r>
        <w:rPr>
          <w:rFonts w:ascii="Arial"/>
          <w:b/>
          <w:spacing w:val="-2"/>
          <w:sz w:val="18"/>
        </w:rPr>
        <w:t>misrepresentation</w:t>
      </w:r>
    </w:p>
    <w:p>
      <w:pPr>
        <w:pStyle w:val="BodyText"/>
        <w:spacing w:before="41"/>
        <w:rPr>
          <w:rFonts w:ascii="Arial"/>
          <w:b/>
          <w:sz w:val="18"/>
        </w:rPr>
      </w:pPr>
    </w:p>
    <w:p>
      <w:pPr>
        <w:pStyle w:val="Heading2"/>
        <w:ind w:left="164"/>
      </w:pPr>
      <w:r>
        <w:rPr/>
        <w:t>7-</w:t>
      </w:r>
      <w:r>
        <w:rPr>
          <w:spacing w:val="-5"/>
        </w:rPr>
        <w:t>102</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term “innocent misrepresentation” is here used to mean a representation which is </w:t>
      </w:r>
      <w:r>
        <w:rPr/>
        <w:t>neither </w:t>
      </w:r>
      <w:bookmarkStart w:name="_bookmark906" w:id="908"/>
      <w:bookmarkEnd w:id="908"/>
      <w:r>
        <w:rPr/>
        <w:t>fraudulent</w:t>
      </w:r>
      <w:r>
        <w:rPr>
          <w:spacing w:val="-2"/>
        </w:rPr>
        <w:t> </w:t>
      </w:r>
      <w:r>
        <w:rPr/>
        <w:t>nor</w:t>
      </w:r>
      <w:r>
        <w:rPr>
          <w:spacing w:val="-2"/>
        </w:rPr>
        <w:t> </w:t>
      </w:r>
      <w:r>
        <w:rPr/>
        <w:t>negligent,</w:t>
      </w:r>
      <w:r>
        <w:rPr>
          <w:spacing w:val="-2"/>
        </w:rPr>
        <w:t> </w:t>
      </w:r>
      <w:r>
        <w:rPr/>
        <w:t>and</w:t>
      </w:r>
      <w:r>
        <w:rPr>
          <w:spacing w:val="-2"/>
        </w:rPr>
        <w:t> </w:t>
      </w:r>
      <w:r>
        <w:rPr/>
        <w:t>the</w:t>
      </w:r>
      <w:r>
        <w:rPr>
          <w:spacing w:val="-2"/>
        </w:rPr>
        <w:t> </w:t>
      </w:r>
      <w:r>
        <w:rPr/>
        <w:t>general</w:t>
      </w:r>
      <w:r>
        <w:rPr>
          <w:spacing w:val="-2"/>
        </w:rPr>
        <w:t> </w:t>
      </w:r>
      <w:r>
        <w:rPr/>
        <w:t>rule</w:t>
      </w:r>
      <w:r>
        <w:rPr>
          <w:spacing w:val="-2"/>
        </w:rPr>
        <w:t> </w:t>
      </w:r>
      <w:r>
        <w:rPr/>
        <w:t>remains</w:t>
      </w:r>
      <w:r>
        <w:rPr>
          <w:spacing w:val="-2"/>
        </w:rPr>
        <w:t> </w:t>
      </w:r>
      <w:r>
        <w:rPr/>
        <w:t>what</w:t>
      </w:r>
      <w:r>
        <w:rPr>
          <w:spacing w:val="-2"/>
        </w:rPr>
        <w:t> </w:t>
      </w:r>
      <w:r>
        <w:rPr/>
        <w:t>it</w:t>
      </w:r>
      <w:r>
        <w:rPr>
          <w:spacing w:val="-2"/>
        </w:rPr>
        <w:t> </w:t>
      </w:r>
      <w:r>
        <w:rPr/>
        <w:t>has</w:t>
      </w:r>
      <w:r>
        <w:rPr>
          <w:spacing w:val="-2"/>
        </w:rPr>
        <w:t> </w:t>
      </w:r>
      <w:r>
        <w:rPr/>
        <w:t>always</w:t>
      </w:r>
      <w:r>
        <w:rPr>
          <w:spacing w:val="-2"/>
        </w:rPr>
        <w:t> </w:t>
      </w:r>
      <w:r>
        <w:rPr/>
        <w:t>been,</w:t>
      </w:r>
      <w:r>
        <w:rPr>
          <w:spacing w:val="-2"/>
        </w:rPr>
        <w:t> </w:t>
      </w:r>
      <w:r>
        <w:rPr/>
        <w:t>namely,</w:t>
      </w:r>
      <w:r>
        <w:rPr>
          <w:spacing w:val="-2"/>
        </w:rPr>
        <w:t> </w:t>
      </w:r>
      <w:r>
        <w:rPr/>
        <w:t>that</w:t>
      </w:r>
      <w:r>
        <w:rPr>
          <w:spacing w:val="-2"/>
        </w:rPr>
        <w:t> </w:t>
      </w:r>
      <w:r>
        <w:rPr/>
        <w:t>no</w:t>
      </w:r>
      <w:r>
        <w:rPr>
          <w:spacing w:val="-2"/>
        </w:rPr>
        <w:t> </w:t>
      </w:r>
      <w:r>
        <w:rPr/>
        <w:t>action for damages lies for a mere innocent misrepresentation in this sense. </w:t>
      </w:r>
      <w:r>
        <w:rPr>
          <w:color w:val="005DA1"/>
          <w:u w:val="single" w:color="005DA1"/>
          <w:vertAlign w:val="superscript"/>
        </w:rPr>
        <w:t>480</w:t>
      </w:r>
      <w:r>
        <w:rPr>
          <w:color w:val="005DA1"/>
          <w:vertAlign w:val="baseline"/>
        </w:rPr>
        <w:t> </w:t>
      </w:r>
      <w:r>
        <w:rPr>
          <w:vertAlign w:val="baseline"/>
        </w:rPr>
        <w:t>Damages in respect of the misrepresentation will be recoverable, however, if the court exercises its discretion under the </w:t>
      </w:r>
      <w:bookmarkStart w:name="_bookmark907" w:id="909"/>
      <w:bookmarkEnd w:id="909"/>
      <w:r>
        <w:rPr>
          <w:vertAlign w:val="baseline"/>
        </w:rPr>
        <w:t>Misrepresentation</w:t>
      </w:r>
      <w:r>
        <w:rPr>
          <w:vertAlign w:val="baseline"/>
        </w:rPr>
        <w:t> Act 1967 s.2(2), to declare the contract subsisting, and awards damages in lieu of rescission. </w:t>
      </w:r>
      <w:r>
        <w:rPr>
          <w:color w:val="005DA1"/>
          <w:u w:val="single" w:color="005DA1"/>
          <w:vertAlign w:val="superscript"/>
        </w:rPr>
        <w:t>481</w:t>
      </w:r>
      <w:r>
        <w:rPr>
          <w:color w:val="005DA1"/>
          <w:vertAlign w:val="baseline"/>
        </w:rPr>
        <w:t> </w:t>
      </w:r>
      <w:r>
        <w:rPr>
          <w:vertAlign w:val="baseline"/>
        </w:rPr>
        <w:t>Also it must be stressed that a misrepresentation will found a claim for damages if it</w:t>
      </w:r>
      <w:r>
        <w:rPr>
          <w:spacing w:val="40"/>
          <w:vertAlign w:val="baseline"/>
        </w:rPr>
        <w:t> </w:t>
      </w:r>
      <w:r>
        <w:rPr>
          <w:vertAlign w:val="baseline"/>
        </w:rPr>
        <w:t>can be construed as a contractual promise, and is either part of a wider contract, or is itself supported by consideration. This may happen in two principal types of case. First, where the representor and representee themselves enter into a contract after the misrepresentation was made. Here, if the </w:t>
      </w:r>
      <w:bookmarkStart w:name="_bookmark908" w:id="910"/>
      <w:bookmarkEnd w:id="910"/>
      <w:r>
        <w:rPr>
          <w:vertAlign w:val="baseline"/>
        </w:rPr>
        <w:t>misrepresentation</w:t>
      </w:r>
      <w:r>
        <w:rPr>
          <w:spacing w:val="55"/>
          <w:vertAlign w:val="baseline"/>
        </w:rPr>
        <w:t> </w:t>
      </w:r>
      <w:r>
        <w:rPr>
          <w:vertAlign w:val="baseline"/>
        </w:rPr>
        <w:t>becomes</w:t>
      </w:r>
      <w:r>
        <w:rPr>
          <w:spacing w:val="56"/>
          <w:vertAlign w:val="baseline"/>
        </w:rPr>
        <w:t> </w:t>
      </w:r>
      <w:r>
        <w:rPr>
          <w:vertAlign w:val="baseline"/>
        </w:rPr>
        <w:t>a</w:t>
      </w:r>
      <w:r>
        <w:rPr>
          <w:spacing w:val="55"/>
          <w:vertAlign w:val="baseline"/>
        </w:rPr>
        <w:t> </w:t>
      </w:r>
      <w:r>
        <w:rPr>
          <w:vertAlign w:val="baseline"/>
        </w:rPr>
        <w:t>term</w:t>
      </w:r>
      <w:r>
        <w:rPr>
          <w:spacing w:val="56"/>
          <w:vertAlign w:val="baseline"/>
        </w:rPr>
        <w:t> </w:t>
      </w:r>
      <w:r>
        <w:rPr>
          <w:vertAlign w:val="baseline"/>
        </w:rPr>
        <w:t>of</w:t>
      </w:r>
      <w:r>
        <w:rPr>
          <w:spacing w:val="55"/>
          <w:vertAlign w:val="baseline"/>
        </w:rPr>
        <w:t> </w:t>
      </w:r>
      <w:r>
        <w:rPr>
          <w:vertAlign w:val="baseline"/>
        </w:rPr>
        <w:t>the</w:t>
      </w:r>
      <w:r>
        <w:rPr>
          <w:spacing w:val="56"/>
          <w:vertAlign w:val="baseline"/>
        </w:rPr>
        <w:t> </w:t>
      </w:r>
      <w:r>
        <w:rPr>
          <w:vertAlign w:val="baseline"/>
        </w:rPr>
        <w:t>contract,</w:t>
      </w:r>
      <w:r>
        <w:rPr>
          <w:spacing w:val="55"/>
          <w:vertAlign w:val="baseline"/>
        </w:rPr>
        <w:t> </w:t>
      </w:r>
      <w:r>
        <w:rPr>
          <w:vertAlign w:val="baseline"/>
        </w:rPr>
        <w:t>an</w:t>
      </w:r>
      <w:r>
        <w:rPr>
          <w:spacing w:val="56"/>
          <w:vertAlign w:val="baseline"/>
        </w:rPr>
        <w:t> </w:t>
      </w:r>
      <w:r>
        <w:rPr>
          <w:vertAlign w:val="baseline"/>
        </w:rPr>
        <w:t>action</w:t>
      </w:r>
      <w:r>
        <w:rPr>
          <w:spacing w:val="56"/>
          <w:vertAlign w:val="baseline"/>
        </w:rPr>
        <w:t> </w:t>
      </w:r>
      <w:r>
        <w:rPr>
          <w:vertAlign w:val="baseline"/>
        </w:rPr>
        <w:t>for</w:t>
      </w:r>
      <w:r>
        <w:rPr>
          <w:spacing w:val="55"/>
          <w:vertAlign w:val="baseline"/>
        </w:rPr>
        <w:t> </w:t>
      </w:r>
      <w:r>
        <w:rPr>
          <w:vertAlign w:val="baseline"/>
        </w:rPr>
        <w:t>damages</w:t>
      </w:r>
      <w:r>
        <w:rPr>
          <w:spacing w:val="56"/>
          <w:vertAlign w:val="baseline"/>
        </w:rPr>
        <w:t> </w:t>
      </w:r>
      <w:r>
        <w:rPr>
          <w:vertAlign w:val="baseline"/>
        </w:rPr>
        <w:t>will</w:t>
      </w:r>
      <w:r>
        <w:rPr>
          <w:spacing w:val="55"/>
          <w:vertAlign w:val="baseline"/>
        </w:rPr>
        <w:t> </w:t>
      </w:r>
      <w:r>
        <w:rPr>
          <w:vertAlign w:val="baseline"/>
        </w:rPr>
        <w:t>lie,</w:t>
      </w:r>
      <w:r>
        <w:rPr>
          <w:spacing w:val="56"/>
          <w:vertAlign w:val="baseline"/>
        </w:rPr>
        <w:t> </w:t>
      </w:r>
      <w:r>
        <w:rPr>
          <w:vertAlign w:val="baseline"/>
        </w:rPr>
        <w:t>whether</w:t>
      </w:r>
      <w:r>
        <w:rPr>
          <w:spacing w:val="55"/>
          <w:vertAlign w:val="baseline"/>
        </w:rPr>
        <w:t> </w:t>
      </w:r>
      <w:r>
        <w:rPr>
          <w:spacing w:val="-5"/>
          <w:vertAlign w:val="baseline"/>
        </w:rPr>
        <w:t>the</w:t>
      </w:r>
    </w:p>
    <w:p>
      <w:pPr>
        <w:pStyle w:val="BodyText"/>
        <w:spacing w:line="235" w:lineRule="auto" w:before="116"/>
        <w:ind w:left="164" w:right="167"/>
        <w:jc w:val="both"/>
      </w:pPr>
      <w:r>
        <w:rPr/>
        <w:t>misrepresentation was fraudulent, negligent or innocent. </w:t>
      </w:r>
      <w:r>
        <w:rPr>
          <w:color w:val="005DA1"/>
          <w:u w:val="single" w:color="005DA1"/>
          <w:vertAlign w:val="superscript"/>
        </w:rPr>
        <w:t>482</w:t>
      </w:r>
      <w:r>
        <w:rPr>
          <w:color w:val="005DA1"/>
          <w:spacing w:val="80"/>
          <w:vertAlign w:val="baseline"/>
        </w:rPr>
        <w:t> </w:t>
      </w:r>
      <w:r>
        <w:rPr>
          <w:color w:val="005DA1"/>
          <w:spacing w:val="25"/>
          <w:position w:val="-2"/>
          <w:vertAlign w:val="baseline"/>
        </w:rPr>
        <w:drawing>
          <wp:inline distT="0" distB="0" distL="0" distR="0">
            <wp:extent cx="107988" cy="107988"/>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hAnsi="Times New Roman"/>
          <w:color w:val="005DA1"/>
          <w:spacing w:val="-13"/>
          <w:vertAlign w:val="baseline"/>
        </w:rPr>
        <w:t> </w:t>
      </w:r>
      <w:r>
        <w:rPr>
          <w:vertAlign w:val="baseline"/>
        </w:rPr>
        <w:t>Secondly, the representee may enter into a contract with a third party as a result of the misrepresentation. Even in this situation, it is often </w:t>
      </w:r>
      <w:bookmarkStart w:name="_bookmark909" w:id="911"/>
      <w:bookmarkEnd w:id="911"/>
      <w:r>
        <w:rPr>
          <w:vertAlign w:val="baseline"/>
        </w:rPr>
        <w:t>possible</w:t>
      </w:r>
      <w:r>
        <w:rPr>
          <w:vertAlign w:val="baseline"/>
        </w:rPr>
        <w:t> to construe the misrepresentation as a collateral contract, the consideration for which is supplied by the fact that the representee enters into the contract with the third party. </w:t>
      </w:r>
      <w:r>
        <w:rPr>
          <w:color w:val="005DA1"/>
          <w:u w:val="single" w:color="005DA1"/>
          <w:vertAlign w:val="superscript"/>
        </w:rPr>
        <w:t>483</w:t>
      </w:r>
      <w:r>
        <w:rPr>
          <w:color w:val="005DA1"/>
          <w:vertAlign w:val="baseline"/>
        </w:rPr>
        <w:t> </w:t>
      </w:r>
      <w:r>
        <w:rPr>
          <w:vertAlign w:val="baseline"/>
        </w:rPr>
        <w:t>A familiar </w:t>
      </w:r>
      <w:bookmarkStart w:name="_bookmark910" w:id="912"/>
      <w:bookmarkEnd w:id="912"/>
      <w:r>
        <w:rPr>
          <w:vertAlign w:val="baseline"/>
        </w:rPr>
        <w:t>illustration</w:t>
      </w:r>
      <w:r>
        <w:rPr>
          <w:vertAlign w:val="baseline"/>
        </w:rPr>
        <w:t> of the principle of the collateral contract can be seen in an agent’s liability for breach </w:t>
      </w:r>
      <w:r>
        <w:rPr>
          <w:vertAlign w:val="baseline"/>
        </w:rPr>
        <w:t>of warranty of authority. </w:t>
      </w:r>
      <w:r>
        <w:rPr>
          <w:color w:val="005DA1"/>
          <w:u w:val="single" w:color="005DA1"/>
          <w:vertAlign w:val="superscript"/>
        </w:rPr>
        <w:t>484</w:t>
      </w:r>
    </w:p>
    <w:p>
      <w:pPr>
        <w:pStyle w:val="BodyText"/>
      </w:pPr>
    </w:p>
    <w:p>
      <w:pPr>
        <w:pStyle w:val="BodyText"/>
        <w:spacing w:before="36"/>
      </w:pPr>
    </w:p>
    <w:p>
      <w:pPr>
        <w:spacing w:before="0"/>
        <w:ind w:left="165" w:right="0" w:firstLine="0"/>
        <w:jc w:val="left"/>
        <w:rPr>
          <w:rFonts w:ascii="Arial"/>
          <w:b/>
          <w:sz w:val="18"/>
        </w:rPr>
      </w:pPr>
      <w:r>
        <w:rPr>
          <w:rFonts w:ascii="Arial"/>
          <w:b/>
          <w:spacing w:val="-2"/>
          <w:sz w:val="18"/>
        </w:rPr>
        <w:t>Estoppel</w:t>
      </w:r>
    </w:p>
    <w:p>
      <w:pPr>
        <w:pStyle w:val="BodyText"/>
        <w:spacing w:before="41"/>
        <w:rPr>
          <w:rFonts w:ascii="Arial"/>
          <w:b/>
          <w:sz w:val="18"/>
        </w:rPr>
      </w:pPr>
    </w:p>
    <w:p>
      <w:pPr>
        <w:pStyle w:val="Heading2"/>
        <w:spacing w:before="1"/>
      </w:pPr>
      <w:r>
        <w:rPr/>
        <w:t>7-</w:t>
      </w:r>
      <w:r>
        <w:rPr>
          <w:spacing w:val="-5"/>
        </w:rPr>
        <w:t>103</w:t>
      </w:r>
    </w:p>
    <w:p>
      <w:pPr>
        <w:pStyle w:val="BodyText"/>
        <w:spacing w:line="235" w:lineRule="auto" w:before="202"/>
        <w:ind w:left="164" w:right="167"/>
        <w:jc w:val="both"/>
      </w:pPr>
      <w:r>
        <w:rPr/>
        <w:t>Circumstances may arise in which damages are recoverable for a completely </w:t>
      </w:r>
      <w:r>
        <w:rPr/>
        <w:t>innocent misrepresentation,</w:t>
      </w:r>
      <w:r>
        <w:rPr>
          <w:spacing w:val="-2"/>
        </w:rPr>
        <w:t> </w:t>
      </w:r>
      <w:r>
        <w:rPr/>
        <w:t>through</w:t>
      </w:r>
      <w:r>
        <w:rPr>
          <w:spacing w:val="-2"/>
        </w:rPr>
        <w:t> </w:t>
      </w:r>
      <w:r>
        <w:rPr/>
        <w:t>the</w:t>
      </w:r>
      <w:r>
        <w:rPr>
          <w:spacing w:val="-2"/>
        </w:rPr>
        <w:t> </w:t>
      </w:r>
      <w:r>
        <w:rPr/>
        <w:t>assistance</w:t>
      </w:r>
      <w:r>
        <w:rPr>
          <w:spacing w:val="-2"/>
        </w:rPr>
        <w:t> </w:t>
      </w:r>
      <w:r>
        <w:rPr/>
        <w:t>of</w:t>
      </w:r>
      <w:r>
        <w:rPr>
          <w:spacing w:val="-2"/>
        </w:rPr>
        <w:t> </w:t>
      </w:r>
      <w:r>
        <w:rPr/>
        <w:t>the</w:t>
      </w:r>
      <w:r>
        <w:rPr>
          <w:spacing w:val="-2"/>
        </w:rPr>
        <w:t> </w:t>
      </w:r>
      <w:r>
        <w:rPr/>
        <w:t>doctrine</w:t>
      </w:r>
      <w:r>
        <w:rPr>
          <w:spacing w:val="-2"/>
        </w:rPr>
        <w:t> </w:t>
      </w:r>
      <w:r>
        <w:rPr/>
        <w:t>of</w:t>
      </w:r>
      <w:r>
        <w:rPr>
          <w:spacing w:val="-2"/>
        </w:rPr>
        <w:t> </w:t>
      </w:r>
      <w:r>
        <w:rPr/>
        <w:t>estoppel.</w:t>
      </w:r>
      <w:r>
        <w:rPr>
          <w:spacing w:val="-2"/>
        </w:rPr>
        <w:t> </w:t>
      </w:r>
      <w:r>
        <w:rPr/>
        <w:t>For</w:t>
      </w:r>
      <w:r>
        <w:rPr>
          <w:spacing w:val="-2"/>
        </w:rPr>
        <w:t> </w:t>
      </w:r>
      <w:r>
        <w:rPr/>
        <w:t>example,</w:t>
      </w:r>
      <w:r>
        <w:rPr>
          <w:spacing w:val="-2"/>
        </w:rPr>
        <w:t> </w:t>
      </w:r>
      <w:r>
        <w:rPr/>
        <w:t>if</w:t>
      </w:r>
      <w:r>
        <w:rPr>
          <w:spacing w:val="-2"/>
        </w:rPr>
        <w:t> </w:t>
      </w:r>
      <w:r>
        <w:rPr/>
        <w:t>a</w:t>
      </w:r>
      <w:r>
        <w:rPr>
          <w:spacing w:val="-2"/>
        </w:rPr>
        <w:t> </w:t>
      </w:r>
      <w:r>
        <w:rPr/>
        <w:t>person</w:t>
      </w:r>
      <w:r>
        <w:rPr>
          <w:spacing w:val="-2"/>
        </w:rPr>
        <w:t> </w:t>
      </w:r>
      <w:r>
        <w:rPr/>
        <w:t>agrees to buy shares in a company on the strength of a share certificate issued to the seller stating that he is the registered owner of the shares, the company may be estopped from denying that the seller was in </w:t>
      </w:r>
      <w:bookmarkStart w:name="_bookmark911" w:id="913"/>
      <w:bookmarkEnd w:id="913"/>
      <w:r>
        <w:rPr/>
        <w:t>truth</w:t>
      </w:r>
      <w:r>
        <w:rPr/>
        <w:t> the owner of the shares. The purchaser is, in these circumstances, entitled to demand that the company register him as the owner of the shares, or to claim damages in lieu.</w:t>
      </w:r>
      <w:r>
        <w:rPr>
          <w:spacing w:val="-1"/>
        </w:rPr>
        <w:t> </w:t>
      </w:r>
      <w:r>
        <w:rPr>
          <w:color w:val="005DA1"/>
          <w:u w:val="single" w:color="005DA1"/>
          <w:vertAlign w:val="superscript"/>
        </w:rPr>
        <w:t>485</w:t>
      </w:r>
      <w:r>
        <w:rPr>
          <w:color w:val="005DA1"/>
          <w:vertAlign w:val="baseline"/>
        </w:rPr>
        <w:t> </w:t>
      </w:r>
      <w:r>
        <w:rPr>
          <w:vertAlign w:val="baseline"/>
        </w:rPr>
        <w:t>The purchaser does not claim damages directly for the misrepresentation, but the net effect is much the same. For the </w:t>
      </w:r>
      <w:bookmarkStart w:name="_bookmark912" w:id="914"/>
      <w:bookmarkEnd w:id="914"/>
      <w:r>
        <w:rPr>
          <w:vertAlign w:val="baseline"/>
        </w:rPr>
        <w:t>doctrine</w:t>
      </w:r>
      <w:r>
        <w:rPr>
          <w:vertAlign w:val="baseline"/>
        </w:rPr>
        <w:t> of estoppel to apply the usual requirements of an estoppel must be satisfied; in particular the </w:t>
      </w:r>
      <w:bookmarkStart w:name="_bookmark913" w:id="915"/>
      <w:bookmarkEnd w:id="915"/>
      <w:r>
        <w:rPr>
          <w:vertAlign w:val="baseline"/>
        </w:rPr>
        <w:t>statement</w:t>
      </w:r>
      <w:r>
        <w:rPr>
          <w:vertAlign w:val="baseline"/>
        </w:rPr>
        <w:t> relied on must be precise, unambiguous and unqualified. </w:t>
      </w:r>
      <w:r>
        <w:rPr>
          <w:color w:val="005DA1"/>
          <w:u w:val="single" w:color="005DA1"/>
          <w:vertAlign w:val="superscript"/>
        </w:rPr>
        <w:t>486</w:t>
      </w:r>
      <w:r>
        <w:rPr>
          <w:color w:val="005DA1"/>
          <w:vertAlign w:val="baseline"/>
        </w:rPr>
        <w:t> </w:t>
      </w:r>
      <w:r>
        <w:rPr>
          <w:vertAlign w:val="baseline"/>
        </w:rPr>
        <w:t>An estoppel may in</w:t>
      </w:r>
      <w:r>
        <w:rPr>
          <w:spacing w:val="40"/>
          <w:vertAlign w:val="baseline"/>
        </w:rPr>
        <w:t> </w:t>
      </w:r>
      <w:r>
        <w:rPr>
          <w:vertAlign w:val="baseline"/>
        </w:rPr>
        <w:t>exceptional circumstances arise out of non-disclosure, but a duty to disclose must then be shown. </w:t>
      </w:r>
      <w:r>
        <w:rPr>
          <w:color w:val="005DA1"/>
          <w:u w:val="single" w:color="005DA1"/>
          <w:vertAlign w:val="superscript"/>
        </w:rPr>
        <w:t>487</w:t>
      </w:r>
      <w:r>
        <w:rPr>
          <w:color w:val="005DA1"/>
          <w:vertAlign w:val="baseline"/>
        </w:rPr>
        <w:t> </w:t>
      </w:r>
      <w:bookmarkStart w:name="_bookmark914" w:id="916"/>
      <w:bookmarkEnd w:id="916"/>
      <w:r>
        <w:rPr>
          <w:color w:val="005DA1"/>
          <w:w w:val="92"/>
          <w:vertAlign w:val="baseline"/>
        </w:rPr>
      </w:r>
      <w:r>
        <w:rPr>
          <w:vertAlign w:val="baseline"/>
        </w:rPr>
        <w:t>It is also necessary that some independent cause of action be shown, apart from the misrepresentation itself. </w:t>
      </w:r>
      <w:r>
        <w:rPr>
          <w:color w:val="005DA1"/>
          <w:u w:val="single" w:color="005DA1"/>
          <w:vertAlign w:val="superscript"/>
        </w:rPr>
        <w:t>488</w:t>
      </w:r>
      <w:r>
        <w:rPr>
          <w:color w:val="005DA1"/>
          <w:vertAlign w:val="baseline"/>
        </w:rPr>
        <w:t> </w:t>
      </w:r>
      <w:r>
        <w:rPr>
          <w:vertAlign w:val="baseline"/>
        </w:rPr>
        <w:t>This cause of action will normally be a claim to some form of property to </w:t>
      </w:r>
      <w:bookmarkStart w:name="_bookmark915" w:id="917"/>
      <w:bookmarkEnd w:id="917"/>
      <w:r>
        <w:rPr>
          <w:vertAlign w:val="baseline"/>
        </w:rPr>
        <w:t>which</w:t>
      </w:r>
      <w:r>
        <w:rPr>
          <w:vertAlign w:val="baseline"/>
        </w:rPr>
        <w:t> the representee would be entitled if the representation were true, and the truth of which the </w:t>
      </w:r>
      <w:bookmarkStart w:name="_bookmark916" w:id="918"/>
      <w:bookmarkEnd w:id="918"/>
      <w:r>
        <w:rPr>
          <w:vertAlign w:val="baseline"/>
        </w:rPr>
        <w:t>representor</w:t>
      </w:r>
      <w:r>
        <w:rPr>
          <w:spacing w:val="11"/>
          <w:vertAlign w:val="baseline"/>
        </w:rPr>
        <w:t> </w:t>
      </w:r>
      <w:r>
        <w:rPr>
          <w:vertAlign w:val="baseline"/>
        </w:rPr>
        <w:t>is</w:t>
      </w:r>
      <w:r>
        <w:rPr>
          <w:spacing w:val="13"/>
          <w:vertAlign w:val="baseline"/>
        </w:rPr>
        <w:t> </w:t>
      </w:r>
      <w:r>
        <w:rPr>
          <w:vertAlign w:val="baseline"/>
        </w:rPr>
        <w:t>not</w:t>
      </w:r>
      <w:r>
        <w:rPr>
          <w:spacing w:val="13"/>
          <w:vertAlign w:val="baseline"/>
        </w:rPr>
        <w:t> </w:t>
      </w:r>
      <w:r>
        <w:rPr>
          <w:vertAlign w:val="baseline"/>
        </w:rPr>
        <w:t>entitled</w:t>
      </w:r>
      <w:r>
        <w:rPr>
          <w:spacing w:val="13"/>
          <w:vertAlign w:val="baseline"/>
        </w:rPr>
        <w:t> </w:t>
      </w:r>
      <w:r>
        <w:rPr>
          <w:vertAlign w:val="baseline"/>
        </w:rPr>
        <w:t>to</w:t>
      </w:r>
      <w:r>
        <w:rPr>
          <w:spacing w:val="13"/>
          <w:vertAlign w:val="baseline"/>
        </w:rPr>
        <w:t> </w:t>
      </w:r>
      <w:r>
        <w:rPr>
          <w:vertAlign w:val="baseline"/>
        </w:rPr>
        <w:t>deny,</w:t>
      </w:r>
      <w:r>
        <w:rPr>
          <w:spacing w:val="13"/>
          <w:vertAlign w:val="baseline"/>
        </w:rPr>
        <w:t> </w:t>
      </w:r>
      <w:r>
        <w:rPr>
          <w:vertAlign w:val="baseline"/>
        </w:rPr>
        <w:t>e.g.,</w:t>
      </w:r>
      <w:r>
        <w:rPr>
          <w:spacing w:val="13"/>
          <w:vertAlign w:val="baseline"/>
        </w:rPr>
        <w:t> </w:t>
      </w:r>
      <w:r>
        <w:rPr>
          <w:vertAlign w:val="baseline"/>
        </w:rPr>
        <w:t>money</w:t>
      </w:r>
      <w:r>
        <w:rPr>
          <w:spacing w:val="13"/>
          <w:vertAlign w:val="baseline"/>
        </w:rPr>
        <w:t> </w:t>
      </w:r>
      <w:r>
        <w:rPr>
          <w:vertAlign w:val="baseline"/>
        </w:rPr>
        <w:t>which</w:t>
      </w:r>
      <w:r>
        <w:rPr>
          <w:spacing w:val="13"/>
          <w:vertAlign w:val="baseline"/>
        </w:rPr>
        <w:t> </w:t>
      </w:r>
      <w:r>
        <w:rPr>
          <w:vertAlign w:val="baseline"/>
        </w:rPr>
        <w:t>would</w:t>
      </w:r>
      <w:r>
        <w:rPr>
          <w:spacing w:val="13"/>
          <w:vertAlign w:val="baseline"/>
        </w:rPr>
        <w:t> </w:t>
      </w:r>
      <w:r>
        <w:rPr>
          <w:vertAlign w:val="baseline"/>
        </w:rPr>
        <w:t>be</w:t>
      </w:r>
      <w:r>
        <w:rPr>
          <w:spacing w:val="13"/>
          <w:vertAlign w:val="baseline"/>
        </w:rPr>
        <w:t> </w:t>
      </w:r>
      <w:r>
        <w:rPr>
          <w:vertAlign w:val="baseline"/>
        </w:rPr>
        <w:t>due</w:t>
      </w:r>
      <w:r>
        <w:rPr>
          <w:spacing w:val="13"/>
          <w:vertAlign w:val="baseline"/>
        </w:rPr>
        <w:t> </w:t>
      </w:r>
      <w:r>
        <w:rPr>
          <w:vertAlign w:val="baseline"/>
        </w:rPr>
        <w:t>to</w:t>
      </w:r>
      <w:r>
        <w:rPr>
          <w:spacing w:val="13"/>
          <w:vertAlign w:val="baseline"/>
        </w:rPr>
        <w:t> </w:t>
      </w:r>
      <w:r>
        <w:rPr>
          <w:vertAlign w:val="baseline"/>
        </w:rPr>
        <w:t>the</w:t>
      </w:r>
      <w:r>
        <w:rPr>
          <w:spacing w:val="13"/>
          <w:vertAlign w:val="baseline"/>
        </w:rPr>
        <w:t> </w:t>
      </w:r>
      <w:r>
        <w:rPr>
          <w:vertAlign w:val="baseline"/>
        </w:rPr>
        <w:t>representee</w:t>
      </w:r>
      <w:r>
        <w:rPr>
          <w:spacing w:val="13"/>
          <w:vertAlign w:val="baseline"/>
        </w:rPr>
        <w:t> </w:t>
      </w:r>
      <w:r>
        <w:rPr>
          <w:vertAlign w:val="baseline"/>
        </w:rPr>
        <w:t>as</w:t>
      </w:r>
      <w:r>
        <w:rPr>
          <w:spacing w:val="13"/>
          <w:vertAlign w:val="baseline"/>
        </w:rPr>
        <w:t> </w:t>
      </w:r>
      <w:r>
        <w:rPr>
          <w:spacing w:val="-2"/>
          <w:vertAlign w:val="baseline"/>
        </w:rPr>
        <w:t>assignee,</w:t>
      </w:r>
    </w:p>
    <w:p>
      <w:pPr>
        <w:pStyle w:val="BodyText"/>
        <w:spacing w:line="221" w:lineRule="exact"/>
        <w:ind w:left="165"/>
        <w:jc w:val="both"/>
      </w:pPr>
      <w:r>
        <w:rPr>
          <w:color w:val="005DA1"/>
          <w:u w:val="single" w:color="005DA1"/>
          <w:vertAlign w:val="superscript"/>
        </w:rPr>
        <w:t>489</w:t>
      </w:r>
      <w:r>
        <w:rPr>
          <w:color w:val="005DA1"/>
          <w:spacing w:val="-3"/>
          <w:vertAlign w:val="baseline"/>
        </w:rPr>
        <w:t> </w:t>
      </w:r>
      <w:r>
        <w:rPr>
          <w:vertAlign w:val="baseline"/>
        </w:rPr>
        <w:t>or</w:t>
      </w:r>
      <w:r>
        <w:rPr>
          <w:spacing w:val="-1"/>
          <w:vertAlign w:val="baseline"/>
        </w:rPr>
        <w:t> </w:t>
      </w:r>
      <w:r>
        <w:rPr>
          <w:vertAlign w:val="baseline"/>
        </w:rPr>
        <w:t>goods</w:t>
      </w:r>
      <w:r>
        <w:rPr>
          <w:spacing w:val="-1"/>
          <w:vertAlign w:val="baseline"/>
        </w:rPr>
        <w:t> </w:t>
      </w:r>
      <w:r>
        <w:rPr>
          <w:vertAlign w:val="baseline"/>
        </w:rPr>
        <w:t>which</w:t>
      </w:r>
      <w:r>
        <w:rPr>
          <w:spacing w:val="-1"/>
          <w:vertAlign w:val="baseline"/>
        </w:rPr>
        <w:t> </w:t>
      </w:r>
      <w:r>
        <w:rPr>
          <w:vertAlign w:val="baseline"/>
        </w:rPr>
        <w:t>the</w:t>
      </w:r>
      <w:r>
        <w:rPr>
          <w:spacing w:val="-1"/>
          <w:vertAlign w:val="baseline"/>
        </w:rPr>
        <w:t> </w:t>
      </w:r>
      <w:r>
        <w:rPr>
          <w:vertAlign w:val="baseline"/>
        </w:rPr>
        <w:t>representor</w:t>
      </w:r>
      <w:r>
        <w:rPr>
          <w:spacing w:val="-1"/>
          <w:vertAlign w:val="baseline"/>
        </w:rPr>
        <w:t> </w:t>
      </w:r>
      <w:r>
        <w:rPr>
          <w:vertAlign w:val="baseline"/>
        </w:rPr>
        <w:t>has</w:t>
      </w:r>
      <w:r>
        <w:rPr>
          <w:spacing w:val="-1"/>
          <w:vertAlign w:val="baseline"/>
        </w:rPr>
        <w:t> </w:t>
      </w:r>
      <w:r>
        <w:rPr>
          <w:vertAlign w:val="baseline"/>
        </w:rPr>
        <w:t>acknowledged</w:t>
      </w:r>
      <w:r>
        <w:rPr>
          <w:spacing w:val="-1"/>
          <w:vertAlign w:val="baseline"/>
        </w:rPr>
        <w:t> </w:t>
      </w:r>
      <w:r>
        <w:rPr>
          <w:vertAlign w:val="baseline"/>
        </w:rPr>
        <w:t>that</w:t>
      </w:r>
      <w:r>
        <w:rPr>
          <w:spacing w:val="-1"/>
          <w:vertAlign w:val="baseline"/>
        </w:rPr>
        <w:t> </w:t>
      </w:r>
      <w:r>
        <w:rPr>
          <w:vertAlign w:val="baseline"/>
        </w:rPr>
        <w:t>he</w:t>
      </w:r>
      <w:r>
        <w:rPr>
          <w:spacing w:val="-1"/>
          <w:vertAlign w:val="baseline"/>
        </w:rPr>
        <w:t> </w:t>
      </w:r>
      <w:r>
        <w:rPr>
          <w:vertAlign w:val="baseline"/>
        </w:rPr>
        <w:t>holds</w:t>
      </w:r>
      <w:r>
        <w:rPr>
          <w:spacing w:val="-1"/>
          <w:vertAlign w:val="baseline"/>
        </w:rPr>
        <w:t> </w:t>
      </w:r>
      <w:r>
        <w:rPr>
          <w:vertAlign w:val="baseline"/>
        </w:rPr>
        <w:t>on</w:t>
      </w:r>
      <w:r>
        <w:rPr>
          <w:spacing w:val="-2"/>
          <w:vertAlign w:val="baseline"/>
        </w:rPr>
        <w:t> </w:t>
      </w:r>
      <w:r>
        <w:rPr>
          <w:vertAlign w:val="baseline"/>
        </w:rPr>
        <w:t>behalf</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representee.</w:t>
      </w:r>
      <w:r>
        <w:rPr>
          <w:spacing w:val="-3"/>
          <w:vertAlign w:val="baseline"/>
        </w:rPr>
        <w:t> </w:t>
      </w:r>
      <w:r>
        <w:rPr>
          <w:color w:val="005DA1"/>
          <w:spacing w:val="-5"/>
          <w:u w:val="single" w:color="005DA1"/>
          <w:vertAlign w:val="superscript"/>
        </w:rPr>
        <w:t>490</w:t>
      </w:r>
    </w:p>
    <w:p>
      <w:pPr>
        <w:pStyle w:val="BodyText"/>
        <w:spacing w:after="0" w:line="221" w:lineRule="exact"/>
        <w:jc w:val="both"/>
        <w:sectPr>
          <w:headerReference w:type="default" r:id="rId13"/>
          <w:pgSz w:w="11900" w:h="16840"/>
          <w:pgMar w:header="971" w:footer="0" w:top="1160" w:bottom="280" w:left="1275" w:right="1275"/>
          <w:pgNumType w:start="1"/>
        </w:sectPr>
      </w:pPr>
    </w:p>
    <w:p>
      <w:pPr>
        <w:pStyle w:val="BodyText"/>
        <w:rPr>
          <w:sz w:val="18"/>
        </w:rPr>
      </w:pPr>
    </w:p>
    <w:p>
      <w:pPr>
        <w:pStyle w:val="BodyText"/>
        <w:spacing w:before="119"/>
        <w:rPr>
          <w:sz w:val="18"/>
        </w:rPr>
      </w:pPr>
    </w:p>
    <w:p>
      <w:pPr>
        <w:spacing w:before="0"/>
        <w:ind w:left="165" w:right="0" w:firstLine="0"/>
        <w:jc w:val="left"/>
        <w:rPr>
          <w:rFonts w:ascii="Arial"/>
          <w:b/>
          <w:sz w:val="18"/>
        </w:rPr>
      </w:pPr>
      <w:bookmarkStart w:name="_bookmark917" w:id="919"/>
      <w:bookmarkEnd w:id="919"/>
      <w:r>
        <w:rPr/>
      </w:r>
      <w:r>
        <w:rPr>
          <w:rFonts w:ascii="Arial"/>
          <w:b/>
          <w:sz w:val="18"/>
        </w:rPr>
        <w:t>Misrepresentation Act section 2(2)</w:t>
      </w:r>
      <w:r>
        <w:rPr>
          <w:rFonts w:ascii="Arial"/>
          <w:b/>
          <w:spacing w:val="-1"/>
          <w:sz w:val="18"/>
        </w:rPr>
        <w:t> </w:t>
      </w:r>
      <w:r>
        <w:rPr>
          <w:rFonts w:ascii="Arial"/>
          <w:b/>
          <w:color w:val="005DA1"/>
          <w:spacing w:val="-5"/>
          <w:sz w:val="18"/>
          <w:u w:val="single" w:color="005DA1"/>
          <w:vertAlign w:val="superscript"/>
        </w:rPr>
        <w:t>491</w:t>
      </w:r>
    </w:p>
    <w:p>
      <w:pPr>
        <w:pStyle w:val="BodyText"/>
        <w:spacing w:before="41"/>
        <w:rPr>
          <w:rFonts w:ascii="Arial"/>
          <w:b/>
          <w:sz w:val="18"/>
        </w:rPr>
      </w:pPr>
    </w:p>
    <w:p>
      <w:pPr>
        <w:pStyle w:val="Heading2"/>
        <w:spacing w:before="1"/>
      </w:pPr>
      <w:r>
        <w:rPr/>
        <w:t>7-</w:t>
      </w:r>
      <w:r>
        <w:rPr>
          <w:spacing w:val="-5"/>
        </w:rPr>
        <w:t>104</w:t>
      </w:r>
    </w:p>
    <w:p>
      <w:pPr>
        <w:pStyle w:val="BodyText"/>
        <w:spacing w:before="199"/>
        <w:ind w:left="165"/>
        <w:jc w:val="both"/>
      </w:pPr>
      <w:r>
        <w:rPr/>
        <w:t>This subsection reads as </w:t>
      </w:r>
      <w:r>
        <w:rPr>
          <w:spacing w:val="-2"/>
        </w:rPr>
        <w:t>follows:</w:t>
      </w:r>
    </w:p>
    <w:p>
      <w:pPr>
        <w:pStyle w:val="BodyText"/>
      </w:pPr>
    </w:p>
    <w:p>
      <w:pPr>
        <w:pStyle w:val="BodyText"/>
        <w:spacing w:before="125"/>
      </w:pPr>
    </w:p>
    <w:p>
      <w:pPr>
        <w:pStyle w:val="BodyText"/>
        <w:spacing w:line="235" w:lineRule="auto"/>
        <w:ind w:left="1245" w:right="167"/>
        <w:jc w:val="both"/>
      </w:pPr>
      <w:r>
        <w:rPr/>
        <w:t>“Where a person has entered into a contract after a misrepresentation has been made to him otherwise than fraudulently, and he would be entitled, by reason of the misrepresentation,</w:t>
      </w:r>
      <w:r>
        <w:rPr>
          <w:spacing w:val="-2"/>
        </w:rPr>
        <w:t> </w:t>
      </w:r>
      <w:r>
        <w:rPr/>
        <w:t>to</w:t>
      </w:r>
      <w:r>
        <w:rPr>
          <w:spacing w:val="-2"/>
        </w:rPr>
        <w:t> </w:t>
      </w:r>
      <w:r>
        <w:rPr/>
        <w:t>rescind</w:t>
      </w:r>
      <w:r>
        <w:rPr>
          <w:spacing w:val="-2"/>
        </w:rPr>
        <w:t> </w:t>
      </w:r>
      <w:r>
        <w:rPr/>
        <w:t>the</w:t>
      </w:r>
      <w:r>
        <w:rPr>
          <w:spacing w:val="-2"/>
        </w:rPr>
        <w:t> </w:t>
      </w:r>
      <w:r>
        <w:rPr/>
        <w:t>contract,</w:t>
      </w:r>
      <w:r>
        <w:rPr>
          <w:spacing w:val="-2"/>
        </w:rPr>
        <w:t> </w:t>
      </w:r>
      <w:r>
        <w:rPr/>
        <w:t>then,</w:t>
      </w:r>
      <w:r>
        <w:rPr>
          <w:spacing w:val="-2"/>
        </w:rPr>
        <w:t> </w:t>
      </w:r>
      <w:r>
        <w:rPr/>
        <w:t>if</w:t>
      </w:r>
      <w:r>
        <w:rPr>
          <w:spacing w:val="-2"/>
        </w:rPr>
        <w:t> </w:t>
      </w:r>
      <w:r>
        <w:rPr/>
        <w:t>it</w:t>
      </w:r>
      <w:r>
        <w:rPr>
          <w:spacing w:val="-2"/>
        </w:rPr>
        <w:t> </w:t>
      </w:r>
      <w:r>
        <w:rPr/>
        <w:t>is</w:t>
      </w:r>
      <w:r>
        <w:rPr>
          <w:spacing w:val="-2"/>
        </w:rPr>
        <w:t> </w:t>
      </w:r>
      <w:r>
        <w:rPr/>
        <w:t>claimed,</w:t>
      </w:r>
      <w:r>
        <w:rPr>
          <w:spacing w:val="-2"/>
        </w:rPr>
        <w:t> </w:t>
      </w:r>
      <w:r>
        <w:rPr/>
        <w:t>in</w:t>
      </w:r>
      <w:r>
        <w:rPr>
          <w:spacing w:val="-2"/>
        </w:rPr>
        <w:t> </w:t>
      </w:r>
      <w:r>
        <w:rPr/>
        <w:t>any</w:t>
      </w:r>
      <w:r>
        <w:rPr>
          <w:spacing w:val="-2"/>
        </w:rPr>
        <w:t> </w:t>
      </w:r>
      <w:r>
        <w:rPr/>
        <w:t>proceedings</w:t>
      </w:r>
      <w:r>
        <w:rPr>
          <w:spacing w:val="-2"/>
        </w:rPr>
        <w:t> </w:t>
      </w:r>
      <w:r>
        <w:rPr/>
        <w:t>arising out of the contract, that the contract ought to be or has been rescinded, the court or arbitrator may declare the contract subsisting and award damages in lieu of rescission, if of opinion that it would be equitable to do so, having regard to the nature of the misrepresentation and the loss that would be caused by it if the contract were upheld, as well as to the loss that rescission would cause to the other party.”</w:t>
      </w:r>
    </w:p>
    <w:p>
      <w:pPr>
        <w:pStyle w:val="BodyText"/>
        <w:spacing w:before="114"/>
      </w:pPr>
    </w:p>
    <w:p>
      <w:pPr>
        <w:pStyle w:val="BodyText"/>
        <w:spacing w:line="235" w:lineRule="auto"/>
        <w:ind w:left="165" w:right="167"/>
        <w:jc w:val="both"/>
      </w:pPr>
      <w:r>
        <w:rPr/>
        <w:t>It will be seen that this subsection does not give a representee any </w:t>
      </w:r>
      <w:r>
        <w:rPr>
          <w:rFonts w:ascii="Arial"/>
          <w:i/>
        </w:rPr>
        <w:t>right </w:t>
      </w:r>
      <w:r>
        <w:rPr/>
        <w:t>to claim damages, but it </w:t>
      </w:r>
      <w:bookmarkStart w:name="_bookmark918" w:id="920"/>
      <w:bookmarkEnd w:id="920"/>
      <w:r>
        <w:rPr/>
        <w:t>enables</w:t>
      </w:r>
      <w:r>
        <w:rPr/>
        <w:t> the court, in its discretion, to grant damages to the representee in lieu of rescinding the contract. </w:t>
      </w:r>
      <w:r>
        <w:rPr>
          <w:color w:val="005DA1"/>
          <w:u w:val="single" w:color="005DA1"/>
          <w:vertAlign w:val="superscript"/>
        </w:rPr>
        <w:t>492</w:t>
      </w:r>
      <w:r>
        <w:rPr>
          <w:color w:val="005DA1"/>
          <w:vertAlign w:val="baseline"/>
        </w:rPr>
        <w:t> </w:t>
      </w:r>
      <w:r>
        <w:rPr>
          <w:vertAlign w:val="baseline"/>
        </w:rPr>
        <w:t>It seems probable that the subsection was intended principally for the benefit of </w:t>
      </w:r>
      <w:r>
        <w:rPr>
          <w:vertAlign w:val="baseline"/>
        </w:rPr>
        <w:t>the </w:t>
      </w:r>
      <w:bookmarkStart w:name="_bookmark919" w:id="921"/>
      <w:bookmarkEnd w:id="921"/>
      <w:r>
        <w:rPr>
          <w:vertAlign w:val="baseline"/>
        </w:rPr>
        <w:t>representor,</w:t>
      </w:r>
      <w:r>
        <w:rPr>
          <w:vertAlign w:val="baseline"/>
        </w:rPr>
        <w:t> so that a contract need not be rescinded where the court feels that the representee can be adequately compensated in damages. </w:t>
      </w:r>
      <w:r>
        <w:rPr>
          <w:color w:val="005DA1"/>
          <w:u w:val="single" w:color="005DA1"/>
          <w:vertAlign w:val="superscript"/>
        </w:rPr>
        <w:t>493</w:t>
      </w:r>
      <w:r>
        <w:rPr>
          <w:color w:val="005DA1"/>
          <w:vertAlign w:val="baseline"/>
        </w:rPr>
        <w:t> </w:t>
      </w:r>
      <w:r>
        <w:rPr>
          <w:vertAlign w:val="baseline"/>
        </w:rPr>
        <w:t>But cases may well occur in which damages would be the preferable remedy for the representee. In this event there seems nothing to prevent the representee from claiming the right to rescind but then inviting the court to award damages in lieu.</w:t>
      </w:r>
      <w:r>
        <w:rPr>
          <w:spacing w:val="80"/>
          <w:vertAlign w:val="baseline"/>
        </w:rPr>
        <w:t> </w:t>
      </w:r>
      <w:r>
        <w:rPr>
          <w:vertAlign w:val="baseline"/>
        </w:rPr>
        <w:t>Nor does there seem to be anything which would prevent the court from taking this course over the protests of the representor, who may prefer rescission to an award of damages.</w:t>
      </w:r>
    </w:p>
    <w:p>
      <w:pPr>
        <w:pStyle w:val="BodyText"/>
      </w:pPr>
    </w:p>
    <w:p>
      <w:pPr>
        <w:pStyle w:val="BodyText"/>
        <w:spacing w:before="35"/>
      </w:pPr>
    </w:p>
    <w:p>
      <w:pPr>
        <w:spacing w:before="0"/>
        <w:ind w:left="165" w:right="0" w:firstLine="0"/>
        <w:jc w:val="both"/>
        <w:rPr>
          <w:rFonts w:ascii="Arial"/>
          <w:b/>
          <w:sz w:val="18"/>
        </w:rPr>
      </w:pPr>
      <w:r>
        <w:rPr>
          <w:rFonts w:ascii="Arial"/>
          <w:b/>
          <w:sz w:val="18"/>
        </w:rPr>
        <w:t>Damages only in lieu of </w:t>
      </w:r>
      <w:r>
        <w:rPr>
          <w:rFonts w:ascii="Arial"/>
          <w:b/>
          <w:spacing w:val="-2"/>
          <w:sz w:val="18"/>
        </w:rPr>
        <w:t>rescission</w:t>
      </w:r>
    </w:p>
    <w:p>
      <w:pPr>
        <w:pStyle w:val="BodyText"/>
        <w:spacing w:before="41"/>
        <w:rPr>
          <w:rFonts w:ascii="Arial"/>
          <w:b/>
          <w:sz w:val="18"/>
        </w:rPr>
      </w:pPr>
    </w:p>
    <w:p>
      <w:pPr>
        <w:pStyle w:val="Heading2"/>
      </w:pPr>
      <w:r>
        <w:rPr/>
        <w:t>7-</w:t>
      </w:r>
      <w:r>
        <w:rPr>
          <w:spacing w:val="-5"/>
        </w:rPr>
        <w:t>105</w:t>
      </w:r>
    </w:p>
    <w:p>
      <w:pPr>
        <w:pStyle w:val="BodyText"/>
        <w:spacing w:line="235" w:lineRule="auto" w:before="203"/>
        <w:ind w:left="165" w:right="167"/>
        <w:jc w:val="both"/>
      </w:pPr>
      <w:r>
        <w:rPr/>
        <w:t>But it is important to note two limitations on the power to award damages under this subsection. First, damages can only be awarded </w:t>
      </w:r>
      <w:r>
        <w:rPr>
          <w:rFonts w:ascii="Arial"/>
          <w:i/>
        </w:rPr>
        <w:t>in lieu </w:t>
      </w:r>
      <w:r>
        <w:rPr/>
        <w:t>of rescission. In the case of a fraudulent misrepresentation, to </w:t>
      </w:r>
      <w:bookmarkStart w:name="_bookmark920" w:id="922"/>
      <w:bookmarkEnd w:id="922"/>
      <w:r>
        <w:rPr/>
        <w:t>which</w:t>
      </w:r>
      <w:r>
        <w:rPr/>
        <w:t> the subsection does not apply, the representee can both rescind and claim damages as of</w:t>
      </w:r>
      <w:r>
        <w:rPr>
          <w:spacing w:val="40"/>
        </w:rPr>
        <w:t> </w:t>
      </w:r>
      <w:r>
        <w:rPr/>
        <w:t>right. </w:t>
      </w:r>
      <w:r>
        <w:rPr>
          <w:color w:val="005DA1"/>
          <w:u w:val="single" w:color="005DA1"/>
          <w:vertAlign w:val="superscript"/>
        </w:rPr>
        <w:t>494</w:t>
      </w:r>
      <w:r>
        <w:rPr>
          <w:color w:val="005DA1"/>
          <w:vertAlign w:val="baseline"/>
        </w:rPr>
        <w:t> </w:t>
      </w:r>
      <w:r>
        <w:rPr>
          <w:vertAlign w:val="baseline"/>
        </w:rPr>
        <w:t>Rescission for fraud is rescission ab initio, and damages for breach of contract cannot </w:t>
      </w:r>
      <w:r>
        <w:rPr>
          <w:vertAlign w:val="baseline"/>
        </w:rPr>
        <w:t>be recovered after such rescission, but damages for fraud are recovered in tort and there is no reason why this remedy should not survive rescission of the contract. In the case of a negligent misrepresentation, the representee can claim both rescission and damages, but whereas his claim to </w:t>
      </w:r>
      <w:bookmarkStart w:name="_bookmark921" w:id="923"/>
      <w:bookmarkEnd w:id="923"/>
      <w:r>
        <w:rPr>
          <w:vertAlign w:val="baseline"/>
        </w:rPr>
        <w:t>damages</w:t>
      </w:r>
      <w:r>
        <w:rPr>
          <w:spacing w:val="-1"/>
          <w:vertAlign w:val="baseline"/>
        </w:rPr>
        <w:t> </w:t>
      </w:r>
      <w:r>
        <w:rPr>
          <w:vertAlign w:val="baseline"/>
        </w:rPr>
        <w:t>under</w:t>
      </w:r>
      <w:r>
        <w:rPr>
          <w:spacing w:val="-1"/>
          <w:vertAlign w:val="baseline"/>
        </w:rPr>
        <w:t> </w:t>
      </w:r>
      <w:r>
        <w:rPr>
          <w:vertAlign w:val="baseline"/>
        </w:rPr>
        <w:t>s.2(1)</w:t>
      </w:r>
      <w:r>
        <w:rPr>
          <w:spacing w:val="-1"/>
          <w:vertAlign w:val="baseline"/>
        </w:rPr>
        <w:t> </w:t>
      </w:r>
      <w:r>
        <w:rPr>
          <w:vertAlign w:val="baseline"/>
        </w:rPr>
        <w:t>is</w:t>
      </w:r>
      <w:r>
        <w:rPr>
          <w:spacing w:val="-1"/>
          <w:vertAlign w:val="baseline"/>
        </w:rPr>
        <w:t> </w:t>
      </w:r>
      <w:r>
        <w:rPr>
          <w:vertAlign w:val="baseline"/>
        </w:rPr>
        <w:t>as</w:t>
      </w:r>
      <w:r>
        <w:rPr>
          <w:spacing w:val="-1"/>
          <w:vertAlign w:val="baseline"/>
        </w:rPr>
        <w:t> </w:t>
      </w:r>
      <w:r>
        <w:rPr>
          <w:vertAlign w:val="baseline"/>
        </w:rPr>
        <w:t>of</w:t>
      </w:r>
      <w:r>
        <w:rPr>
          <w:spacing w:val="-1"/>
          <w:vertAlign w:val="baseline"/>
        </w:rPr>
        <w:t> </w:t>
      </w:r>
      <w:r>
        <w:rPr>
          <w:vertAlign w:val="baseline"/>
        </w:rPr>
        <w:t>right,</w:t>
      </w:r>
      <w:r>
        <w:rPr>
          <w:spacing w:val="-1"/>
          <w:vertAlign w:val="baseline"/>
        </w:rPr>
        <w:t> </w:t>
      </w:r>
      <w:r>
        <w:rPr>
          <w:vertAlign w:val="baseline"/>
        </w:rPr>
        <w:t>his</w:t>
      </w:r>
      <w:r>
        <w:rPr>
          <w:spacing w:val="-1"/>
          <w:vertAlign w:val="baseline"/>
        </w:rPr>
        <w:t> </w:t>
      </w:r>
      <w:r>
        <w:rPr>
          <w:vertAlign w:val="baseline"/>
        </w:rPr>
        <w:t>claim</w:t>
      </w:r>
      <w:r>
        <w:rPr>
          <w:spacing w:val="-1"/>
          <w:vertAlign w:val="baseline"/>
        </w:rPr>
        <w:t> </w:t>
      </w:r>
      <w:r>
        <w:rPr>
          <w:vertAlign w:val="baseline"/>
        </w:rPr>
        <w:t>to</w:t>
      </w:r>
      <w:r>
        <w:rPr>
          <w:spacing w:val="-1"/>
          <w:vertAlign w:val="baseline"/>
        </w:rPr>
        <w:t> </w:t>
      </w:r>
      <w:r>
        <w:rPr>
          <w:vertAlign w:val="baseline"/>
        </w:rPr>
        <w:t>rescission</w:t>
      </w:r>
      <w:r>
        <w:rPr>
          <w:spacing w:val="-1"/>
          <w:vertAlign w:val="baseline"/>
        </w:rPr>
        <w:t> </w:t>
      </w:r>
      <w:r>
        <w:rPr>
          <w:vertAlign w:val="baseline"/>
        </w:rPr>
        <w:t>is</w:t>
      </w:r>
      <w:r>
        <w:rPr>
          <w:spacing w:val="-1"/>
          <w:vertAlign w:val="baseline"/>
        </w:rPr>
        <w:t> </w:t>
      </w:r>
      <w:r>
        <w:rPr>
          <w:vertAlign w:val="baseline"/>
        </w:rPr>
        <w:t>now</w:t>
      </w:r>
      <w:r>
        <w:rPr>
          <w:spacing w:val="-1"/>
          <w:vertAlign w:val="baseline"/>
        </w:rPr>
        <w:t> </w:t>
      </w:r>
      <w:r>
        <w:rPr>
          <w:vertAlign w:val="baseline"/>
        </w:rPr>
        <w:t>subject</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discretion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court </w:t>
      </w:r>
      <w:bookmarkStart w:name="_bookmark922" w:id="924"/>
      <w:bookmarkEnd w:id="924"/>
      <w:r>
        <w:rPr>
          <w:vertAlign w:val="baseline"/>
        </w:rPr>
        <w:t>under</w:t>
      </w:r>
      <w:r>
        <w:rPr>
          <w:vertAlign w:val="baseline"/>
        </w:rPr>
        <w:t> s.2(2). </w:t>
      </w:r>
      <w:r>
        <w:rPr>
          <w:color w:val="005DA1"/>
          <w:u w:val="single" w:color="005DA1"/>
          <w:vertAlign w:val="superscript"/>
        </w:rPr>
        <w:t>495</w:t>
      </w:r>
      <w:r>
        <w:rPr>
          <w:color w:val="005DA1"/>
          <w:vertAlign w:val="baseline"/>
        </w:rPr>
        <w:t> </w:t>
      </w:r>
      <w:r>
        <w:rPr>
          <w:vertAlign w:val="baseline"/>
        </w:rPr>
        <w:t>But in the case of an innocent misrepresentation, the representee cannot get both rescission and damages, </w:t>
      </w:r>
      <w:r>
        <w:rPr>
          <w:color w:val="005DA1"/>
          <w:u w:val="single" w:color="005DA1"/>
          <w:vertAlign w:val="superscript"/>
        </w:rPr>
        <w:t>496</w:t>
      </w:r>
      <w:r>
        <w:rPr>
          <w:color w:val="005DA1"/>
          <w:vertAlign w:val="baseline"/>
        </w:rPr>
        <w:t> </w:t>
      </w:r>
      <w:r>
        <w:rPr>
          <w:vertAlign w:val="baseline"/>
        </w:rPr>
        <w:t>nor can he claim either remedy as of right.</w:t>
      </w:r>
    </w:p>
    <w:p>
      <w:pPr>
        <w:pStyle w:val="BodyText"/>
      </w:pPr>
    </w:p>
    <w:p>
      <w:pPr>
        <w:pStyle w:val="BodyText"/>
        <w:spacing w:before="35"/>
      </w:pPr>
    </w:p>
    <w:p>
      <w:pPr>
        <w:spacing w:before="0"/>
        <w:ind w:left="165" w:right="0" w:firstLine="0"/>
        <w:jc w:val="both"/>
        <w:rPr>
          <w:rFonts w:ascii="Arial"/>
          <w:b/>
          <w:sz w:val="18"/>
        </w:rPr>
      </w:pPr>
      <w:r>
        <w:rPr>
          <w:rFonts w:ascii="Arial"/>
          <w:b/>
          <w:sz w:val="18"/>
        </w:rPr>
        <w:t>Rescission </w:t>
      </w:r>
      <w:r>
        <w:rPr>
          <w:rFonts w:ascii="Arial"/>
          <w:b/>
          <w:spacing w:val="-2"/>
          <w:sz w:val="18"/>
        </w:rPr>
        <w:t>barred</w:t>
      </w:r>
    </w:p>
    <w:p>
      <w:pPr>
        <w:pStyle w:val="BodyText"/>
        <w:spacing w:before="41"/>
        <w:rPr>
          <w:rFonts w:ascii="Arial"/>
          <w:b/>
          <w:sz w:val="18"/>
        </w:rPr>
      </w:pPr>
    </w:p>
    <w:p>
      <w:pPr>
        <w:pStyle w:val="Heading2"/>
      </w:pPr>
      <w:r>
        <w:rPr/>
        <w:t>7-</w:t>
      </w:r>
      <w:r>
        <w:rPr>
          <w:spacing w:val="-5"/>
        </w:rPr>
        <w:t>106</w:t>
      </w:r>
    </w:p>
    <w:p>
      <w:pPr>
        <w:pStyle w:val="BodyText"/>
        <w:spacing w:line="235" w:lineRule="auto" w:before="203"/>
        <w:ind w:left="164" w:right="167"/>
        <w:jc w:val="both"/>
      </w:pPr>
      <w:r>
        <w:rPr/>
        <w:t>A second limitation on the subsection is that the power to grant damages is, on the balance of authority, available only where the remedy of rescission would still be available at the time of </w:t>
      </w:r>
      <w:r>
        <w:rPr/>
        <w:t>the court’s</w:t>
      </w:r>
      <w:r>
        <w:rPr>
          <w:spacing w:val="-1"/>
        </w:rPr>
        <w:t> </w:t>
      </w:r>
      <w:r>
        <w:rPr/>
        <w:t>order.</w:t>
      </w:r>
      <w:r>
        <w:rPr>
          <w:spacing w:val="-1"/>
        </w:rPr>
        <w:t> </w:t>
      </w:r>
      <w:r>
        <w:rPr/>
        <w:t>The</w:t>
      </w:r>
      <w:r>
        <w:rPr>
          <w:spacing w:val="-1"/>
        </w:rPr>
        <w:t> </w:t>
      </w:r>
      <w:r>
        <w:rPr/>
        <w:t>court</w:t>
      </w:r>
      <w:r>
        <w:rPr>
          <w:spacing w:val="-1"/>
        </w:rPr>
        <w:t> </w:t>
      </w:r>
      <w:r>
        <w:rPr/>
        <w:t>may</w:t>
      </w:r>
      <w:r>
        <w:rPr>
          <w:spacing w:val="-1"/>
        </w:rPr>
        <w:t> </w:t>
      </w:r>
      <w:r>
        <w:rPr/>
        <w:t>award</w:t>
      </w:r>
      <w:r>
        <w:rPr>
          <w:spacing w:val="-1"/>
        </w:rPr>
        <w:t> </w:t>
      </w:r>
      <w:r>
        <w:rPr/>
        <w:t>damages</w:t>
      </w:r>
      <w:r>
        <w:rPr>
          <w:spacing w:val="-1"/>
        </w:rPr>
        <w:t> </w:t>
      </w:r>
      <w:r>
        <w:rPr/>
        <w:t>in</w:t>
      </w:r>
      <w:r>
        <w:rPr>
          <w:spacing w:val="-1"/>
        </w:rPr>
        <w:t> </w:t>
      </w:r>
      <w:r>
        <w:rPr/>
        <w:t>lieu</w:t>
      </w:r>
      <w:r>
        <w:rPr>
          <w:spacing w:val="-1"/>
        </w:rPr>
        <w:t> </w:t>
      </w:r>
      <w:r>
        <w:rPr/>
        <w:t>of</w:t>
      </w:r>
      <w:r>
        <w:rPr>
          <w:spacing w:val="-1"/>
        </w:rPr>
        <w:t> </w:t>
      </w:r>
      <w:r>
        <w:rPr/>
        <w:t>rescission</w:t>
      </w:r>
      <w:r>
        <w:rPr>
          <w:spacing w:val="-1"/>
        </w:rPr>
        <w:t> </w:t>
      </w:r>
      <w:r>
        <w:rPr/>
        <w:t>wherever</w:t>
      </w:r>
      <w:r>
        <w:rPr>
          <w:spacing w:val="-1"/>
        </w:rPr>
        <w:t> </w:t>
      </w:r>
      <w:r>
        <w:rPr/>
        <w:t>the</w:t>
      </w:r>
      <w:r>
        <w:rPr>
          <w:spacing w:val="-1"/>
        </w:rPr>
        <w:t> </w:t>
      </w:r>
      <w:r>
        <w:rPr/>
        <w:t>representee</w:t>
      </w:r>
      <w:r>
        <w:rPr>
          <w:spacing w:val="-1"/>
        </w:rPr>
        <w:t> </w:t>
      </w:r>
      <w:r>
        <w:rPr/>
        <w:t>“would</w:t>
      </w:r>
      <w:r>
        <w:rPr>
          <w:spacing w:val="-1"/>
        </w:rPr>
        <w:t> </w:t>
      </w:r>
      <w:r>
        <w:rPr/>
        <w:t>be entitled … to rescind the contract”. The question is whether this means: “would be entitled at the time of the court’s order”, or “would have been entitled after the representation was made”. Purely</w:t>
      </w:r>
      <w:r>
        <w:rPr>
          <w:spacing w:val="80"/>
        </w:rPr>
        <w:t> </w:t>
      </w:r>
      <w:bookmarkStart w:name="_bookmark923" w:id="925"/>
      <w:bookmarkEnd w:id="925"/>
      <w:r>
        <w:rPr/>
        <w:t>linguistic</w:t>
      </w:r>
      <w:r>
        <w:rPr/>
        <w:t> considerations suggest that the former meaning is the correct one and in </w:t>
      </w:r>
      <w:r>
        <w:rPr>
          <w:rFonts w:ascii="Arial" w:hAnsi="Arial"/>
          <w:i/>
        </w:rPr>
        <w:t>Atlantic Lines &amp; </w:t>
      </w:r>
      <w:bookmarkStart w:name="_bookmark924" w:id="926"/>
      <w:bookmarkEnd w:id="926"/>
      <w:r>
        <w:rPr>
          <w:rFonts w:ascii="Arial" w:hAnsi="Arial"/>
          <w:i/>
        </w:rPr>
        <w:t>Navigation</w:t>
      </w:r>
      <w:r>
        <w:rPr>
          <w:rFonts w:ascii="Arial" w:hAnsi="Arial"/>
          <w:i/>
        </w:rPr>
        <w:t> Co Inc v Hallam Ltd (The Lucy) </w:t>
      </w:r>
      <w:r>
        <w:rPr>
          <w:color w:val="005DA1"/>
          <w:u w:val="single" w:color="005DA1"/>
          <w:vertAlign w:val="superscript"/>
        </w:rPr>
        <w:t>497</w:t>
      </w:r>
      <w:r>
        <w:rPr>
          <w:color w:val="005DA1"/>
          <w:vertAlign w:val="baseline"/>
        </w:rPr>
        <w:t> </w:t>
      </w:r>
      <w:r>
        <w:rPr>
          <w:vertAlign w:val="baseline"/>
        </w:rPr>
        <w:t>Mustill J. accepted it. Nonetheless earlier editions of</w:t>
      </w:r>
      <w:r>
        <w:rPr>
          <w:spacing w:val="40"/>
          <w:vertAlign w:val="baseline"/>
        </w:rPr>
        <w:t> </w:t>
      </w:r>
      <w:bookmarkStart w:name="_bookmark925" w:id="927"/>
      <w:bookmarkEnd w:id="927"/>
      <w:r>
        <w:rPr>
          <w:vertAlign w:val="baseline"/>
        </w:rPr>
        <w:t>this</w:t>
      </w:r>
      <w:r>
        <w:rPr>
          <w:vertAlign w:val="baseline"/>
        </w:rPr>
        <w:t> Work suggested that the wording was ambiguous. In </w:t>
      </w:r>
      <w:r>
        <w:rPr>
          <w:rFonts w:ascii="Arial" w:hAnsi="Arial"/>
          <w:i/>
          <w:vertAlign w:val="baseline"/>
        </w:rPr>
        <w:t>Thomas Witter Ltd v TBP Industries Ltd </w:t>
      </w:r>
      <w:r>
        <w:rPr>
          <w:color w:val="005DA1"/>
          <w:u w:val="single" w:color="005DA1"/>
          <w:vertAlign w:val="superscript"/>
        </w:rPr>
        <w:t>498</w:t>
      </w:r>
      <w:r>
        <w:rPr>
          <w:color w:val="005DA1"/>
          <w:vertAlign w:val="baseline"/>
        </w:rPr>
        <w:t> </w:t>
      </w:r>
      <w:bookmarkStart w:name="_bookmark926" w:id="928"/>
      <w:bookmarkEnd w:id="928"/>
      <w:r>
        <w:rPr>
          <w:color w:val="005DA1"/>
          <w:w w:val="92"/>
          <w:vertAlign w:val="baseline"/>
        </w:rPr>
      </w:r>
      <w:r>
        <w:rPr>
          <w:vertAlign w:val="baseline"/>
        </w:rPr>
        <w:t>Jacob</w:t>
      </w:r>
      <w:r>
        <w:rPr>
          <w:spacing w:val="40"/>
          <w:vertAlign w:val="baseline"/>
        </w:rPr>
        <w:t> </w:t>
      </w:r>
      <w:r>
        <w:rPr>
          <w:vertAlign w:val="baseline"/>
        </w:rPr>
        <w:t>J.</w:t>
      </w:r>
      <w:r>
        <w:rPr>
          <w:spacing w:val="40"/>
          <w:vertAlign w:val="baseline"/>
        </w:rPr>
        <w:t> </w:t>
      </w:r>
      <w:r>
        <w:rPr>
          <w:vertAlign w:val="baseline"/>
        </w:rPr>
        <w:t>also</w:t>
      </w:r>
      <w:r>
        <w:rPr>
          <w:spacing w:val="40"/>
          <w:vertAlign w:val="baseline"/>
        </w:rPr>
        <w:t> </w:t>
      </w:r>
      <w:r>
        <w:rPr>
          <w:vertAlign w:val="baseline"/>
        </w:rPr>
        <w:t>considered</w:t>
      </w:r>
      <w:r>
        <w:rPr>
          <w:spacing w:val="40"/>
          <w:vertAlign w:val="baseline"/>
        </w:rPr>
        <w:t> </w:t>
      </w:r>
      <w:r>
        <w:rPr>
          <w:vertAlign w:val="baseline"/>
        </w:rPr>
        <w:t>the</w:t>
      </w:r>
      <w:r>
        <w:rPr>
          <w:spacing w:val="40"/>
          <w:vertAlign w:val="baseline"/>
        </w:rPr>
        <w:t> </w:t>
      </w:r>
      <w:r>
        <w:rPr>
          <w:vertAlign w:val="baseline"/>
        </w:rPr>
        <w:t>section</w:t>
      </w:r>
      <w:r>
        <w:rPr>
          <w:spacing w:val="40"/>
          <w:vertAlign w:val="baseline"/>
        </w:rPr>
        <w:t> </w:t>
      </w:r>
      <w:r>
        <w:rPr>
          <w:vertAlign w:val="baseline"/>
        </w:rPr>
        <w:t>to</w:t>
      </w:r>
      <w:r>
        <w:rPr>
          <w:spacing w:val="40"/>
          <w:vertAlign w:val="baseline"/>
        </w:rPr>
        <w:t> </w:t>
      </w:r>
      <w:r>
        <w:rPr>
          <w:vertAlign w:val="baseline"/>
        </w:rPr>
        <w:t>be</w:t>
      </w:r>
      <w:r>
        <w:rPr>
          <w:spacing w:val="40"/>
          <w:vertAlign w:val="baseline"/>
        </w:rPr>
        <w:t> </w:t>
      </w:r>
      <w:r>
        <w:rPr>
          <w:vertAlign w:val="baseline"/>
        </w:rPr>
        <w:t>ambiguous</w:t>
      </w:r>
      <w:r>
        <w:rPr>
          <w:spacing w:val="40"/>
          <w:vertAlign w:val="baseline"/>
        </w:rPr>
        <w:t> </w:t>
      </w:r>
      <w:r>
        <w:rPr>
          <w:color w:val="005DA1"/>
          <w:u w:val="single" w:color="005DA1"/>
          <w:vertAlign w:val="superscript"/>
        </w:rPr>
        <w:t>499</w:t>
      </w:r>
      <w:r>
        <w:rPr>
          <w:color w:val="005DA1"/>
          <w:spacing w:val="40"/>
          <w:vertAlign w:val="baseline"/>
        </w:rPr>
        <w:t> </w:t>
      </w:r>
      <w:r>
        <w:rPr>
          <w:vertAlign w:val="baseline"/>
        </w:rPr>
        <w:t>and</w:t>
      </w:r>
      <w:r>
        <w:rPr>
          <w:spacing w:val="40"/>
          <w:vertAlign w:val="baseline"/>
        </w:rPr>
        <w:t> </w:t>
      </w:r>
      <w:r>
        <w:rPr>
          <w:vertAlign w:val="baseline"/>
        </w:rPr>
        <w:t>referred</w:t>
      </w:r>
      <w:r>
        <w:rPr>
          <w:spacing w:val="40"/>
          <w:vertAlign w:val="baseline"/>
        </w:rPr>
        <w:t> </w:t>
      </w:r>
      <w:r>
        <w:rPr>
          <w:vertAlign w:val="baseline"/>
        </w:rPr>
        <w:t>to</w:t>
      </w:r>
      <w:r>
        <w:rPr>
          <w:spacing w:val="40"/>
          <w:vertAlign w:val="baseline"/>
        </w:rPr>
        <w:t> </w:t>
      </w:r>
      <w:r>
        <w:rPr>
          <w:vertAlign w:val="baseline"/>
        </w:rPr>
        <w:t>a</w:t>
      </w:r>
      <w:r>
        <w:rPr>
          <w:spacing w:val="40"/>
          <w:vertAlign w:val="baseline"/>
        </w:rPr>
        <w:t> </w:t>
      </w:r>
      <w:r>
        <w:rPr>
          <w:vertAlign w:val="baseline"/>
        </w:rPr>
        <w:t>statement</w:t>
      </w:r>
      <w:r>
        <w:rPr>
          <w:spacing w:val="40"/>
          <w:vertAlign w:val="baseline"/>
        </w:rPr>
        <w:t> </w:t>
      </w:r>
      <w:r>
        <w:rPr>
          <w:vertAlign w:val="baseline"/>
        </w:rPr>
        <w:t>of</w:t>
      </w:r>
      <w:r>
        <w:rPr>
          <w:spacing w:val="40"/>
          <w:vertAlign w:val="baseline"/>
        </w:rPr>
        <w:t> </w:t>
      </w:r>
      <w:r>
        <w:rPr>
          <w:vertAlign w:val="baseline"/>
        </w:rPr>
        <w:t>the Solicitor-General during a debate on the Misrepresentation Bill. </w:t>
      </w:r>
      <w:r>
        <w:rPr>
          <w:color w:val="005DA1"/>
          <w:u w:val="single" w:color="005DA1"/>
          <w:vertAlign w:val="superscript"/>
        </w:rPr>
        <w:t>500</w:t>
      </w:r>
      <w:r>
        <w:rPr>
          <w:color w:val="005DA1"/>
          <w:vertAlign w:val="baseline"/>
        </w:rPr>
        <w:t> </w:t>
      </w:r>
      <w:r>
        <w:rPr>
          <w:vertAlign w:val="baseline"/>
        </w:rPr>
        <w:t>Jacob J. expressed the view that damages</w:t>
      </w:r>
      <w:r>
        <w:rPr>
          <w:spacing w:val="2"/>
          <w:vertAlign w:val="baseline"/>
        </w:rPr>
        <w:t> </w:t>
      </w:r>
      <w:r>
        <w:rPr>
          <w:vertAlign w:val="baseline"/>
        </w:rPr>
        <w:t>could</w:t>
      </w:r>
      <w:r>
        <w:rPr>
          <w:spacing w:val="2"/>
          <w:vertAlign w:val="baseline"/>
        </w:rPr>
        <w:t> </w:t>
      </w:r>
      <w:r>
        <w:rPr>
          <w:vertAlign w:val="baseline"/>
        </w:rPr>
        <w:t>have</w:t>
      </w:r>
      <w:r>
        <w:rPr>
          <w:spacing w:val="2"/>
          <w:vertAlign w:val="baseline"/>
        </w:rPr>
        <w:t> </w:t>
      </w:r>
      <w:r>
        <w:rPr>
          <w:vertAlign w:val="baseline"/>
        </w:rPr>
        <w:t>been</w:t>
      </w:r>
      <w:r>
        <w:rPr>
          <w:spacing w:val="2"/>
          <w:vertAlign w:val="baseline"/>
        </w:rPr>
        <w:t> </w:t>
      </w:r>
      <w:r>
        <w:rPr>
          <w:vertAlign w:val="baseline"/>
        </w:rPr>
        <w:t>awarded</w:t>
      </w:r>
      <w:r>
        <w:rPr>
          <w:spacing w:val="2"/>
          <w:vertAlign w:val="baseline"/>
        </w:rPr>
        <w:t> </w:t>
      </w:r>
      <w:r>
        <w:rPr>
          <w:vertAlign w:val="baseline"/>
        </w:rPr>
        <w:t>under</w:t>
      </w:r>
      <w:r>
        <w:rPr>
          <w:spacing w:val="2"/>
          <w:vertAlign w:val="baseline"/>
        </w:rPr>
        <w:t> </w:t>
      </w:r>
      <w:r>
        <w:rPr>
          <w:vertAlign w:val="baseline"/>
        </w:rPr>
        <w:t>s.2(2)</w:t>
      </w:r>
      <w:r>
        <w:rPr>
          <w:spacing w:val="2"/>
          <w:vertAlign w:val="baseline"/>
        </w:rPr>
        <w:t> </w:t>
      </w:r>
      <w:r>
        <w:rPr>
          <w:vertAlign w:val="baseline"/>
        </w:rPr>
        <w:t>even</w:t>
      </w:r>
      <w:r>
        <w:rPr>
          <w:spacing w:val="2"/>
          <w:vertAlign w:val="baseline"/>
        </w:rPr>
        <w:t> </w:t>
      </w:r>
      <w:r>
        <w:rPr>
          <w:vertAlign w:val="baseline"/>
        </w:rPr>
        <w:t>though</w:t>
      </w:r>
      <w:r>
        <w:rPr>
          <w:spacing w:val="2"/>
          <w:vertAlign w:val="baseline"/>
        </w:rPr>
        <w:t> </w:t>
      </w:r>
      <w:r>
        <w:rPr>
          <w:vertAlign w:val="baseline"/>
        </w:rPr>
        <w:t>the</w:t>
      </w:r>
      <w:r>
        <w:rPr>
          <w:spacing w:val="2"/>
          <w:vertAlign w:val="baseline"/>
        </w:rPr>
        <w:t> </w:t>
      </w:r>
      <w:r>
        <w:rPr>
          <w:vertAlign w:val="baseline"/>
        </w:rPr>
        <w:t>misrepresentee</w:t>
      </w:r>
      <w:r>
        <w:rPr>
          <w:spacing w:val="2"/>
          <w:vertAlign w:val="baseline"/>
        </w:rPr>
        <w:t> </w:t>
      </w:r>
      <w:r>
        <w:rPr>
          <w:vertAlign w:val="baseline"/>
        </w:rPr>
        <w:t>had</w:t>
      </w:r>
      <w:r>
        <w:rPr>
          <w:spacing w:val="2"/>
          <w:vertAlign w:val="baseline"/>
        </w:rPr>
        <w:t> </w:t>
      </w:r>
      <w:r>
        <w:rPr>
          <w:vertAlign w:val="baseline"/>
        </w:rPr>
        <w:t>lost</w:t>
      </w:r>
      <w:r>
        <w:rPr>
          <w:spacing w:val="2"/>
          <w:vertAlign w:val="baseline"/>
        </w:rPr>
        <w:t> </w:t>
      </w:r>
      <w:r>
        <w:rPr>
          <w:vertAlign w:val="baseline"/>
        </w:rPr>
        <w:t>the</w:t>
      </w:r>
      <w:r>
        <w:rPr>
          <w:spacing w:val="2"/>
          <w:vertAlign w:val="baseline"/>
        </w:rPr>
        <w:t> </w:t>
      </w:r>
      <w:r>
        <w:rPr>
          <w:vertAlign w:val="baseline"/>
        </w:rPr>
        <w:t>right</w:t>
      </w:r>
      <w:r>
        <w:rPr>
          <w:spacing w:val="2"/>
          <w:vertAlign w:val="baseline"/>
        </w:rPr>
        <w:t> </w:t>
      </w:r>
      <w:r>
        <w:rPr>
          <w:spacing w:val="-5"/>
          <w:vertAlign w:val="baseline"/>
        </w:rPr>
        <w:t>to</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bookmarkStart w:name="_bookmark927" w:id="929"/>
      <w:bookmarkEnd w:id="929"/>
      <w:r>
        <w:rPr/>
      </w:r>
      <w:r>
        <w:rPr/>
        <w:t>rescind. But the suggestion that the words were unclear was disapproved in </w:t>
      </w:r>
      <w:r>
        <w:rPr>
          <w:rFonts w:ascii="Arial"/>
          <w:i/>
        </w:rPr>
        <w:t>Zanzibar v </w:t>
      </w:r>
      <w:r>
        <w:rPr>
          <w:rFonts w:ascii="Arial"/>
          <w:i/>
        </w:rPr>
        <w:t>British Aerospace (Lancaster House) Ltd</w:t>
      </w:r>
      <w:r>
        <w:rPr/>
        <w:t>, </w:t>
      </w:r>
      <w:r>
        <w:rPr>
          <w:color w:val="005DA1"/>
          <w:u w:val="single" w:color="005DA1"/>
          <w:vertAlign w:val="superscript"/>
        </w:rPr>
        <w:t>501</w:t>
      </w:r>
      <w:r>
        <w:rPr>
          <w:color w:val="005DA1"/>
          <w:vertAlign w:val="baseline"/>
        </w:rPr>
        <w:t> </w:t>
      </w:r>
      <w:r>
        <w:rPr>
          <w:vertAlign w:val="baseline"/>
        </w:rPr>
        <w:t>in which Judge Jack Q.C. held that the power to award damages is an alternative to damages and no longer existed when the right to rescission had been </w:t>
      </w:r>
      <w:bookmarkStart w:name="_bookmark928" w:id="930"/>
      <w:bookmarkEnd w:id="930"/>
      <w:r>
        <w:rPr>
          <w:vertAlign w:val="baseline"/>
        </w:rPr>
        <w:t>lost.</w:t>
      </w:r>
      <w:r>
        <w:rPr>
          <w:vertAlign w:val="baseline"/>
        </w:rPr>
        <w:t> The same conclusion had been reached earlier by Judge Humphrey Lloyd Q.C. in </w:t>
      </w:r>
      <w:r>
        <w:rPr>
          <w:rFonts w:ascii="Arial"/>
          <w:i/>
          <w:vertAlign w:val="baseline"/>
        </w:rPr>
        <w:t>Floods of Queensferry</w:t>
      </w:r>
      <w:r>
        <w:rPr>
          <w:rFonts w:ascii="Arial"/>
          <w:i/>
          <w:spacing w:val="-3"/>
          <w:vertAlign w:val="baseline"/>
        </w:rPr>
        <w:t> </w:t>
      </w:r>
      <w:r>
        <w:rPr>
          <w:rFonts w:ascii="Arial"/>
          <w:i/>
          <w:vertAlign w:val="baseline"/>
        </w:rPr>
        <w:t>Ltd</w:t>
      </w:r>
      <w:r>
        <w:rPr>
          <w:rFonts w:ascii="Arial"/>
          <w:i/>
          <w:spacing w:val="-3"/>
          <w:vertAlign w:val="baseline"/>
        </w:rPr>
        <w:t> </w:t>
      </w:r>
      <w:r>
        <w:rPr>
          <w:rFonts w:ascii="Arial"/>
          <w:i/>
          <w:vertAlign w:val="baseline"/>
        </w:rPr>
        <w:t>v</w:t>
      </w:r>
      <w:r>
        <w:rPr>
          <w:rFonts w:ascii="Arial"/>
          <w:i/>
          <w:spacing w:val="-3"/>
          <w:vertAlign w:val="baseline"/>
        </w:rPr>
        <w:t> </w:t>
      </w:r>
      <w:r>
        <w:rPr>
          <w:rFonts w:ascii="Arial"/>
          <w:i/>
          <w:vertAlign w:val="baseline"/>
        </w:rPr>
        <w:t>Shand</w:t>
      </w:r>
      <w:r>
        <w:rPr>
          <w:rFonts w:ascii="Arial"/>
          <w:i/>
          <w:spacing w:val="-3"/>
          <w:vertAlign w:val="baseline"/>
        </w:rPr>
        <w:t> </w:t>
      </w:r>
      <w:r>
        <w:rPr>
          <w:rFonts w:ascii="Arial"/>
          <w:i/>
          <w:vertAlign w:val="baseline"/>
        </w:rPr>
        <w:t>Construction</w:t>
      </w:r>
      <w:r>
        <w:rPr>
          <w:rFonts w:ascii="Arial"/>
          <w:i/>
          <w:spacing w:val="-3"/>
          <w:vertAlign w:val="baseline"/>
        </w:rPr>
        <w:t> </w:t>
      </w:r>
      <w:r>
        <w:rPr>
          <w:rFonts w:ascii="Arial"/>
          <w:i/>
          <w:vertAlign w:val="baseline"/>
        </w:rPr>
        <w:t>Ltd</w:t>
      </w:r>
      <w:r>
        <w:rPr>
          <w:vertAlign w:val="baseline"/>
        </w:rPr>
        <w:t>,</w:t>
      </w:r>
      <w:r>
        <w:rPr>
          <w:spacing w:val="-3"/>
          <w:vertAlign w:val="baseline"/>
        </w:rPr>
        <w:t> </w:t>
      </w:r>
      <w:r>
        <w:rPr>
          <w:color w:val="005DA1"/>
          <w:u w:val="single" w:color="005DA1"/>
          <w:vertAlign w:val="superscript"/>
        </w:rPr>
        <w:t>502</w:t>
      </w:r>
      <w:r>
        <w:rPr>
          <w:color w:val="005DA1"/>
          <w:spacing w:val="-3"/>
          <w:vertAlign w:val="baseline"/>
        </w:rPr>
        <w:t> </w:t>
      </w:r>
      <w:r>
        <w:rPr>
          <w:vertAlign w:val="baseline"/>
        </w:rPr>
        <w:t>who</w:t>
      </w:r>
      <w:r>
        <w:rPr>
          <w:spacing w:val="-3"/>
          <w:vertAlign w:val="baseline"/>
        </w:rPr>
        <w:t> </w:t>
      </w:r>
      <w:r>
        <w:rPr>
          <w:vertAlign w:val="baseline"/>
        </w:rPr>
        <w:t>refused</w:t>
      </w:r>
      <w:r>
        <w:rPr>
          <w:spacing w:val="-3"/>
          <w:vertAlign w:val="baseline"/>
        </w:rPr>
        <w:t> </w:t>
      </w:r>
      <w:r>
        <w:rPr>
          <w:vertAlign w:val="baseline"/>
        </w:rPr>
        <w:t>to</w:t>
      </w:r>
      <w:r>
        <w:rPr>
          <w:spacing w:val="-3"/>
          <w:vertAlign w:val="baseline"/>
        </w:rPr>
        <w:t> </w:t>
      </w:r>
      <w:r>
        <w:rPr>
          <w:vertAlign w:val="baseline"/>
        </w:rPr>
        <w:t>follow</w:t>
      </w:r>
      <w:r>
        <w:rPr>
          <w:spacing w:val="-3"/>
          <w:vertAlign w:val="baseline"/>
        </w:rPr>
        <w:t> </w:t>
      </w:r>
      <w:r>
        <w:rPr>
          <w:vertAlign w:val="baseline"/>
        </w:rPr>
        <w:t>the</w:t>
      </w:r>
      <w:r>
        <w:rPr>
          <w:spacing w:val="-3"/>
          <w:vertAlign w:val="baseline"/>
        </w:rPr>
        <w:t> </w:t>
      </w:r>
      <w:r>
        <w:rPr>
          <w:vertAlign w:val="baseline"/>
        </w:rPr>
        <w:t>decision</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rFonts w:ascii="Arial"/>
          <w:i/>
          <w:vertAlign w:val="baseline"/>
        </w:rPr>
        <w:t>Thomas</w:t>
      </w:r>
      <w:r>
        <w:rPr>
          <w:rFonts w:ascii="Arial"/>
          <w:i/>
          <w:spacing w:val="-3"/>
          <w:vertAlign w:val="baseline"/>
        </w:rPr>
        <w:t> </w:t>
      </w:r>
      <w:r>
        <w:rPr>
          <w:rFonts w:ascii="Arial"/>
          <w:i/>
          <w:vertAlign w:val="baseline"/>
        </w:rPr>
        <w:t>Witter </w:t>
      </w:r>
      <w:bookmarkStart w:name="_bookmark929" w:id="931"/>
      <w:bookmarkEnd w:id="931"/>
      <w:r>
        <w:rPr>
          <w:rFonts w:ascii="Arial"/>
          <w:i/>
          <w:vertAlign w:val="baseline"/>
        </w:rPr>
      </w:r>
      <w:r>
        <w:rPr>
          <w:vertAlign w:val="baseline"/>
        </w:rPr>
        <w:t>case. The Court of Appeal has now confirmed that there is no power to award damages under s.2(2)</w:t>
      </w:r>
      <w:r>
        <w:rPr>
          <w:spacing w:val="40"/>
          <w:vertAlign w:val="baseline"/>
        </w:rPr>
        <w:t> </w:t>
      </w:r>
      <w:r>
        <w:rPr>
          <w:vertAlign w:val="baseline"/>
        </w:rPr>
        <w:t>if the claimant has lost the right to rescind. </w:t>
      </w:r>
      <w:r>
        <w:rPr>
          <w:color w:val="005DA1"/>
          <w:u w:val="single" w:color="005DA1"/>
          <w:vertAlign w:val="superscript"/>
        </w:rPr>
        <w:t>503</w:t>
      </w:r>
    </w:p>
    <w:p>
      <w:pPr>
        <w:pStyle w:val="BodyText"/>
      </w:pPr>
    </w:p>
    <w:p>
      <w:pPr>
        <w:pStyle w:val="BodyText"/>
        <w:spacing w:before="36"/>
      </w:pPr>
    </w:p>
    <w:p>
      <w:pPr>
        <w:spacing w:before="0"/>
        <w:ind w:left="164" w:right="0" w:firstLine="0"/>
        <w:jc w:val="left"/>
        <w:rPr>
          <w:rFonts w:ascii="Arial"/>
          <w:b/>
          <w:sz w:val="18"/>
        </w:rPr>
      </w:pPr>
      <w:r>
        <w:rPr>
          <w:rFonts w:ascii="Arial"/>
          <w:b/>
          <w:sz w:val="18"/>
        </w:rPr>
        <w:t>Measure of damages under </w:t>
      </w:r>
      <w:r>
        <w:rPr>
          <w:rFonts w:ascii="Arial"/>
          <w:b/>
          <w:spacing w:val="-2"/>
          <w:sz w:val="18"/>
        </w:rPr>
        <w:t>s.2(2)</w:t>
      </w:r>
    </w:p>
    <w:p>
      <w:pPr>
        <w:pStyle w:val="BodyText"/>
        <w:spacing w:before="41"/>
        <w:rPr>
          <w:rFonts w:ascii="Arial"/>
          <w:b/>
          <w:sz w:val="18"/>
        </w:rPr>
      </w:pPr>
    </w:p>
    <w:p>
      <w:pPr>
        <w:pStyle w:val="Heading2"/>
        <w:ind w:left="164"/>
      </w:pPr>
      <w:r>
        <w:rPr/>
        <w:t>7-</w:t>
      </w:r>
      <w:r>
        <w:rPr>
          <w:spacing w:val="-5"/>
        </w:rPr>
        <w:t>107</w:t>
      </w:r>
    </w:p>
    <w:p>
      <w:pPr>
        <w:pStyle w:val="BodyText"/>
        <w:spacing w:line="235" w:lineRule="auto" w:before="203"/>
        <w:ind w:left="164" w:right="167"/>
        <w:jc w:val="both"/>
      </w:pPr>
      <w:r>
        <w:rPr/>
        <w:t>Section 2(2) does not state the measure of damages to be awarded. It is possible that the measure of damages which may be awarded under subs.(2) is intended to be lower than the measure of</w:t>
      </w:r>
      <w:r>
        <w:rPr>
          <w:spacing w:val="40"/>
        </w:rPr>
        <w:t> </w:t>
      </w:r>
      <w:r>
        <w:rPr/>
        <w:t>damages for fraudulent misrepresentation which, as seen above, is now also applicable to </w:t>
      </w:r>
      <w:r>
        <w:rPr/>
        <w:t>negligent misrepresentation under s.2(1). This possibility is suggested by subs.(3) of the same section which provides that damages may be awarded under subs.(2) whether or not the representor is liable to damages under subs.(1) (i.e. whether or not he has been negligent), but goes on to provide that any damages awarded under subs.(2) shall be taken into account in assessing liability under subs.(1). This seems to indicate that the damages awarded under subs.(2) may be lower than the damages awarded under subs.(1), and there might be something to be said for this since the representor may be wholly innocent in a case under subs.(2). But the Act gives little clue as to how damages are to be </w:t>
      </w:r>
      <w:bookmarkStart w:name="_bookmark930" w:id="932"/>
      <w:bookmarkEnd w:id="932"/>
      <w:r>
        <w:rPr/>
        <w:t>assessed</w:t>
      </w:r>
      <w:r>
        <w:rPr/>
        <w:t> under this subsection if they are not to be assessed in the same way as under subs.(1). It has already been seen that damages under subs.(1) are tortious rather than contractual. </w:t>
      </w:r>
      <w:r>
        <w:rPr>
          <w:color w:val="005DA1"/>
          <w:u w:val="single" w:color="005DA1"/>
          <w:vertAlign w:val="superscript"/>
        </w:rPr>
        <w:t>504</w:t>
      </w:r>
      <w:r>
        <w:rPr>
          <w:color w:val="005DA1"/>
          <w:vertAlign w:val="baseline"/>
        </w:rPr>
        <w:t> </w:t>
      </w:r>
      <w:r>
        <w:rPr>
          <w:vertAlign w:val="baseline"/>
        </w:rPr>
        <w:t>It would seem a fortiori that damages under subs.(2) would not be at the contractual level. The alternatives then would seem to be to award either the tort measure or a special measure designed to</w:t>
      </w:r>
      <w:r>
        <w:rPr>
          <w:spacing w:val="40"/>
          <w:vertAlign w:val="baseline"/>
        </w:rPr>
        <w:t> </w:t>
      </w:r>
      <w:r>
        <w:rPr>
          <w:vertAlign w:val="baseline"/>
        </w:rPr>
        <w:t>compensate the representee for the loss resulting from his inability to obtain rescission. There seem</w:t>
      </w:r>
      <w:r>
        <w:rPr>
          <w:spacing w:val="40"/>
          <w:vertAlign w:val="baseline"/>
        </w:rPr>
        <w:t> </w:t>
      </w:r>
      <w:r>
        <w:rPr>
          <w:vertAlign w:val="baseline"/>
        </w:rPr>
        <w:t>to be two reasons to interpret s.2(2) as applying a special measure. The first relates to consequential loss, the second to bad bargains.</w:t>
      </w:r>
    </w:p>
    <w:p>
      <w:pPr>
        <w:pStyle w:val="BodyText"/>
      </w:pPr>
    </w:p>
    <w:p>
      <w:pPr>
        <w:pStyle w:val="BodyText"/>
        <w:spacing w:before="32"/>
      </w:pPr>
    </w:p>
    <w:p>
      <w:pPr>
        <w:spacing w:before="0"/>
        <w:ind w:left="165" w:right="0" w:firstLine="0"/>
        <w:jc w:val="left"/>
        <w:rPr>
          <w:rFonts w:ascii="Arial"/>
          <w:b/>
          <w:sz w:val="18"/>
        </w:rPr>
      </w:pPr>
      <w:r>
        <w:rPr>
          <w:rFonts w:ascii="Arial"/>
          <w:b/>
          <w:sz w:val="18"/>
        </w:rPr>
        <w:t>Section 2(2) and consequential </w:t>
      </w:r>
      <w:r>
        <w:rPr>
          <w:rFonts w:ascii="Arial"/>
          <w:b/>
          <w:spacing w:val="-4"/>
          <w:sz w:val="18"/>
        </w:rPr>
        <w:t>loss</w:t>
      </w:r>
    </w:p>
    <w:p>
      <w:pPr>
        <w:pStyle w:val="BodyText"/>
        <w:spacing w:before="41"/>
        <w:rPr>
          <w:rFonts w:ascii="Arial"/>
          <w:b/>
          <w:sz w:val="18"/>
        </w:rPr>
      </w:pPr>
    </w:p>
    <w:p>
      <w:pPr>
        <w:pStyle w:val="Heading2"/>
      </w:pPr>
      <w:r>
        <w:rPr/>
        <w:t>7-</w:t>
      </w:r>
      <w:r>
        <w:rPr>
          <w:spacing w:val="-5"/>
        </w:rPr>
        <w:t>108</w:t>
      </w:r>
    </w:p>
    <w:p>
      <w:pPr>
        <w:pStyle w:val="BodyText"/>
        <w:spacing w:line="235" w:lineRule="auto" w:before="203"/>
        <w:ind w:left="165" w:right="167"/>
        <w:jc w:val="both"/>
      </w:pPr>
      <w:r>
        <w:rPr/>
        <w:t>Suppose</w:t>
      </w:r>
      <w:r>
        <w:rPr>
          <w:spacing w:val="-1"/>
        </w:rPr>
        <w:t> </w:t>
      </w:r>
      <w:r>
        <w:rPr/>
        <w:t>the</w:t>
      </w:r>
      <w:r>
        <w:rPr>
          <w:spacing w:val="-1"/>
        </w:rPr>
        <w:t> </w:t>
      </w:r>
      <w:r>
        <w:rPr/>
        <w:t>vendor</w:t>
      </w:r>
      <w:r>
        <w:rPr>
          <w:spacing w:val="-1"/>
        </w:rPr>
        <w:t> </w:t>
      </w:r>
      <w:r>
        <w:rPr/>
        <w:t>of</w:t>
      </w:r>
      <w:r>
        <w:rPr>
          <w:spacing w:val="-1"/>
        </w:rPr>
        <w:t> </w:t>
      </w:r>
      <w:r>
        <w:rPr/>
        <w:t>a</w:t>
      </w:r>
      <w:r>
        <w:rPr>
          <w:spacing w:val="-1"/>
        </w:rPr>
        <w:t> </w:t>
      </w:r>
      <w:r>
        <w:rPr/>
        <w:t>house</w:t>
      </w:r>
      <w:r>
        <w:rPr>
          <w:spacing w:val="-1"/>
        </w:rPr>
        <w:t> </w:t>
      </w:r>
      <w:r>
        <w:rPr/>
        <w:t>has</w:t>
      </w:r>
      <w:r>
        <w:rPr>
          <w:spacing w:val="-1"/>
        </w:rPr>
        <w:t> </w:t>
      </w:r>
      <w:r>
        <w:rPr/>
        <w:t>made</w:t>
      </w:r>
      <w:r>
        <w:rPr>
          <w:spacing w:val="-1"/>
        </w:rPr>
        <w:t> </w:t>
      </w:r>
      <w:r>
        <w:rPr/>
        <w:t>an</w:t>
      </w:r>
      <w:r>
        <w:rPr>
          <w:spacing w:val="-1"/>
        </w:rPr>
        <w:t> </w:t>
      </w:r>
      <w:r>
        <w:rPr/>
        <w:t>innocent</w:t>
      </w:r>
      <w:r>
        <w:rPr>
          <w:spacing w:val="-1"/>
        </w:rPr>
        <w:t> </w:t>
      </w:r>
      <w:r>
        <w:rPr/>
        <w:t>misrepresentation</w:t>
      </w:r>
      <w:r>
        <w:rPr>
          <w:spacing w:val="-1"/>
        </w:rPr>
        <w:t> </w:t>
      </w:r>
      <w:r>
        <w:rPr/>
        <w:t>about</w:t>
      </w:r>
      <w:r>
        <w:rPr>
          <w:spacing w:val="-1"/>
        </w:rPr>
        <w:t> </w:t>
      </w:r>
      <w:r>
        <w:rPr/>
        <w:t>the</w:t>
      </w:r>
      <w:r>
        <w:rPr>
          <w:spacing w:val="-1"/>
        </w:rPr>
        <w:t> </w:t>
      </w:r>
      <w:r>
        <w:rPr/>
        <w:t>state</w:t>
      </w:r>
      <w:r>
        <w:rPr>
          <w:spacing w:val="-1"/>
        </w:rPr>
        <w:t> </w:t>
      </w:r>
      <w:r>
        <w:rPr/>
        <w:t>of</w:t>
      </w:r>
      <w:r>
        <w:rPr>
          <w:spacing w:val="-1"/>
        </w:rPr>
        <w:t> </w:t>
      </w:r>
      <w:r>
        <w:rPr/>
        <w:t>the</w:t>
      </w:r>
      <w:r>
        <w:rPr>
          <w:spacing w:val="-1"/>
        </w:rPr>
        <w:t> </w:t>
      </w:r>
      <w:r>
        <w:rPr/>
        <w:t>drains </w:t>
      </w:r>
      <w:bookmarkStart w:name="_bookmark931" w:id="933"/>
      <w:bookmarkEnd w:id="933"/>
      <w:r>
        <w:rPr/>
        <w:t>and</w:t>
      </w:r>
      <w:r>
        <w:rPr/>
        <w:t> as a result the purchaser has suffered personal injury and property damage. Rescission, even </w:t>
      </w:r>
      <w:bookmarkStart w:name="_bookmark932" w:id="934"/>
      <w:bookmarkEnd w:id="934"/>
      <w:r>
        <w:rPr/>
        <w:t>with</w:t>
      </w:r>
      <w:r>
        <w:rPr/>
        <w:t> an indemnity, would not compensate the purchaser for these losses </w:t>
      </w:r>
      <w:r>
        <w:rPr>
          <w:color w:val="005DA1"/>
          <w:u w:val="single" w:color="005DA1"/>
          <w:vertAlign w:val="superscript"/>
        </w:rPr>
        <w:t>505</w:t>
      </w:r>
      <w:r>
        <w:rPr>
          <w:color w:val="005DA1"/>
          <w:vertAlign w:val="baseline"/>
        </w:rPr>
        <w:t> </w:t>
      </w:r>
      <w:r>
        <w:rPr>
          <w:vertAlign w:val="baseline"/>
        </w:rPr>
        <w:t>and it is arguable that </w:t>
      </w:r>
      <w:bookmarkStart w:name="_bookmark933" w:id="935"/>
      <w:bookmarkEnd w:id="935"/>
      <w:r>
        <w:rPr>
          <w:vertAlign w:val="baseline"/>
        </w:rPr>
        <w:t>they</w:t>
      </w:r>
      <w:r>
        <w:rPr>
          <w:vertAlign w:val="baseline"/>
        </w:rPr>
        <w:t> should not be compensated under s.2(2), which refers to damages “in lieu of rescission”. </w:t>
      </w:r>
      <w:r>
        <w:rPr>
          <w:color w:val="005DA1"/>
          <w:u w:val="single" w:color="005DA1"/>
          <w:vertAlign w:val="superscript"/>
        </w:rPr>
        <w:t>506</w:t>
      </w:r>
      <w:r>
        <w:rPr>
          <w:color w:val="005DA1"/>
          <w:vertAlign w:val="baseline"/>
        </w:rPr>
        <w:t> </w:t>
      </w:r>
      <w:r>
        <w:rPr>
          <w:vertAlign w:val="baseline"/>
        </w:rPr>
        <w:t>It has been held that consequential damages may be recovered under this subsection, </w:t>
      </w:r>
      <w:r>
        <w:rPr>
          <w:color w:val="005DA1"/>
          <w:u w:val="single" w:color="005DA1"/>
          <w:vertAlign w:val="superscript"/>
        </w:rPr>
        <w:t>507</w:t>
      </w:r>
      <w:r>
        <w:rPr>
          <w:color w:val="005DA1"/>
          <w:vertAlign w:val="baseline"/>
        </w:rPr>
        <w:t> </w:t>
      </w:r>
      <w:r>
        <w:rPr>
          <w:vertAlign w:val="baseline"/>
        </w:rPr>
        <w:t>but without averting to these questions.</w:t>
      </w:r>
    </w:p>
    <w:p>
      <w:pPr>
        <w:pStyle w:val="BodyText"/>
      </w:pPr>
    </w:p>
    <w:p>
      <w:pPr>
        <w:pStyle w:val="BodyText"/>
        <w:spacing w:before="36"/>
      </w:pPr>
    </w:p>
    <w:p>
      <w:pPr>
        <w:spacing w:before="0"/>
        <w:ind w:left="165" w:right="0" w:firstLine="0"/>
        <w:jc w:val="left"/>
        <w:rPr>
          <w:rFonts w:ascii="Arial"/>
          <w:b/>
          <w:sz w:val="18"/>
        </w:rPr>
      </w:pPr>
      <w:r>
        <w:rPr>
          <w:rFonts w:ascii="Arial"/>
          <w:b/>
          <w:sz w:val="18"/>
        </w:rPr>
        <w:t>Section 2(2) and bad </w:t>
      </w:r>
      <w:r>
        <w:rPr>
          <w:rFonts w:ascii="Arial"/>
          <w:b/>
          <w:spacing w:val="-2"/>
          <w:sz w:val="18"/>
        </w:rPr>
        <w:t>bargains</w:t>
      </w:r>
    </w:p>
    <w:p>
      <w:pPr>
        <w:pStyle w:val="BodyText"/>
        <w:spacing w:before="41"/>
        <w:rPr>
          <w:rFonts w:ascii="Arial"/>
          <w:b/>
          <w:sz w:val="18"/>
        </w:rPr>
      </w:pPr>
    </w:p>
    <w:p>
      <w:pPr>
        <w:pStyle w:val="Heading2"/>
      </w:pPr>
      <w:r>
        <w:rPr/>
        <w:t>7-</w:t>
      </w:r>
      <w:r>
        <w:rPr>
          <w:spacing w:val="-5"/>
        </w:rPr>
        <w:t>109</w:t>
      </w:r>
    </w:p>
    <w:p>
      <w:pPr>
        <w:pStyle w:val="BodyText"/>
        <w:spacing w:line="235" w:lineRule="auto" w:before="203"/>
        <w:ind w:left="164" w:right="167"/>
        <w:jc w:val="both"/>
      </w:pPr>
      <w:r>
        <w:rPr/>
        <w:t>The second relates to cases where the misrepresentee has made a bad bargain in the sense </w:t>
      </w:r>
      <w:r>
        <w:rPr/>
        <w:t>that, quite apart from the misrepresentation, the property is worth less than he has paid for it. In such a case the court might well exercise its discretion to declare the contract subsisting if it thinks the misrepresentee is less concerned about the effect of the misrepresentation than to escape from the </w:t>
      </w:r>
      <w:bookmarkStart w:name="_bookmark934" w:id="936"/>
      <w:bookmarkEnd w:id="936"/>
      <w:r>
        <w:rPr/>
        <w:t>contract.</w:t>
      </w:r>
      <w:r>
        <w:rPr/>
        <w:t> Were the damages in lieu of rescission to be on the tortious measure as applied in actions for</w:t>
      </w:r>
      <w:r>
        <w:rPr>
          <w:spacing w:val="-2"/>
        </w:rPr>
        <w:t> </w:t>
      </w:r>
      <w:r>
        <w:rPr/>
        <w:t>fraud,</w:t>
      </w:r>
      <w:r>
        <w:rPr>
          <w:spacing w:val="-2"/>
        </w:rPr>
        <w:t> </w:t>
      </w:r>
      <w:r>
        <w:rPr>
          <w:color w:val="005DA1"/>
          <w:u w:val="single" w:color="005DA1"/>
          <w:vertAlign w:val="superscript"/>
        </w:rPr>
        <w:t>508</w:t>
      </w:r>
      <w:r>
        <w:rPr>
          <w:color w:val="005DA1"/>
          <w:spacing w:val="-2"/>
          <w:vertAlign w:val="baseline"/>
        </w:rPr>
        <w:t> </w:t>
      </w:r>
      <w:r>
        <w:rPr>
          <w:vertAlign w:val="baseline"/>
        </w:rPr>
        <w:t>or</w:t>
      </w:r>
      <w:r>
        <w:rPr>
          <w:spacing w:val="-2"/>
          <w:vertAlign w:val="baseline"/>
        </w:rPr>
        <w:t> </w:t>
      </w:r>
      <w:r>
        <w:rPr>
          <w:vertAlign w:val="baseline"/>
        </w:rPr>
        <w:t>were</w:t>
      </w:r>
      <w:r>
        <w:rPr>
          <w:spacing w:val="-2"/>
          <w:vertAlign w:val="baseline"/>
        </w:rPr>
        <w:t> </w:t>
      </w:r>
      <w:r>
        <w:rPr>
          <w:vertAlign w:val="baseline"/>
        </w:rPr>
        <w:t>the</w:t>
      </w:r>
      <w:r>
        <w:rPr>
          <w:spacing w:val="-2"/>
          <w:vertAlign w:val="baseline"/>
        </w:rPr>
        <w:t> </w:t>
      </w:r>
      <w:r>
        <w:rPr>
          <w:vertAlign w:val="baseline"/>
        </w:rPr>
        <w:t>damages</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calculated</w:t>
      </w:r>
      <w:r>
        <w:rPr>
          <w:spacing w:val="-2"/>
          <w:vertAlign w:val="baseline"/>
        </w:rPr>
        <w:t> </w:t>
      </w:r>
      <w:r>
        <w:rPr>
          <w:vertAlign w:val="baseline"/>
        </w:rPr>
        <w:t>so</w:t>
      </w:r>
      <w:r>
        <w:rPr>
          <w:spacing w:val="-2"/>
          <w:vertAlign w:val="baseline"/>
        </w:rPr>
        <w:t> </w:t>
      </w:r>
      <w:r>
        <w:rPr>
          <w:vertAlign w:val="baseline"/>
        </w:rPr>
        <w:t>as</w:t>
      </w:r>
      <w:r>
        <w:rPr>
          <w:spacing w:val="-2"/>
          <w:vertAlign w:val="baseline"/>
        </w:rPr>
        <w:t> </w:t>
      </w:r>
      <w:r>
        <w:rPr>
          <w:vertAlign w:val="baseline"/>
        </w:rPr>
        <w:t>to</w:t>
      </w:r>
      <w:r>
        <w:rPr>
          <w:spacing w:val="-2"/>
          <w:vertAlign w:val="baseline"/>
        </w:rPr>
        <w:t> </w:t>
      </w:r>
      <w:r>
        <w:rPr>
          <w:vertAlign w:val="baseline"/>
        </w:rPr>
        <w:t>indemnify</w:t>
      </w:r>
      <w:r>
        <w:rPr>
          <w:spacing w:val="-2"/>
          <w:vertAlign w:val="baseline"/>
        </w:rPr>
        <w:t> </w:t>
      </w:r>
      <w:r>
        <w:rPr>
          <w:vertAlign w:val="baseline"/>
        </w:rPr>
        <w:t>the</w:t>
      </w:r>
      <w:r>
        <w:rPr>
          <w:spacing w:val="-2"/>
          <w:vertAlign w:val="baseline"/>
        </w:rPr>
        <w:t> </w:t>
      </w:r>
      <w:r>
        <w:rPr>
          <w:vertAlign w:val="baseline"/>
        </w:rPr>
        <w:t>misrepresentee</w:t>
      </w:r>
      <w:r>
        <w:rPr>
          <w:spacing w:val="-2"/>
          <w:vertAlign w:val="baseline"/>
        </w:rPr>
        <w:t> </w:t>
      </w:r>
      <w:r>
        <w:rPr>
          <w:vertAlign w:val="baseline"/>
        </w:rPr>
        <w:t>fully</w:t>
      </w:r>
      <w:r>
        <w:rPr>
          <w:spacing w:val="-2"/>
          <w:vertAlign w:val="baseline"/>
        </w:rPr>
        <w:t> </w:t>
      </w:r>
      <w:r>
        <w:rPr>
          <w:vertAlign w:val="baseline"/>
        </w:rPr>
        <w:t>against the consequences of rescission being refused, the damages might include loss suffered by the </w:t>
      </w:r>
      <w:bookmarkStart w:name="_bookmark935" w:id="937"/>
      <w:bookmarkEnd w:id="937"/>
      <w:r>
        <w:rPr>
          <w:vertAlign w:val="baseline"/>
        </w:rPr>
        <w:t>misrepresentor</w:t>
      </w:r>
      <w:r>
        <w:rPr>
          <w:spacing w:val="-1"/>
          <w:vertAlign w:val="baseline"/>
        </w:rPr>
        <w:t> </w:t>
      </w:r>
      <w:r>
        <w:rPr>
          <w:vertAlign w:val="baseline"/>
        </w:rPr>
        <w:t>through</w:t>
      </w:r>
      <w:r>
        <w:rPr>
          <w:spacing w:val="-1"/>
          <w:vertAlign w:val="baseline"/>
        </w:rPr>
        <w:t> </w:t>
      </w:r>
      <w:r>
        <w:rPr>
          <w:vertAlign w:val="baseline"/>
        </w:rPr>
        <w:t>the</w:t>
      </w:r>
      <w:r>
        <w:rPr>
          <w:spacing w:val="-1"/>
          <w:vertAlign w:val="baseline"/>
        </w:rPr>
        <w:t> </w:t>
      </w:r>
      <w:r>
        <w:rPr>
          <w:vertAlign w:val="baseline"/>
        </w:rPr>
        <w:t>general</w:t>
      </w:r>
      <w:r>
        <w:rPr>
          <w:spacing w:val="-1"/>
          <w:vertAlign w:val="baseline"/>
        </w:rPr>
        <w:t> </w:t>
      </w:r>
      <w:r>
        <w:rPr>
          <w:vertAlign w:val="baseline"/>
        </w:rPr>
        <w:t>fall</w:t>
      </w:r>
      <w:r>
        <w:rPr>
          <w:spacing w:val="-1"/>
          <w:vertAlign w:val="baseline"/>
        </w:rPr>
        <w:t> </w:t>
      </w:r>
      <w:r>
        <w:rPr>
          <w:vertAlign w:val="baseline"/>
        </w:rPr>
        <w:t>in</w:t>
      </w:r>
      <w:r>
        <w:rPr>
          <w:spacing w:val="-1"/>
          <w:vertAlign w:val="baseline"/>
        </w:rPr>
        <w:t> </w:t>
      </w:r>
      <w:r>
        <w:rPr>
          <w:vertAlign w:val="baseline"/>
        </w:rPr>
        <w:t>value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property.</w:t>
      </w:r>
      <w:r>
        <w:rPr>
          <w:spacing w:val="-1"/>
          <w:vertAlign w:val="baseline"/>
        </w:rPr>
        <w:t> </w:t>
      </w:r>
      <w:r>
        <w:rPr>
          <w:vertAlign w:val="baseline"/>
        </w:rPr>
        <w:t>The</w:t>
      </w:r>
      <w:r>
        <w:rPr>
          <w:spacing w:val="-1"/>
          <w:vertAlign w:val="baseline"/>
        </w:rPr>
        <w:t> </w:t>
      </w:r>
      <w:r>
        <w:rPr>
          <w:vertAlign w:val="baseline"/>
        </w:rPr>
        <w:t>Court</w:t>
      </w:r>
      <w:r>
        <w:rPr>
          <w:spacing w:val="-1"/>
          <w:vertAlign w:val="baseline"/>
        </w:rPr>
        <w:t> </w:t>
      </w:r>
      <w:r>
        <w:rPr>
          <w:vertAlign w:val="baseline"/>
        </w:rPr>
        <w:t>of</w:t>
      </w:r>
      <w:r>
        <w:rPr>
          <w:spacing w:val="-1"/>
          <w:vertAlign w:val="baseline"/>
        </w:rPr>
        <w:t> </w:t>
      </w:r>
      <w:r>
        <w:rPr>
          <w:vertAlign w:val="baseline"/>
        </w:rPr>
        <w:t>Appeal</w:t>
      </w:r>
      <w:r>
        <w:rPr>
          <w:spacing w:val="-1"/>
          <w:vertAlign w:val="baseline"/>
        </w:rPr>
        <w:t> </w:t>
      </w:r>
      <w:r>
        <w:rPr>
          <w:vertAlign w:val="baseline"/>
        </w:rPr>
        <w:t>in</w:t>
      </w:r>
      <w:r>
        <w:rPr>
          <w:spacing w:val="-2"/>
          <w:vertAlign w:val="baseline"/>
        </w:rPr>
        <w:t> </w:t>
      </w:r>
      <w:r>
        <w:rPr>
          <w:rFonts w:ascii="Arial" w:hAnsi="Arial"/>
          <w:i/>
          <w:vertAlign w:val="baseline"/>
        </w:rPr>
        <w:t>William</w:t>
      </w:r>
      <w:r>
        <w:rPr>
          <w:rFonts w:ascii="Arial" w:hAnsi="Arial"/>
          <w:i/>
          <w:spacing w:val="-1"/>
          <w:vertAlign w:val="baseline"/>
        </w:rPr>
        <w:t> </w:t>
      </w:r>
      <w:r>
        <w:rPr>
          <w:rFonts w:ascii="Arial" w:hAnsi="Arial"/>
          <w:i/>
          <w:vertAlign w:val="baseline"/>
        </w:rPr>
        <w:t>Sindall Plc v Cambridgeshire CC </w:t>
      </w:r>
      <w:r>
        <w:rPr>
          <w:color w:val="005DA1"/>
          <w:u w:val="single" w:color="005DA1"/>
          <w:vertAlign w:val="superscript"/>
        </w:rPr>
        <w:t>509</w:t>
      </w:r>
      <w:r>
        <w:rPr>
          <w:color w:val="005DA1"/>
          <w:vertAlign w:val="baseline"/>
        </w:rPr>
        <w:t> </w:t>
      </w:r>
      <w:r>
        <w:rPr>
          <w:vertAlign w:val="baseline"/>
        </w:rPr>
        <w:t>said that this would not be appropriate in a case like the one outlined </w:t>
      </w:r>
      <w:bookmarkStart w:name="_bookmark936" w:id="938"/>
      <w:bookmarkEnd w:id="938"/>
      <w:r>
        <w:rPr>
          <w:vertAlign w:val="baseline"/>
        </w:rPr>
        <w:t>since</w:t>
      </w:r>
      <w:r>
        <w:rPr>
          <w:vertAlign w:val="baseline"/>
        </w:rPr>
        <w:t> the result would be to defeat the object of declaring the contract subsisting; the loss caused by the general fall in value would once again be put onto the misrepresentor. Evans L.J. </w:t>
      </w:r>
      <w:r>
        <w:rPr>
          <w:color w:val="005DA1"/>
          <w:u w:val="single" w:color="005DA1"/>
          <w:vertAlign w:val="superscript"/>
        </w:rPr>
        <w:t>510</w:t>
      </w:r>
      <w:r>
        <w:rPr>
          <w:color w:val="005DA1"/>
          <w:vertAlign w:val="baseline"/>
        </w:rPr>
        <w:t> </w:t>
      </w:r>
      <w:r>
        <w:rPr>
          <w:vertAlign w:val="baseline"/>
        </w:rPr>
        <w:t>said that in such</w:t>
      </w:r>
      <w:r>
        <w:rPr>
          <w:spacing w:val="6"/>
          <w:vertAlign w:val="baseline"/>
        </w:rPr>
        <w:t> </w:t>
      </w:r>
      <w:r>
        <w:rPr>
          <w:vertAlign w:val="baseline"/>
        </w:rPr>
        <w:t>a</w:t>
      </w:r>
      <w:r>
        <w:rPr>
          <w:spacing w:val="6"/>
          <w:vertAlign w:val="baseline"/>
        </w:rPr>
        <w:t> </w:t>
      </w:r>
      <w:r>
        <w:rPr>
          <w:vertAlign w:val="baseline"/>
        </w:rPr>
        <w:t>case</w:t>
      </w:r>
      <w:r>
        <w:rPr>
          <w:spacing w:val="6"/>
          <w:vertAlign w:val="baseline"/>
        </w:rPr>
        <w:t> </w:t>
      </w:r>
      <w:r>
        <w:rPr>
          <w:vertAlign w:val="baseline"/>
        </w:rPr>
        <w:t>the</w:t>
      </w:r>
      <w:r>
        <w:rPr>
          <w:spacing w:val="6"/>
          <w:vertAlign w:val="baseline"/>
        </w:rPr>
        <w:t> </w:t>
      </w:r>
      <w:r>
        <w:rPr>
          <w:vertAlign w:val="baseline"/>
        </w:rPr>
        <w:t>contract</w:t>
      </w:r>
      <w:r>
        <w:rPr>
          <w:spacing w:val="6"/>
          <w:vertAlign w:val="baseline"/>
        </w:rPr>
        <w:t> </w:t>
      </w:r>
      <w:r>
        <w:rPr>
          <w:vertAlign w:val="baseline"/>
        </w:rPr>
        <w:t>measure—the</w:t>
      </w:r>
      <w:r>
        <w:rPr>
          <w:spacing w:val="6"/>
          <w:vertAlign w:val="baseline"/>
        </w:rPr>
        <w:t> </w:t>
      </w:r>
      <w:r>
        <w:rPr>
          <w:vertAlign w:val="baseline"/>
        </w:rPr>
        <w:t>difference</w:t>
      </w:r>
      <w:r>
        <w:rPr>
          <w:spacing w:val="6"/>
          <w:vertAlign w:val="baseline"/>
        </w:rPr>
        <w:t> </w:t>
      </w:r>
      <w:r>
        <w:rPr>
          <w:vertAlign w:val="baseline"/>
        </w:rPr>
        <w:t>in</w:t>
      </w:r>
      <w:r>
        <w:rPr>
          <w:spacing w:val="6"/>
          <w:vertAlign w:val="baseline"/>
        </w:rPr>
        <w:t> </w:t>
      </w:r>
      <w:r>
        <w:rPr>
          <w:vertAlign w:val="baseline"/>
        </w:rPr>
        <w:t>value</w:t>
      </w:r>
      <w:r>
        <w:rPr>
          <w:spacing w:val="6"/>
          <w:vertAlign w:val="baseline"/>
        </w:rPr>
        <w:t> </w:t>
      </w:r>
      <w:r>
        <w:rPr>
          <w:vertAlign w:val="baseline"/>
        </w:rPr>
        <w:t>between</w:t>
      </w:r>
      <w:r>
        <w:rPr>
          <w:spacing w:val="6"/>
          <w:vertAlign w:val="baseline"/>
        </w:rPr>
        <w:t> </w:t>
      </w:r>
      <w:r>
        <w:rPr>
          <w:vertAlign w:val="baseline"/>
        </w:rPr>
        <w:t>the</w:t>
      </w:r>
      <w:r>
        <w:rPr>
          <w:spacing w:val="6"/>
          <w:vertAlign w:val="baseline"/>
        </w:rPr>
        <w:t> </w:t>
      </w:r>
      <w:r>
        <w:rPr>
          <w:vertAlign w:val="baseline"/>
        </w:rPr>
        <w:t>property</w:t>
      </w:r>
      <w:r>
        <w:rPr>
          <w:spacing w:val="6"/>
          <w:vertAlign w:val="baseline"/>
        </w:rPr>
        <w:t> </w:t>
      </w:r>
      <w:r>
        <w:rPr>
          <w:vertAlign w:val="baseline"/>
        </w:rPr>
        <w:t>with</w:t>
      </w:r>
      <w:r>
        <w:rPr>
          <w:spacing w:val="6"/>
          <w:vertAlign w:val="baseline"/>
        </w:rPr>
        <w:t> </w:t>
      </w:r>
      <w:r>
        <w:rPr>
          <w:vertAlign w:val="baseline"/>
        </w:rPr>
        <w:t>and</w:t>
      </w:r>
      <w:r>
        <w:rPr>
          <w:spacing w:val="6"/>
          <w:vertAlign w:val="baseline"/>
        </w:rPr>
        <w:t> </w:t>
      </w:r>
      <w:r>
        <w:rPr>
          <w:vertAlign w:val="baseline"/>
        </w:rPr>
        <w:t>without</w:t>
      </w:r>
      <w:r>
        <w:rPr>
          <w:spacing w:val="6"/>
          <w:vertAlign w:val="baseline"/>
        </w:rPr>
        <w:t> </w:t>
      </w:r>
      <w:r>
        <w:rPr>
          <w:spacing w:val="-5"/>
          <w:vertAlign w:val="baseline"/>
        </w:rPr>
        <w:t>the</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r>
        <w:rPr/>
        <w:t>“defect” to which the misrepresentation related, or the cost of correcting the defect—would </w:t>
      </w:r>
      <w:r>
        <w:rPr/>
        <w:t>be appropriate. With respect, it seems to be contrary to principle to award the contractual measure when the claim was to rescind because of a misrepresentation. Moreover, the solution will not always be attractive. Even without the defect, the property might be worth as much as the misrepresentee had </w:t>
      </w:r>
      <w:bookmarkStart w:name="_bookmark937" w:id="939"/>
      <w:bookmarkEnd w:id="939"/>
      <w:r>
        <w:rPr/>
        <w:t>paid</w:t>
      </w:r>
      <w:r>
        <w:rPr/>
        <w:t> for it. In such circumstances and provided that there is no consequential loss, damages for misrepresentation will normally be nil. </w:t>
      </w:r>
      <w:r>
        <w:rPr>
          <w:color w:val="005DA1"/>
          <w:u w:val="single" w:color="005DA1"/>
          <w:vertAlign w:val="superscript"/>
        </w:rPr>
        <w:t>511</w:t>
      </w:r>
      <w:r>
        <w:rPr>
          <w:color w:val="005DA1"/>
          <w:vertAlign w:val="baseline"/>
        </w:rPr>
        <w:t> </w:t>
      </w:r>
      <w:r>
        <w:rPr>
          <w:vertAlign w:val="baseline"/>
        </w:rPr>
        <w:t>It would not be logical for an award under s.2(2) to include </w:t>
      </w:r>
      <w:bookmarkStart w:name="_bookmark938" w:id="940"/>
      <w:bookmarkEnd w:id="940"/>
      <w:r>
        <w:rPr>
          <w:vertAlign w:val="baseline"/>
        </w:rPr>
        <w:t>the</w:t>
      </w:r>
      <w:r>
        <w:rPr>
          <w:vertAlign w:val="baseline"/>
        </w:rPr>
        <w:t> additional value the property would have had if the representation had been true, which would be </w:t>
      </w:r>
      <w:bookmarkStart w:name="_bookmark939" w:id="941"/>
      <w:bookmarkEnd w:id="941"/>
      <w:r>
        <w:rPr>
          <w:vertAlign w:val="baseline"/>
        </w:rPr>
        <w:t>included</w:t>
      </w:r>
      <w:r>
        <w:rPr>
          <w:vertAlign w:val="baseline"/>
        </w:rPr>
        <w:t> were the contractual measure to apply. </w:t>
      </w:r>
      <w:r>
        <w:rPr>
          <w:color w:val="005DA1"/>
          <w:u w:val="single" w:color="005DA1"/>
          <w:vertAlign w:val="superscript"/>
        </w:rPr>
        <w:t>512</w:t>
      </w:r>
      <w:r>
        <w:rPr>
          <w:color w:val="005DA1"/>
          <w:vertAlign w:val="baseline"/>
        </w:rPr>
        <w:t> </w:t>
      </w:r>
      <w:r>
        <w:rPr>
          <w:vertAlign w:val="baseline"/>
        </w:rPr>
        <w:t>Nor should the amount recoverable under the contractual measure be used to “cap” recovery for misrepresentation. </w:t>
      </w:r>
      <w:r>
        <w:rPr>
          <w:color w:val="005DA1"/>
          <w:u w:val="single" w:color="005DA1"/>
          <w:vertAlign w:val="superscript"/>
        </w:rPr>
        <w:t>513</w:t>
      </w:r>
      <w:r>
        <w:rPr>
          <w:color w:val="005DA1"/>
          <w:vertAlign w:val="baseline"/>
        </w:rPr>
        <w:t> </w:t>
      </w:r>
      <w:r>
        <w:rPr>
          <w:vertAlign w:val="baseline"/>
        </w:rPr>
        <w:t>However, since the </w:t>
      </w:r>
      <w:r>
        <w:rPr>
          <w:rFonts w:ascii="Arial" w:hAnsi="Arial"/>
          <w:i/>
          <w:vertAlign w:val="baseline"/>
        </w:rPr>
        <w:t>Sindall </w:t>
      </w:r>
      <w:r>
        <w:rPr>
          <w:vertAlign w:val="baseline"/>
        </w:rPr>
        <w:t>case was decided it has become clear that in a claim at common law against a negligent valuer, the valuer will not necessarily be liable for the losses caused by the fall in property prices generally, even though the lender would not have taken the property as security had a correct valuation been given. </w:t>
      </w:r>
      <w:bookmarkStart w:name="_bookmark940" w:id="942"/>
      <w:bookmarkEnd w:id="942"/>
      <w:r>
        <w:rPr>
          <w:vertAlign w:val="baseline"/>
        </w:rPr>
        <w:t>The</w:t>
      </w:r>
      <w:r>
        <w:rPr>
          <w:vertAlign w:val="baseline"/>
        </w:rPr>
        <w:t> damages are limited to the difference between the valuation negligently provided and the correct property value at the time. </w:t>
      </w:r>
      <w:r>
        <w:rPr>
          <w:color w:val="005DA1"/>
          <w:u w:val="single" w:color="005DA1"/>
          <w:vertAlign w:val="superscript"/>
        </w:rPr>
        <w:t>514</w:t>
      </w:r>
      <w:r>
        <w:rPr>
          <w:color w:val="005DA1"/>
          <w:vertAlign w:val="baseline"/>
        </w:rPr>
        <w:t> </w:t>
      </w:r>
      <w:r>
        <w:rPr>
          <w:vertAlign w:val="baseline"/>
        </w:rPr>
        <w:t>By analogy, it is submitted that in a case where property has been bought</w:t>
      </w:r>
      <w:r>
        <w:rPr>
          <w:spacing w:val="-2"/>
          <w:vertAlign w:val="baseline"/>
        </w:rPr>
        <w:t> </w:t>
      </w:r>
      <w:r>
        <w:rPr>
          <w:vertAlign w:val="baseline"/>
        </w:rPr>
        <w:t>as</w:t>
      </w:r>
      <w:r>
        <w:rPr>
          <w:spacing w:val="-2"/>
          <w:vertAlign w:val="baseline"/>
        </w:rPr>
        <w:t> </w:t>
      </w:r>
      <w:r>
        <w:rPr>
          <w:vertAlign w:val="baseline"/>
        </w:rPr>
        <w:t>the</w:t>
      </w:r>
      <w:r>
        <w:rPr>
          <w:spacing w:val="-2"/>
          <w:vertAlign w:val="baseline"/>
        </w:rPr>
        <w:t> </w:t>
      </w:r>
      <w:r>
        <w:rPr>
          <w:vertAlign w:val="baseline"/>
        </w:rPr>
        <w:t>result</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misrepresentation,</w:t>
      </w:r>
      <w:r>
        <w:rPr>
          <w:spacing w:val="-2"/>
          <w:vertAlign w:val="baseline"/>
        </w:rPr>
        <w:t> </w:t>
      </w:r>
      <w:r>
        <w:rPr>
          <w:vertAlign w:val="baseline"/>
        </w:rPr>
        <w:t>damages</w:t>
      </w:r>
      <w:r>
        <w:rPr>
          <w:spacing w:val="-2"/>
          <w:vertAlign w:val="baseline"/>
        </w:rPr>
        <w:t> </w:t>
      </w:r>
      <w:r>
        <w:rPr>
          <w:vertAlign w:val="baseline"/>
        </w:rPr>
        <w:t>under</w:t>
      </w:r>
      <w:r>
        <w:rPr>
          <w:spacing w:val="-2"/>
          <w:vertAlign w:val="baseline"/>
        </w:rPr>
        <w:t> </w:t>
      </w:r>
      <w:r>
        <w:rPr>
          <w:vertAlign w:val="baseline"/>
        </w:rPr>
        <w:t>Misrepresentation</w:t>
      </w:r>
      <w:r>
        <w:rPr>
          <w:spacing w:val="-2"/>
          <w:vertAlign w:val="baseline"/>
        </w:rPr>
        <w:t> </w:t>
      </w:r>
      <w:r>
        <w:rPr>
          <w:vertAlign w:val="baseline"/>
        </w:rPr>
        <w:t>Act</w:t>
      </w:r>
      <w:r>
        <w:rPr>
          <w:spacing w:val="-2"/>
          <w:vertAlign w:val="baseline"/>
        </w:rPr>
        <w:t> </w:t>
      </w:r>
      <w:r>
        <w:rPr>
          <w:vertAlign w:val="baseline"/>
        </w:rPr>
        <w:t>1967</w:t>
      </w:r>
      <w:r>
        <w:rPr>
          <w:spacing w:val="-2"/>
          <w:vertAlign w:val="baseline"/>
        </w:rPr>
        <w:t> </w:t>
      </w:r>
      <w:r>
        <w:rPr>
          <w:vertAlign w:val="baseline"/>
        </w:rPr>
        <w:t>s.2(2)</w:t>
      </w:r>
      <w:r>
        <w:rPr>
          <w:spacing w:val="-2"/>
          <w:vertAlign w:val="baseline"/>
        </w:rPr>
        <w:t> </w:t>
      </w:r>
      <w:r>
        <w:rPr>
          <w:vertAlign w:val="baseline"/>
        </w:rPr>
        <w:t>should be limited to any difference between the contract price and the actual value of the property taking </w:t>
      </w:r>
      <w:bookmarkStart w:name="_bookmark941" w:id="943"/>
      <w:bookmarkEnd w:id="943"/>
      <w:r>
        <w:rPr>
          <w:vertAlign w:val="baseline"/>
        </w:rPr>
        <w:t>account</w:t>
      </w:r>
      <w:r>
        <w:rPr>
          <w:vertAlign w:val="baseline"/>
        </w:rPr>
        <w:t> of the misrepresentation but not taking into account the general fall in the value of the property. This was canvassed as an alternative approach by Evans L.J. in </w:t>
      </w:r>
      <w:r>
        <w:rPr>
          <w:rFonts w:ascii="Arial" w:hAnsi="Arial"/>
          <w:i/>
          <w:vertAlign w:val="baseline"/>
        </w:rPr>
        <w:t>Sindall</w:t>
      </w:r>
      <w:r>
        <w:rPr>
          <w:rFonts w:ascii="Arial" w:hAnsi="Arial"/>
          <w:i/>
          <w:spacing w:val="-14"/>
          <w:vertAlign w:val="baseline"/>
        </w:rPr>
        <w:t> </w:t>
      </w:r>
      <w:r>
        <w:rPr>
          <w:vertAlign w:val="baseline"/>
        </w:rPr>
        <w:t>’s case </w:t>
      </w:r>
      <w:r>
        <w:rPr>
          <w:color w:val="005DA1"/>
          <w:u w:val="single" w:color="005DA1"/>
          <w:vertAlign w:val="superscript"/>
        </w:rPr>
        <w:t>515</w:t>
      </w:r>
      <w:r>
        <w:rPr>
          <w:color w:val="005DA1"/>
          <w:vertAlign w:val="baseline"/>
        </w:rPr>
        <w:t> </w:t>
      </w:r>
      <w:r>
        <w:rPr>
          <w:vertAlign w:val="baseline"/>
        </w:rPr>
        <w:t>and it </w:t>
      </w:r>
      <w:bookmarkStart w:name="_bookmark942" w:id="944"/>
      <w:bookmarkEnd w:id="944"/>
      <w:r>
        <w:rPr>
          <w:vertAlign w:val="baseline"/>
        </w:rPr>
        <w:t>does</w:t>
      </w:r>
      <w:r>
        <w:rPr>
          <w:vertAlign w:val="baseline"/>
        </w:rPr>
        <w:t> not seem inconsistent with the words of the statute. It would, in effect, reverse any unjust </w:t>
      </w:r>
      <w:bookmarkStart w:name="_bookmark943" w:id="945"/>
      <w:bookmarkEnd w:id="945"/>
      <w:r>
        <w:rPr>
          <w:vertAlign w:val="baseline"/>
        </w:rPr>
        <w:t>enrichment</w:t>
      </w:r>
      <w:r>
        <w:rPr>
          <w:vertAlign w:val="baseline"/>
        </w:rPr>
        <w:t> of the defendant. </w:t>
      </w:r>
      <w:r>
        <w:rPr>
          <w:color w:val="005DA1"/>
          <w:u w:val="single" w:color="005DA1"/>
          <w:vertAlign w:val="superscript"/>
        </w:rPr>
        <w:t>516</w:t>
      </w:r>
      <w:r>
        <w:rPr>
          <w:color w:val="005DA1"/>
          <w:vertAlign w:val="baseline"/>
        </w:rPr>
        <w:t> </w:t>
      </w:r>
      <w:r>
        <w:rPr>
          <w:vertAlign w:val="baseline"/>
        </w:rPr>
        <w:t>Where as the result of the misrepresentation the misrepresentee has given up some other right, the damages should be the value of that other right. </w:t>
      </w:r>
      <w:r>
        <w:rPr>
          <w:color w:val="005DA1"/>
          <w:u w:val="single" w:color="005DA1"/>
          <w:vertAlign w:val="superscript"/>
        </w:rPr>
        <w:t>517</w:t>
      </w:r>
    </w:p>
    <w:p>
      <w:pPr>
        <w:pStyle w:val="BodyText"/>
      </w:pPr>
    </w:p>
    <w:p>
      <w:pPr>
        <w:pStyle w:val="BodyText"/>
        <w:spacing w:before="30"/>
      </w:pPr>
    </w:p>
    <w:p>
      <w:pPr>
        <w:spacing w:before="0"/>
        <w:ind w:left="165" w:right="0" w:firstLine="0"/>
        <w:jc w:val="both"/>
        <w:rPr>
          <w:rFonts w:ascii="Arial" w:hAnsi="Arial"/>
          <w:b/>
          <w:sz w:val="18"/>
        </w:rPr>
      </w:pPr>
      <w:r>
        <w:rPr>
          <w:rFonts w:ascii="Arial" w:hAnsi="Arial"/>
          <w:b/>
          <w:sz w:val="18"/>
        </w:rPr>
        <w:t>Exercise of court’s </w:t>
      </w:r>
      <w:r>
        <w:rPr>
          <w:rFonts w:ascii="Arial" w:hAnsi="Arial"/>
          <w:b/>
          <w:spacing w:val="-2"/>
          <w:sz w:val="18"/>
        </w:rPr>
        <w:t>discretion</w:t>
      </w:r>
    </w:p>
    <w:p>
      <w:pPr>
        <w:pStyle w:val="BodyText"/>
        <w:spacing w:before="42"/>
        <w:rPr>
          <w:rFonts w:ascii="Arial"/>
          <w:b/>
          <w:sz w:val="18"/>
        </w:rPr>
      </w:pPr>
    </w:p>
    <w:p>
      <w:pPr>
        <w:pStyle w:val="Heading2"/>
      </w:pPr>
      <w:r>
        <w:rPr/>
        <w:t>7-</w:t>
      </w:r>
      <w:r>
        <w:rPr>
          <w:spacing w:val="-5"/>
        </w:rPr>
        <w:t>110</w:t>
      </w:r>
    </w:p>
    <w:p>
      <w:pPr>
        <w:pStyle w:val="BodyText"/>
        <w:spacing w:line="235" w:lineRule="auto" w:before="202"/>
        <w:ind w:left="164" w:right="167"/>
        <w:jc w:val="both"/>
      </w:pPr>
      <w:r>
        <w:rPr/>
        <w:t>The court’s discretion under s.2(2) is a wide one. In particular, it is to be noted that the court is not confined to a consideration of whether damages would be an adequate remedy to the representee. The court is also required to consider the loss that would be caused to the representor by rescission. Thus even where damages would not be an adequate remedy for the representee, the court may feel that it would be more equitable to award damages where it is shown that great loss would be caused </w:t>
      </w:r>
      <w:bookmarkStart w:name="_bookmark944" w:id="946"/>
      <w:bookmarkEnd w:id="946"/>
      <w:r>
        <w:rPr/>
        <w:t>to</w:t>
      </w:r>
      <w:r>
        <w:rPr/>
        <w:t> the representor by rescinding the whole contract, for instance because the market value of </w:t>
      </w:r>
      <w:r>
        <w:rPr/>
        <w:t>the performance to be rendered has fallen dramatically. </w:t>
      </w:r>
      <w:r>
        <w:rPr>
          <w:color w:val="005DA1"/>
          <w:u w:val="single" w:color="005DA1"/>
          <w:vertAlign w:val="superscript"/>
        </w:rPr>
        <w:t>518</w:t>
      </w:r>
      <w:r>
        <w:rPr>
          <w:color w:val="005DA1"/>
          <w:vertAlign w:val="baseline"/>
        </w:rPr>
        <w:t> </w:t>
      </w:r>
      <w:r>
        <w:rPr>
          <w:vertAlign w:val="baseline"/>
        </w:rPr>
        <w:t>The court may also exercise its discretion where to permit rescission would expose the misrepresentor to a large liability, even if that might in </w:t>
      </w:r>
      <w:bookmarkStart w:name="_bookmark945" w:id="947"/>
      <w:bookmarkEnd w:id="947"/>
      <w:r>
        <w:rPr>
          <w:vertAlign w:val="baseline"/>
        </w:rPr>
        <w:t>practice</w:t>
      </w:r>
      <w:r>
        <w:rPr>
          <w:vertAlign w:val="baseline"/>
        </w:rPr>
        <w:t> not be enforceable, whereas to maintain it would result in little additional loss to the </w:t>
      </w:r>
      <w:bookmarkStart w:name="_bookmark946" w:id="948"/>
      <w:bookmarkEnd w:id="948"/>
      <w:r>
        <w:rPr>
          <w:vertAlign w:val="baseline"/>
        </w:rPr>
        <w:t>misrepresentee.</w:t>
      </w:r>
      <w:r>
        <w:rPr>
          <w:vertAlign w:val="baseline"/>
        </w:rPr>
        <w:t> </w:t>
      </w:r>
      <w:r>
        <w:rPr>
          <w:color w:val="005DA1"/>
          <w:u w:val="single" w:color="005DA1"/>
          <w:vertAlign w:val="superscript"/>
        </w:rPr>
        <w:t>519</w:t>
      </w:r>
      <w:r>
        <w:rPr>
          <w:color w:val="005DA1"/>
          <w:vertAlign w:val="baseline"/>
        </w:rPr>
        <w:t> </w:t>
      </w:r>
      <w:r>
        <w:rPr>
          <w:vertAlign w:val="baseline"/>
        </w:rPr>
        <w:t>A court is unlikely to exercise its power to declare the contract subsisting under s.2(2) when an award of damages against the misrepresentor will be an empty remedy. </w:t>
      </w:r>
      <w:r>
        <w:rPr>
          <w:color w:val="005DA1"/>
          <w:u w:val="single" w:color="005DA1"/>
          <w:vertAlign w:val="superscript"/>
        </w:rPr>
        <w:t>520</w:t>
      </w:r>
      <w:r>
        <w:rPr>
          <w:color w:val="005DA1"/>
          <w:vertAlign w:val="baseline"/>
        </w:rPr>
        <w:t> </w:t>
      </w:r>
      <w:r>
        <w:rPr>
          <w:vertAlign w:val="baseline"/>
        </w:rPr>
        <w:t>The Court of Appeal has indicated that rescission is “the normal remedy” and “should be awarded if possible, </w:t>
      </w:r>
      <w:bookmarkStart w:name="_bookmark947" w:id="949"/>
      <w:bookmarkEnd w:id="949"/>
      <w:r>
        <w:rPr>
          <w:vertAlign w:val="baseline"/>
        </w:rPr>
        <w:t>particularly</w:t>
      </w:r>
      <w:r>
        <w:rPr>
          <w:vertAlign w:val="baseline"/>
        </w:rPr>
        <w:t> perhaps in a case in which a defendant makes no attempt to prove that he had</w:t>
      </w:r>
      <w:r>
        <w:rPr>
          <w:spacing w:val="80"/>
          <w:vertAlign w:val="baseline"/>
        </w:rPr>
        <w:t> </w:t>
      </w:r>
      <w:r>
        <w:rPr>
          <w:vertAlign w:val="baseline"/>
        </w:rPr>
        <w:t>reasonable grounds to believe its representation was true.” </w:t>
      </w:r>
      <w:r>
        <w:rPr>
          <w:color w:val="005DA1"/>
          <w:u w:val="single" w:color="005DA1"/>
          <w:vertAlign w:val="superscript"/>
        </w:rPr>
        <w:t>521</w:t>
      </w:r>
      <w:r>
        <w:rPr>
          <w:color w:val="005DA1"/>
          <w:vertAlign w:val="baseline"/>
        </w:rPr>
        <w:t> </w:t>
      </w:r>
      <w:r>
        <w:rPr>
          <w:vertAlign w:val="baseline"/>
        </w:rPr>
        <w:t>It has also been said that it would not </w:t>
      </w:r>
      <w:bookmarkStart w:name="_bookmark948" w:id="950"/>
      <w:bookmarkEnd w:id="950"/>
      <w:r>
        <w:rPr>
          <w:vertAlign w:val="baseline"/>
        </w:rPr>
        <w:t>be</w:t>
      </w:r>
      <w:r>
        <w:rPr>
          <w:vertAlign w:val="baseline"/>
        </w:rPr>
        <w:t> appropriate to refuse rescission of a reinsurance contract for misrepresentation by the reinsured, </w:t>
      </w:r>
      <w:bookmarkStart w:name="_bookmark949" w:id="951"/>
      <w:bookmarkEnd w:id="951"/>
      <w:r>
        <w:rPr>
          <w:vertAlign w:val="baseline"/>
        </w:rPr>
        <w:t>as</w:t>
      </w:r>
      <w:r>
        <w:rPr>
          <w:spacing w:val="-3"/>
          <w:vertAlign w:val="baseline"/>
        </w:rPr>
        <w:t> </w:t>
      </w:r>
      <w:r>
        <w:rPr>
          <w:vertAlign w:val="baseline"/>
        </w:rPr>
        <w:t>avoidance</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contract</w:t>
      </w:r>
      <w:r>
        <w:rPr>
          <w:spacing w:val="-3"/>
          <w:vertAlign w:val="baseline"/>
        </w:rPr>
        <w:t> </w:t>
      </w:r>
      <w:r>
        <w:rPr>
          <w:vertAlign w:val="baseline"/>
        </w:rPr>
        <w:t>performs</w:t>
      </w:r>
      <w:r>
        <w:rPr>
          <w:spacing w:val="-3"/>
          <w:vertAlign w:val="baseline"/>
        </w:rPr>
        <w:t> </w:t>
      </w:r>
      <w:r>
        <w:rPr>
          <w:vertAlign w:val="baseline"/>
        </w:rPr>
        <w:t>an</w:t>
      </w:r>
      <w:r>
        <w:rPr>
          <w:spacing w:val="-3"/>
          <w:vertAlign w:val="baseline"/>
        </w:rPr>
        <w:t> </w:t>
      </w:r>
      <w:r>
        <w:rPr>
          <w:vertAlign w:val="baseline"/>
        </w:rPr>
        <w:t>important</w:t>
      </w:r>
      <w:r>
        <w:rPr>
          <w:spacing w:val="-3"/>
          <w:vertAlign w:val="baseline"/>
        </w:rPr>
        <w:t> </w:t>
      </w:r>
      <w:r>
        <w:rPr>
          <w:vertAlign w:val="baseline"/>
        </w:rPr>
        <w:t>policing</w:t>
      </w:r>
      <w:r>
        <w:rPr>
          <w:spacing w:val="-3"/>
          <w:vertAlign w:val="baseline"/>
        </w:rPr>
        <w:t> </w:t>
      </w:r>
      <w:r>
        <w:rPr>
          <w:vertAlign w:val="baseline"/>
        </w:rPr>
        <w:t>function.</w:t>
      </w:r>
      <w:r>
        <w:rPr>
          <w:spacing w:val="-4"/>
          <w:vertAlign w:val="baseline"/>
        </w:rPr>
        <w:t> </w:t>
      </w:r>
      <w:r>
        <w:rPr>
          <w:color w:val="005DA1"/>
          <w:u w:val="single" w:color="005DA1"/>
          <w:vertAlign w:val="superscript"/>
        </w:rPr>
        <w:t>522</w:t>
      </w:r>
      <w:r>
        <w:rPr>
          <w:color w:val="005DA1"/>
          <w:spacing w:val="-3"/>
          <w:vertAlign w:val="baseline"/>
        </w:rPr>
        <w:t> </w:t>
      </w:r>
      <w:r>
        <w:rPr>
          <w:vertAlign w:val="baseline"/>
        </w:rPr>
        <w:t>The</w:t>
      </w:r>
      <w:r>
        <w:rPr>
          <w:spacing w:val="-3"/>
          <w:vertAlign w:val="baseline"/>
        </w:rPr>
        <w:t> </w:t>
      </w:r>
      <w:r>
        <w:rPr>
          <w:vertAlign w:val="baseline"/>
        </w:rPr>
        <w:t>burden</w:t>
      </w:r>
      <w:r>
        <w:rPr>
          <w:spacing w:val="-3"/>
          <w:vertAlign w:val="baseline"/>
        </w:rPr>
        <w:t> </w:t>
      </w:r>
      <w:r>
        <w:rPr>
          <w:vertAlign w:val="baseline"/>
        </w:rPr>
        <w:t>of</w:t>
      </w:r>
      <w:r>
        <w:rPr>
          <w:spacing w:val="-3"/>
          <w:vertAlign w:val="baseline"/>
        </w:rPr>
        <w:t> </w:t>
      </w:r>
      <w:r>
        <w:rPr>
          <w:vertAlign w:val="baseline"/>
        </w:rPr>
        <w:t>persuading</w:t>
      </w:r>
      <w:r>
        <w:rPr>
          <w:spacing w:val="-3"/>
          <w:vertAlign w:val="baseline"/>
        </w:rPr>
        <w:t> </w:t>
      </w:r>
      <w:r>
        <w:rPr>
          <w:vertAlign w:val="baseline"/>
        </w:rPr>
        <w:t>the court to exercise its discretion is on the party seeking its exercise. </w:t>
      </w:r>
      <w:r>
        <w:rPr>
          <w:color w:val="005DA1"/>
          <w:u w:val="single" w:color="005DA1"/>
          <w:vertAlign w:val="superscript"/>
        </w:rPr>
        <w:t>523</w:t>
      </w:r>
    </w:p>
    <w:p>
      <w:pPr>
        <w:pStyle w:val="BodyText"/>
      </w:pPr>
    </w:p>
    <w:p>
      <w:pPr>
        <w:pStyle w:val="BodyText"/>
        <w:spacing w:before="34"/>
      </w:pPr>
      <w:r>
        <w:rPr/>
        <mc:AlternateContent>
          <mc:Choice Requires="wps">
            <w:drawing>
              <wp:anchor distT="0" distB="0" distL="0" distR="0" allowOverlap="1" layoutInCell="1" locked="0" behindDoc="1" simplePos="0" relativeHeight="487630336">
                <wp:simplePos x="0" y="0"/>
                <wp:positionH relativeFrom="page">
                  <wp:posOffset>914400</wp:posOffset>
                </wp:positionH>
                <wp:positionV relativeFrom="paragraph">
                  <wp:posOffset>182865</wp:posOffset>
                </wp:positionV>
                <wp:extent cx="5724525" cy="1270"/>
                <wp:effectExtent l="0" t="0" r="0" b="0"/>
                <wp:wrapTopAndBottom/>
                <wp:docPr id="175" name="Graphic 175"/>
                <wp:cNvGraphicFramePr>
                  <a:graphicFrameLocks/>
                </wp:cNvGraphicFramePr>
                <a:graphic>
                  <a:graphicData uri="http://schemas.microsoft.com/office/word/2010/wordprocessingShape">
                    <wps:wsp>
                      <wps:cNvPr id="175" name="Graphic 17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39889pt;width:450.75pt;height:.1pt;mso-position-horizontal-relative:page;mso-position-vertical-relative:paragraph;z-index:-15686144;mso-wrap-distance-left:0;mso-wrap-distance-right:0" id="docshape16" coordorigin="1440,288" coordsize="9015,0" path="m1440,288l10454,288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3905536">
                <wp:simplePos x="0" y="0"/>
                <wp:positionH relativeFrom="page">
                  <wp:posOffset>914400</wp:posOffset>
                </wp:positionH>
                <wp:positionV relativeFrom="paragraph">
                  <wp:posOffset>94576</wp:posOffset>
                </wp:positionV>
                <wp:extent cx="49530"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10944" from="72pt,7.446977pt" to="75.892pt,7.446977pt" stroked="true" strokeweight=".5pt" strokecolor="#005da1">
                <v:stroke dashstyle="solid"/>
                <w10:wrap type="none"/>
              </v:line>
            </w:pict>
          </mc:Fallback>
        </mc:AlternateContent>
      </w:r>
      <w:hyperlink w:history="true" w:anchor="_bookmark1576">
        <w:r>
          <w:rPr>
            <w:color w:val="005DA1"/>
            <w:spacing w:val="-6"/>
            <w:position w:val="5"/>
            <w:sz w:val="14"/>
          </w:rPr>
          <w:t>1</w:t>
        </w:r>
      </w:hyperlink>
      <w:r>
        <w:rPr>
          <w:spacing w:val="-6"/>
          <w:position w:val="5"/>
          <w:sz w:val="14"/>
        </w:rPr>
        <w:t>.</w:t>
      </w:r>
      <w:r>
        <w:rPr>
          <w:position w:val="5"/>
          <w:sz w:val="14"/>
        </w:rPr>
        <w:tab/>
      </w:r>
      <w:r>
        <w:rPr>
          <w:sz w:val="20"/>
        </w:rPr>
        <w:t>See Allen, </w:t>
      </w:r>
      <w:r>
        <w:rPr>
          <w:rFonts w:ascii="Arial"/>
          <w:i/>
          <w:sz w:val="20"/>
        </w:rPr>
        <w:t>Misrepresentation </w:t>
      </w:r>
      <w:r>
        <w:rPr>
          <w:sz w:val="20"/>
        </w:rPr>
        <w:t>(1988); Cartwright, </w:t>
      </w:r>
      <w:r>
        <w:rPr>
          <w:rFonts w:ascii="Arial"/>
          <w:i/>
          <w:sz w:val="20"/>
        </w:rPr>
        <w:t>Unequal Bargaining </w:t>
      </w:r>
      <w:r>
        <w:rPr>
          <w:sz w:val="20"/>
        </w:rPr>
        <w:t>(1991), Ch.3; </w:t>
      </w:r>
      <w:r>
        <w:rPr>
          <w:sz w:val="20"/>
        </w:rPr>
        <w:t>Cartwright, Misrepresentation, Mistake and Non-disclosure, 4th edn (2016); Spencer Bower and Handley, </w:t>
      </w:r>
      <w:r>
        <w:rPr>
          <w:rFonts w:ascii="Arial"/>
          <w:i/>
          <w:sz w:val="20"/>
        </w:rPr>
        <w:t>Actionable Misrepresentation</w:t>
      </w:r>
      <w:r>
        <w:rPr>
          <w:sz w:val="20"/>
        </w:rPr>
        <w:t>, 5th edn (2014).</w:t>
      </w:r>
    </w:p>
    <w:p>
      <w:pPr>
        <w:pStyle w:val="BodyText"/>
        <w:spacing w:before="9"/>
      </w:pPr>
    </w:p>
    <w:p>
      <w:pPr>
        <w:tabs>
          <w:tab w:pos="705" w:val="left" w:leader="none"/>
        </w:tabs>
        <w:spacing w:line="235" w:lineRule="auto" w:before="0"/>
        <w:ind w:left="705" w:right="168" w:hanging="541"/>
        <w:jc w:val="left"/>
        <w:rPr>
          <w:sz w:val="20"/>
        </w:rPr>
      </w:pPr>
      <w:bookmarkStart w:name="_bookmark950" w:id="952"/>
      <w:bookmarkEnd w:id="952"/>
      <w:r>
        <w:rPr/>
      </w:r>
      <w:hyperlink w:history="true" w:anchor="_bookmark906">
        <w:r>
          <w:rPr>
            <w:color w:val="005DA1"/>
            <w:spacing w:val="-4"/>
            <w:position w:val="5"/>
            <w:sz w:val="14"/>
            <w:u w:val="single" w:color="005DA1"/>
          </w:rPr>
          <w:t>480</w:t>
        </w:r>
      </w:hyperlink>
      <w:r>
        <w:rPr>
          <w:spacing w:val="-4"/>
          <w:position w:val="5"/>
          <w:sz w:val="14"/>
        </w:rPr>
        <w:t>.</w:t>
      </w:r>
      <w:r>
        <w:rPr>
          <w:position w:val="5"/>
          <w:sz w:val="14"/>
        </w:rPr>
        <w:tab/>
      </w:r>
      <w:r>
        <w:rPr>
          <w:rFonts w:ascii="Arial"/>
          <w:i/>
          <w:sz w:val="20"/>
        </w:rPr>
        <w:t>Heilbut, Symonds &amp; Co v Buckleton [1913] A.C. 30</w:t>
      </w:r>
      <w:r>
        <w:rPr>
          <w:sz w:val="20"/>
        </w:rPr>
        <w:t>; </w:t>
      </w:r>
      <w:r>
        <w:rPr>
          <w:rFonts w:ascii="Arial"/>
          <w:i/>
          <w:sz w:val="20"/>
        </w:rPr>
        <w:t>Gilchester Properties Ltd v Gomm [1948] 1 All E.R. 493</w:t>
      </w:r>
      <w:r>
        <w:rPr>
          <w:sz w:val="20"/>
        </w:rPr>
        <w:t>.</w:t>
      </w:r>
    </w:p>
    <w:p>
      <w:pPr>
        <w:pStyle w:val="BodyText"/>
        <w:spacing w:before="5"/>
      </w:pPr>
    </w:p>
    <w:p>
      <w:pPr>
        <w:pStyle w:val="BodyText"/>
        <w:tabs>
          <w:tab w:pos="705" w:val="left" w:leader="none"/>
        </w:tabs>
        <w:ind w:left="165"/>
      </w:pPr>
      <w:bookmarkStart w:name="_bookmark951" w:id="953"/>
      <w:bookmarkEnd w:id="953"/>
      <w:r>
        <w:rPr/>
      </w:r>
      <w:hyperlink w:history="true" w:anchor="_bookmark907">
        <w:r>
          <w:rPr>
            <w:color w:val="005DA1"/>
            <w:spacing w:val="-4"/>
            <w:position w:val="5"/>
            <w:sz w:val="14"/>
            <w:u w:val="single" w:color="005DA1"/>
          </w:rPr>
          <w:t>481</w:t>
        </w:r>
      </w:hyperlink>
      <w:r>
        <w:rPr>
          <w:spacing w:val="-4"/>
          <w:position w:val="5"/>
          <w:sz w:val="14"/>
        </w:rPr>
        <w:t>.</w:t>
      </w:r>
      <w:r>
        <w:rPr>
          <w:position w:val="5"/>
          <w:sz w:val="14"/>
        </w:rPr>
        <w:tab/>
      </w:r>
      <w:r>
        <w:rPr/>
        <w:t>See</w:t>
      </w:r>
      <w:r>
        <w:rPr>
          <w:spacing w:val="-2"/>
        </w:rPr>
        <w:t> </w:t>
      </w:r>
      <w:r>
        <w:rPr/>
        <w:t>below, para.7-</w:t>
      </w:r>
      <w:r>
        <w:rPr>
          <w:spacing w:val="-4"/>
        </w:rPr>
        <w:t>104.</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72160">
            <wp:simplePos x="0" y="0"/>
            <wp:positionH relativeFrom="page">
              <wp:posOffset>1257846</wp:posOffset>
            </wp:positionH>
            <wp:positionV relativeFrom="paragraph">
              <wp:posOffset>160391</wp:posOffset>
            </wp:positionV>
            <wp:extent cx="107988" cy="107988"/>
            <wp:effectExtent l="0" t="0" r="0" b="0"/>
            <wp:wrapNone/>
            <wp:docPr id="177" name="Image 177"/>
            <wp:cNvGraphicFramePr>
              <a:graphicFrameLocks/>
            </wp:cNvGraphicFramePr>
            <a:graphic>
              <a:graphicData uri="http://schemas.openxmlformats.org/drawingml/2006/picture">
                <pic:pic>
                  <pic:nvPicPr>
                    <pic:cNvPr id="177" name="Image 17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52" w:id="954"/>
      <w:bookmarkEnd w:id="954"/>
      <w:r>
        <w:rPr/>
      </w:r>
      <w:hyperlink w:history="true" w:anchor="_bookmark908">
        <w:r>
          <w:rPr>
            <w:color w:val="005DA1"/>
            <w:spacing w:val="-4"/>
            <w:sz w:val="14"/>
            <w:u w:val="single" w:color="005DA1"/>
          </w:rPr>
          <w:t>482</w:t>
        </w:r>
      </w:hyperlink>
      <w:r>
        <w:rPr>
          <w:spacing w:val="-4"/>
          <w:sz w:val="14"/>
        </w:rPr>
        <w:t>.</w:t>
      </w:r>
    </w:p>
    <w:p>
      <w:pPr>
        <w:spacing w:line="235" w:lineRule="auto" w:before="212"/>
        <w:ind w:left="165" w:right="167" w:firstLine="170"/>
        <w:jc w:val="both"/>
        <w:rPr>
          <w:sz w:val="20"/>
        </w:rPr>
      </w:pPr>
      <w:r>
        <w:rPr/>
        <w:br w:type="column"/>
      </w:r>
      <w:r>
        <w:rPr>
          <w:sz w:val="20"/>
        </w:rPr>
        <w:t>See, e.g. </w:t>
      </w:r>
      <w:r>
        <w:rPr>
          <w:rFonts w:ascii="Arial"/>
          <w:i/>
          <w:sz w:val="20"/>
        </w:rPr>
        <w:t>Dick Bentley Productions Ltd v Harold Smith (Motors) Ltd [1965] 1 W.L.R. </w:t>
      </w:r>
      <w:r>
        <w:rPr>
          <w:rFonts w:ascii="Arial"/>
          <w:i/>
          <w:sz w:val="20"/>
        </w:rPr>
        <w:t>623</w:t>
      </w:r>
      <w:r>
        <w:rPr>
          <w:sz w:val="20"/>
        </w:rPr>
        <w:t>, below, para.13-003. If the statement amounts to a contractual term, the promisee need not show reliance: </w:t>
      </w:r>
      <w:r>
        <w:rPr>
          <w:rFonts w:ascii="Arial"/>
          <w:i/>
          <w:sz w:val="20"/>
        </w:rPr>
        <w:t>Wemyss v Karim [2016] EWCA Civ 27 </w:t>
      </w:r>
      <w:r>
        <w:rPr>
          <w:sz w:val="20"/>
        </w:rPr>
        <w:t>at [26], citing Slade L.J. in </w:t>
      </w:r>
      <w:r>
        <w:rPr>
          <w:rFonts w:ascii="Arial"/>
          <w:i/>
          <w:sz w:val="20"/>
        </w:rPr>
        <w:t>Harlingdon</w:t>
      </w:r>
      <w:r>
        <w:rPr>
          <w:rFonts w:ascii="Arial"/>
          <w:i/>
          <w:spacing w:val="40"/>
          <w:sz w:val="20"/>
        </w:rPr>
        <w:t> </w:t>
      </w:r>
      <w:r>
        <w:rPr>
          <w:rFonts w:ascii="Arial"/>
          <w:i/>
          <w:sz w:val="20"/>
        </w:rPr>
        <w:t>and</w:t>
      </w:r>
      <w:r>
        <w:rPr>
          <w:rFonts w:ascii="Arial"/>
          <w:i/>
          <w:spacing w:val="44"/>
          <w:sz w:val="20"/>
        </w:rPr>
        <w:t> </w:t>
      </w:r>
      <w:r>
        <w:rPr>
          <w:rFonts w:ascii="Arial"/>
          <w:i/>
          <w:sz w:val="20"/>
        </w:rPr>
        <w:t>Leinster</w:t>
      </w:r>
      <w:r>
        <w:rPr>
          <w:rFonts w:ascii="Arial"/>
          <w:i/>
          <w:spacing w:val="47"/>
          <w:sz w:val="20"/>
        </w:rPr>
        <w:t> </w:t>
      </w:r>
      <w:r>
        <w:rPr>
          <w:rFonts w:ascii="Arial"/>
          <w:i/>
          <w:sz w:val="20"/>
        </w:rPr>
        <w:t>Enterprises</w:t>
      </w:r>
      <w:r>
        <w:rPr>
          <w:rFonts w:ascii="Arial"/>
          <w:i/>
          <w:spacing w:val="47"/>
          <w:sz w:val="20"/>
        </w:rPr>
        <w:t> </w:t>
      </w:r>
      <w:r>
        <w:rPr>
          <w:rFonts w:ascii="Arial"/>
          <w:i/>
          <w:sz w:val="20"/>
        </w:rPr>
        <w:t>Ltd</w:t>
      </w:r>
      <w:r>
        <w:rPr>
          <w:rFonts w:ascii="Arial"/>
          <w:i/>
          <w:spacing w:val="47"/>
          <w:sz w:val="20"/>
        </w:rPr>
        <w:t> </w:t>
      </w:r>
      <w:r>
        <w:rPr>
          <w:rFonts w:ascii="Arial"/>
          <w:i/>
          <w:sz w:val="20"/>
        </w:rPr>
        <w:t>v</w:t>
      </w:r>
      <w:r>
        <w:rPr>
          <w:rFonts w:ascii="Arial"/>
          <w:i/>
          <w:spacing w:val="47"/>
          <w:sz w:val="20"/>
        </w:rPr>
        <w:t> </w:t>
      </w:r>
      <w:r>
        <w:rPr>
          <w:rFonts w:ascii="Arial"/>
          <w:i/>
          <w:sz w:val="20"/>
        </w:rPr>
        <w:t>Christopher</w:t>
      </w:r>
      <w:r>
        <w:rPr>
          <w:rFonts w:ascii="Arial"/>
          <w:i/>
          <w:spacing w:val="47"/>
          <w:sz w:val="20"/>
        </w:rPr>
        <w:t> </w:t>
      </w:r>
      <w:r>
        <w:rPr>
          <w:rFonts w:ascii="Arial"/>
          <w:i/>
          <w:sz w:val="20"/>
        </w:rPr>
        <w:t>Hull</w:t>
      </w:r>
      <w:r>
        <w:rPr>
          <w:rFonts w:ascii="Arial"/>
          <w:i/>
          <w:spacing w:val="47"/>
          <w:sz w:val="20"/>
        </w:rPr>
        <w:t> </w:t>
      </w:r>
      <w:r>
        <w:rPr>
          <w:rFonts w:ascii="Arial"/>
          <w:i/>
          <w:sz w:val="20"/>
        </w:rPr>
        <w:t>Fine</w:t>
      </w:r>
      <w:r>
        <w:rPr>
          <w:rFonts w:ascii="Arial"/>
          <w:i/>
          <w:spacing w:val="47"/>
          <w:sz w:val="20"/>
        </w:rPr>
        <w:t> </w:t>
      </w:r>
      <w:r>
        <w:rPr>
          <w:rFonts w:ascii="Arial"/>
          <w:i/>
          <w:sz w:val="20"/>
        </w:rPr>
        <w:t>Art</w:t>
      </w:r>
      <w:r>
        <w:rPr>
          <w:rFonts w:ascii="Arial"/>
          <w:i/>
          <w:spacing w:val="47"/>
          <w:sz w:val="20"/>
        </w:rPr>
        <w:t> </w:t>
      </w:r>
      <w:r>
        <w:rPr>
          <w:rFonts w:ascii="Arial"/>
          <w:i/>
          <w:sz w:val="20"/>
        </w:rPr>
        <w:t>Ltd</w:t>
      </w:r>
      <w:r>
        <w:rPr>
          <w:rFonts w:ascii="Arial"/>
          <w:i/>
          <w:spacing w:val="47"/>
          <w:sz w:val="20"/>
        </w:rPr>
        <w:t> </w:t>
      </w:r>
      <w:r>
        <w:rPr>
          <w:rFonts w:ascii="Arial"/>
          <w:i/>
          <w:sz w:val="20"/>
        </w:rPr>
        <w:t>[1991]</w:t>
      </w:r>
      <w:r>
        <w:rPr>
          <w:rFonts w:ascii="Arial"/>
          <w:i/>
          <w:spacing w:val="47"/>
          <w:sz w:val="20"/>
        </w:rPr>
        <w:t> </w:t>
      </w:r>
      <w:r>
        <w:rPr>
          <w:rFonts w:ascii="Arial"/>
          <w:i/>
          <w:sz w:val="20"/>
        </w:rPr>
        <w:t>1</w:t>
      </w:r>
      <w:r>
        <w:rPr>
          <w:rFonts w:ascii="Arial"/>
          <w:i/>
          <w:spacing w:val="47"/>
          <w:sz w:val="20"/>
        </w:rPr>
        <w:t> </w:t>
      </w:r>
      <w:r>
        <w:rPr>
          <w:rFonts w:ascii="Arial"/>
          <w:i/>
          <w:sz w:val="20"/>
        </w:rPr>
        <w:t>Q.B.</w:t>
      </w:r>
      <w:r>
        <w:rPr>
          <w:rFonts w:ascii="Arial"/>
          <w:i/>
          <w:spacing w:val="47"/>
          <w:sz w:val="20"/>
        </w:rPr>
        <w:t> </w:t>
      </w:r>
      <w:r>
        <w:rPr>
          <w:rFonts w:ascii="Arial"/>
          <w:i/>
          <w:sz w:val="20"/>
        </w:rPr>
        <w:t>564,</w:t>
      </w:r>
      <w:r>
        <w:rPr>
          <w:rFonts w:ascii="Arial"/>
          <w:i/>
          <w:spacing w:val="47"/>
          <w:sz w:val="20"/>
        </w:rPr>
        <w:t> </w:t>
      </w:r>
      <w:r>
        <w:rPr>
          <w:rFonts w:ascii="Arial"/>
          <w:i/>
          <w:sz w:val="20"/>
        </w:rPr>
        <w:t>584</w:t>
      </w:r>
      <w:r>
        <w:rPr>
          <w:sz w:val="20"/>
        </w:rPr>
        <w:t>.</w:t>
      </w:r>
      <w:r>
        <w:rPr>
          <w:spacing w:val="47"/>
          <w:sz w:val="20"/>
        </w:rPr>
        <w:t> </w:t>
      </w:r>
      <w:r>
        <w:rPr>
          <w:spacing w:val="-5"/>
          <w:sz w:val="20"/>
        </w:rPr>
        <w:t>The</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21"/>
      </w:pPr>
    </w:p>
    <w:p>
      <w:pPr>
        <w:pStyle w:val="BodyText"/>
        <w:ind w:left="705"/>
      </w:pPr>
      <w:r>
        <w:rPr/>
        <w:t>measure of damages will also differ: see above, para. 7-</w:t>
      </w:r>
      <w:r>
        <w:rPr>
          <w:spacing w:val="-4"/>
        </w:rPr>
        <w:t>055.</w:t>
      </w:r>
    </w:p>
    <w:p>
      <w:pPr>
        <w:pStyle w:val="BodyText"/>
        <w:spacing w:before="5"/>
      </w:pPr>
    </w:p>
    <w:p>
      <w:pPr>
        <w:tabs>
          <w:tab w:pos="705" w:val="left" w:leader="none"/>
        </w:tabs>
        <w:spacing w:before="0"/>
        <w:ind w:left="165" w:right="0" w:firstLine="0"/>
        <w:jc w:val="left"/>
        <w:rPr>
          <w:sz w:val="20"/>
        </w:rPr>
      </w:pPr>
      <w:bookmarkStart w:name="_bookmark953" w:id="955"/>
      <w:bookmarkEnd w:id="955"/>
      <w:r>
        <w:rPr/>
      </w:r>
      <w:hyperlink w:history="true" w:anchor="_bookmark909">
        <w:r>
          <w:rPr>
            <w:color w:val="005DA1"/>
            <w:spacing w:val="-4"/>
            <w:position w:val="5"/>
            <w:sz w:val="14"/>
            <w:u w:val="single" w:color="005DA1"/>
          </w:rPr>
          <w:t>483</w:t>
        </w:r>
      </w:hyperlink>
      <w:r>
        <w:rPr>
          <w:spacing w:val="-4"/>
          <w:position w:val="5"/>
          <w:sz w:val="14"/>
        </w:rPr>
        <w:t>.</w:t>
      </w:r>
      <w:r>
        <w:rPr>
          <w:position w:val="5"/>
          <w:sz w:val="14"/>
        </w:rPr>
        <w:tab/>
      </w:r>
      <w:r>
        <w:rPr>
          <w:sz w:val="20"/>
        </w:rPr>
        <w:t>Below, para.13-</w:t>
      </w:r>
      <w:r>
        <w:rPr>
          <w:spacing w:val="-4"/>
          <w:sz w:val="20"/>
        </w:rPr>
        <w:t>007.</w:t>
      </w:r>
    </w:p>
    <w:p>
      <w:pPr>
        <w:pStyle w:val="BodyText"/>
        <w:spacing w:before="5"/>
      </w:pPr>
    </w:p>
    <w:p>
      <w:pPr>
        <w:pStyle w:val="BodyText"/>
        <w:tabs>
          <w:tab w:pos="705" w:val="left" w:leader="none"/>
        </w:tabs>
        <w:ind w:left="165"/>
      </w:pPr>
      <w:bookmarkStart w:name="_bookmark954" w:id="956"/>
      <w:bookmarkEnd w:id="956"/>
      <w:r>
        <w:rPr/>
      </w:r>
      <w:hyperlink w:history="true" w:anchor="_bookmark910">
        <w:r>
          <w:rPr>
            <w:color w:val="005DA1"/>
            <w:spacing w:val="-4"/>
            <w:position w:val="5"/>
            <w:sz w:val="14"/>
            <w:u w:val="single" w:color="005DA1"/>
          </w:rPr>
          <w:t>484</w:t>
        </w:r>
      </w:hyperlink>
      <w:r>
        <w:rPr>
          <w:spacing w:val="-4"/>
          <w:position w:val="5"/>
          <w:sz w:val="14"/>
        </w:rPr>
        <w:t>.</w:t>
      </w:r>
      <w:r>
        <w:rPr>
          <w:position w:val="5"/>
          <w:sz w:val="14"/>
        </w:rPr>
        <w:tab/>
      </w:r>
      <w:r>
        <w:rPr/>
        <w:t>See Vol.II, paras 31-100—31-</w:t>
      </w:r>
      <w:r>
        <w:rPr>
          <w:spacing w:val="-4"/>
        </w:rPr>
        <w:t>107.</w:t>
      </w:r>
    </w:p>
    <w:p>
      <w:pPr>
        <w:pStyle w:val="BodyText"/>
        <w:spacing w:before="9"/>
      </w:pPr>
    </w:p>
    <w:p>
      <w:pPr>
        <w:tabs>
          <w:tab w:pos="705" w:val="left" w:leader="none"/>
        </w:tabs>
        <w:spacing w:line="235" w:lineRule="auto" w:before="0"/>
        <w:ind w:left="705" w:right="168" w:hanging="541"/>
        <w:jc w:val="left"/>
        <w:rPr>
          <w:sz w:val="20"/>
        </w:rPr>
      </w:pPr>
      <w:bookmarkStart w:name="_bookmark955" w:id="957"/>
      <w:bookmarkEnd w:id="957"/>
      <w:r>
        <w:rPr/>
      </w:r>
      <w:hyperlink w:history="true" w:anchor="_bookmark911">
        <w:r>
          <w:rPr>
            <w:color w:val="005DA1"/>
            <w:spacing w:val="-4"/>
            <w:position w:val="5"/>
            <w:sz w:val="14"/>
            <w:u w:val="single" w:color="005DA1"/>
          </w:rPr>
          <w:t>485</w:t>
        </w:r>
      </w:hyperlink>
      <w:r>
        <w:rPr>
          <w:spacing w:val="-4"/>
          <w:position w:val="5"/>
          <w:sz w:val="14"/>
        </w:rPr>
        <w:t>.</w:t>
      </w:r>
      <w:r>
        <w:rPr>
          <w:position w:val="5"/>
          <w:sz w:val="14"/>
        </w:rPr>
        <w:tab/>
      </w:r>
      <w:r>
        <w:rPr>
          <w:rFonts w:ascii="Arial"/>
          <w:i/>
          <w:sz w:val="20"/>
        </w:rPr>
        <w:t>Re Bahia and San Francisco Ry (1868) L.R. 3 Q.B. 584</w:t>
      </w:r>
      <w:r>
        <w:rPr>
          <w:sz w:val="20"/>
        </w:rPr>
        <w:t>; </w:t>
      </w:r>
      <w:r>
        <w:rPr>
          <w:rFonts w:ascii="Arial"/>
          <w:i/>
          <w:sz w:val="20"/>
        </w:rPr>
        <w:t>Balkis Consolidated Co v Tomkinson [1893] A.C. 396</w:t>
      </w:r>
      <w:r>
        <w:rPr>
          <w:sz w:val="20"/>
        </w:rPr>
        <w:t>.</w:t>
      </w:r>
    </w:p>
    <w:p>
      <w:pPr>
        <w:pStyle w:val="BodyText"/>
        <w:spacing w:before="9"/>
      </w:pPr>
    </w:p>
    <w:p>
      <w:pPr>
        <w:spacing w:line="235" w:lineRule="auto" w:before="0"/>
        <w:ind w:left="705" w:right="167" w:hanging="541"/>
        <w:jc w:val="both"/>
        <w:rPr>
          <w:sz w:val="20"/>
        </w:rPr>
      </w:pPr>
      <w:bookmarkStart w:name="_bookmark956" w:id="958"/>
      <w:bookmarkEnd w:id="958"/>
      <w:r>
        <w:rPr/>
      </w:r>
      <w:hyperlink w:history="true" w:anchor="_bookmark912">
        <w:r>
          <w:rPr>
            <w:color w:val="005DA1"/>
            <w:position w:val="5"/>
            <w:sz w:val="14"/>
            <w:u w:val="single" w:color="005DA1"/>
          </w:rPr>
          <w:t>486</w:t>
        </w:r>
      </w:hyperlink>
      <w:r>
        <w:rPr>
          <w:position w:val="5"/>
          <w:sz w:val="14"/>
        </w:rPr>
        <w:t>.</w:t>
      </w:r>
      <w:r>
        <w:rPr>
          <w:spacing w:val="80"/>
          <w:w w:val="150"/>
          <w:position w:val="5"/>
          <w:sz w:val="14"/>
        </w:rPr>
        <w:t> </w:t>
      </w:r>
      <w:r>
        <w:rPr>
          <w:rFonts w:ascii="Arial"/>
          <w:i/>
          <w:sz w:val="20"/>
        </w:rPr>
        <w:t>Low v Bouverie [1891] 3 Ch. 82</w:t>
      </w:r>
      <w:r>
        <w:rPr>
          <w:sz w:val="20"/>
        </w:rPr>
        <w:t>; </w:t>
      </w:r>
      <w:r>
        <w:rPr>
          <w:rFonts w:ascii="Arial"/>
          <w:i/>
          <w:sz w:val="20"/>
        </w:rPr>
        <w:t>Woodhouse A.C. Israel Cocoa Ltd v Nigerian </w:t>
      </w:r>
      <w:r>
        <w:rPr>
          <w:rFonts w:ascii="Arial"/>
          <w:i/>
          <w:sz w:val="20"/>
        </w:rPr>
        <w:t>Produce</w:t>
      </w:r>
      <w:r>
        <w:rPr>
          <w:rFonts w:ascii="Arial"/>
          <w:i/>
          <w:spacing w:val="40"/>
          <w:sz w:val="20"/>
        </w:rPr>
        <w:t> </w:t>
      </w:r>
      <w:r>
        <w:rPr>
          <w:rFonts w:ascii="Arial"/>
          <w:i/>
          <w:sz w:val="20"/>
        </w:rPr>
        <w:t>Marketing Co Ltd [1972] A.C. 741</w:t>
      </w:r>
      <w:r>
        <w:rPr>
          <w:sz w:val="20"/>
        </w:rPr>
        <w:t>; </w:t>
      </w:r>
      <w:r>
        <w:rPr>
          <w:rFonts w:ascii="Arial"/>
          <w:i/>
          <w:sz w:val="20"/>
        </w:rPr>
        <w:t>China-Pacific SA v Food Corp of India [1981] Q.B. 403, reversed on different grounds [1982] A.C. 939</w:t>
      </w:r>
      <w:r>
        <w:rPr>
          <w:sz w:val="20"/>
        </w:rPr>
        <w:t>.</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957" w:id="959"/>
      <w:bookmarkEnd w:id="959"/>
      <w:r>
        <w:rPr/>
      </w:r>
      <w:hyperlink w:history="true" w:anchor="_bookmark913">
        <w:r>
          <w:rPr>
            <w:color w:val="005DA1"/>
            <w:spacing w:val="-4"/>
            <w:position w:val="5"/>
            <w:sz w:val="14"/>
            <w:u w:val="single" w:color="005DA1"/>
          </w:rPr>
          <w:t>487</w:t>
        </w:r>
      </w:hyperlink>
      <w:r>
        <w:rPr>
          <w:spacing w:val="-4"/>
          <w:position w:val="5"/>
          <w:sz w:val="14"/>
        </w:rPr>
        <w:t>.</w:t>
      </w:r>
      <w:r>
        <w:rPr>
          <w:position w:val="5"/>
          <w:sz w:val="14"/>
        </w:rPr>
        <w:tab/>
      </w:r>
      <w:r>
        <w:rPr>
          <w:rFonts w:ascii="Arial" w:hAnsi="Arial"/>
          <w:i/>
          <w:sz w:val="20"/>
        </w:rPr>
        <w:t>Greenwood</w:t>
      </w:r>
      <w:r>
        <w:rPr>
          <w:rFonts w:ascii="Arial" w:hAnsi="Arial"/>
          <w:i/>
          <w:spacing w:val="24"/>
          <w:sz w:val="20"/>
        </w:rPr>
        <w:t> </w:t>
      </w:r>
      <w:r>
        <w:rPr>
          <w:rFonts w:ascii="Arial" w:hAnsi="Arial"/>
          <w:i/>
          <w:sz w:val="20"/>
        </w:rPr>
        <w:t>v</w:t>
      </w:r>
      <w:r>
        <w:rPr>
          <w:rFonts w:ascii="Arial" w:hAnsi="Arial"/>
          <w:i/>
          <w:spacing w:val="25"/>
          <w:sz w:val="20"/>
        </w:rPr>
        <w:t> </w:t>
      </w:r>
      <w:r>
        <w:rPr>
          <w:rFonts w:ascii="Arial" w:hAnsi="Arial"/>
          <w:i/>
          <w:sz w:val="20"/>
        </w:rPr>
        <w:t>Martin’s</w:t>
      </w:r>
      <w:r>
        <w:rPr>
          <w:rFonts w:ascii="Arial" w:hAnsi="Arial"/>
          <w:i/>
          <w:spacing w:val="25"/>
          <w:sz w:val="20"/>
        </w:rPr>
        <w:t> </w:t>
      </w:r>
      <w:r>
        <w:rPr>
          <w:rFonts w:ascii="Arial" w:hAnsi="Arial"/>
          <w:i/>
          <w:sz w:val="20"/>
        </w:rPr>
        <w:t>Bank</w:t>
      </w:r>
      <w:r>
        <w:rPr>
          <w:rFonts w:ascii="Arial" w:hAnsi="Arial"/>
          <w:i/>
          <w:spacing w:val="25"/>
          <w:sz w:val="20"/>
        </w:rPr>
        <w:t> </w:t>
      </w:r>
      <w:r>
        <w:rPr>
          <w:rFonts w:ascii="Arial" w:hAnsi="Arial"/>
          <w:i/>
          <w:sz w:val="20"/>
        </w:rPr>
        <w:t>[1933]</w:t>
      </w:r>
      <w:r>
        <w:rPr>
          <w:rFonts w:ascii="Arial" w:hAnsi="Arial"/>
          <w:i/>
          <w:spacing w:val="25"/>
          <w:sz w:val="20"/>
        </w:rPr>
        <w:t> </w:t>
      </w:r>
      <w:r>
        <w:rPr>
          <w:rFonts w:ascii="Arial" w:hAnsi="Arial"/>
          <w:i/>
          <w:sz w:val="20"/>
        </w:rPr>
        <w:t>A.C.</w:t>
      </w:r>
      <w:r>
        <w:rPr>
          <w:rFonts w:ascii="Arial" w:hAnsi="Arial"/>
          <w:i/>
          <w:spacing w:val="25"/>
          <w:sz w:val="20"/>
        </w:rPr>
        <w:t> </w:t>
      </w:r>
      <w:r>
        <w:rPr>
          <w:rFonts w:ascii="Arial" w:hAnsi="Arial"/>
          <w:i/>
          <w:sz w:val="20"/>
        </w:rPr>
        <w:t>51</w:t>
      </w:r>
      <w:r>
        <w:rPr>
          <w:sz w:val="20"/>
        </w:rPr>
        <w:t>;</w:t>
      </w:r>
      <w:r>
        <w:rPr>
          <w:spacing w:val="25"/>
          <w:sz w:val="20"/>
        </w:rPr>
        <w:t> </w:t>
      </w:r>
      <w:r>
        <w:rPr>
          <w:rFonts w:ascii="Arial" w:hAnsi="Arial"/>
          <w:i/>
          <w:sz w:val="20"/>
        </w:rPr>
        <w:t>Moorgate</w:t>
      </w:r>
      <w:r>
        <w:rPr>
          <w:rFonts w:ascii="Arial" w:hAnsi="Arial"/>
          <w:i/>
          <w:spacing w:val="25"/>
          <w:sz w:val="20"/>
        </w:rPr>
        <w:t> </w:t>
      </w:r>
      <w:r>
        <w:rPr>
          <w:rFonts w:ascii="Arial" w:hAnsi="Arial"/>
          <w:i/>
          <w:sz w:val="20"/>
        </w:rPr>
        <w:t>Mercantile</w:t>
      </w:r>
      <w:r>
        <w:rPr>
          <w:rFonts w:ascii="Arial" w:hAnsi="Arial"/>
          <w:i/>
          <w:spacing w:val="25"/>
          <w:sz w:val="20"/>
        </w:rPr>
        <w:t> </w:t>
      </w:r>
      <w:r>
        <w:rPr>
          <w:rFonts w:ascii="Arial" w:hAnsi="Arial"/>
          <w:i/>
          <w:sz w:val="20"/>
        </w:rPr>
        <w:t>Co</w:t>
      </w:r>
      <w:r>
        <w:rPr>
          <w:rFonts w:ascii="Arial" w:hAnsi="Arial"/>
          <w:i/>
          <w:spacing w:val="25"/>
          <w:sz w:val="20"/>
        </w:rPr>
        <w:t> </w:t>
      </w:r>
      <w:r>
        <w:rPr>
          <w:rFonts w:ascii="Arial" w:hAnsi="Arial"/>
          <w:i/>
          <w:sz w:val="20"/>
        </w:rPr>
        <w:t>Ltd</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Twitchings</w:t>
      </w:r>
      <w:r>
        <w:rPr>
          <w:rFonts w:ascii="Arial" w:hAnsi="Arial"/>
          <w:i/>
          <w:spacing w:val="25"/>
          <w:sz w:val="20"/>
        </w:rPr>
        <w:t> </w:t>
      </w:r>
      <w:r>
        <w:rPr>
          <w:rFonts w:ascii="Arial" w:hAnsi="Arial"/>
          <w:i/>
          <w:spacing w:val="-2"/>
          <w:sz w:val="20"/>
        </w:rPr>
        <w:t>[1977]</w:t>
      </w:r>
    </w:p>
    <w:p>
      <w:pPr>
        <w:spacing w:line="235" w:lineRule="auto" w:before="1"/>
        <w:ind w:left="705" w:right="0" w:firstLine="0"/>
        <w:jc w:val="left"/>
        <w:rPr>
          <w:sz w:val="20"/>
        </w:rPr>
      </w:pPr>
      <w:r>
        <w:rPr>
          <w:rFonts w:ascii="Arial"/>
          <w:i/>
          <w:sz w:val="20"/>
        </w:rPr>
        <w:t>A.C.</w:t>
      </w:r>
      <w:r>
        <w:rPr>
          <w:rFonts w:ascii="Arial"/>
          <w:i/>
          <w:spacing w:val="34"/>
          <w:sz w:val="20"/>
        </w:rPr>
        <w:t> </w:t>
      </w:r>
      <w:r>
        <w:rPr>
          <w:rFonts w:ascii="Arial"/>
          <w:i/>
          <w:sz w:val="20"/>
        </w:rPr>
        <w:t>890</w:t>
      </w:r>
      <w:r>
        <w:rPr>
          <w:sz w:val="20"/>
        </w:rPr>
        <w:t>;</w:t>
      </w:r>
      <w:r>
        <w:rPr>
          <w:spacing w:val="34"/>
          <w:sz w:val="20"/>
        </w:rPr>
        <w:t> </w:t>
      </w:r>
      <w:r>
        <w:rPr>
          <w:rFonts w:ascii="Arial"/>
          <w:i/>
          <w:sz w:val="20"/>
        </w:rPr>
        <w:t>Banque</w:t>
      </w:r>
      <w:r>
        <w:rPr>
          <w:rFonts w:ascii="Arial"/>
          <w:i/>
          <w:spacing w:val="34"/>
          <w:sz w:val="20"/>
        </w:rPr>
        <w:t> </w:t>
      </w:r>
      <w:r>
        <w:rPr>
          <w:rFonts w:ascii="Arial"/>
          <w:i/>
          <w:sz w:val="20"/>
        </w:rPr>
        <w:t>Keyser</w:t>
      </w:r>
      <w:r>
        <w:rPr>
          <w:rFonts w:ascii="Arial"/>
          <w:i/>
          <w:spacing w:val="34"/>
          <w:sz w:val="20"/>
        </w:rPr>
        <w:t> </w:t>
      </w:r>
      <w:r>
        <w:rPr>
          <w:rFonts w:ascii="Arial"/>
          <w:i/>
          <w:sz w:val="20"/>
        </w:rPr>
        <w:t>Ullman</w:t>
      </w:r>
      <w:r>
        <w:rPr>
          <w:rFonts w:ascii="Arial"/>
          <w:i/>
          <w:spacing w:val="34"/>
          <w:sz w:val="20"/>
        </w:rPr>
        <w:t> </w:t>
      </w:r>
      <w:r>
        <w:rPr>
          <w:rFonts w:ascii="Arial"/>
          <w:i/>
          <w:sz w:val="20"/>
        </w:rPr>
        <w:t>SA</w:t>
      </w:r>
      <w:r>
        <w:rPr>
          <w:rFonts w:ascii="Arial"/>
          <w:i/>
          <w:spacing w:val="34"/>
          <w:sz w:val="20"/>
        </w:rPr>
        <w:t> </w:t>
      </w:r>
      <w:r>
        <w:rPr>
          <w:rFonts w:ascii="Arial"/>
          <w:i/>
          <w:sz w:val="20"/>
        </w:rPr>
        <w:t>v</w:t>
      </w:r>
      <w:r>
        <w:rPr>
          <w:rFonts w:ascii="Arial"/>
          <w:i/>
          <w:spacing w:val="34"/>
          <w:sz w:val="20"/>
        </w:rPr>
        <w:t> </w:t>
      </w:r>
      <w:r>
        <w:rPr>
          <w:rFonts w:ascii="Arial"/>
          <w:i/>
          <w:sz w:val="20"/>
        </w:rPr>
        <w:t>Skandia</w:t>
      </w:r>
      <w:r>
        <w:rPr>
          <w:rFonts w:ascii="Arial"/>
          <w:i/>
          <w:spacing w:val="34"/>
          <w:sz w:val="20"/>
        </w:rPr>
        <w:t> </w:t>
      </w:r>
      <w:r>
        <w:rPr>
          <w:rFonts w:ascii="Arial"/>
          <w:i/>
          <w:sz w:val="20"/>
        </w:rPr>
        <w:t>(UK)</w:t>
      </w:r>
      <w:r>
        <w:rPr>
          <w:rFonts w:ascii="Arial"/>
          <w:i/>
          <w:spacing w:val="34"/>
          <w:sz w:val="20"/>
        </w:rPr>
        <w:t> </w:t>
      </w:r>
      <w:r>
        <w:rPr>
          <w:rFonts w:ascii="Arial"/>
          <w:i/>
          <w:sz w:val="20"/>
        </w:rPr>
        <w:t>Insurance</w:t>
      </w:r>
      <w:r>
        <w:rPr>
          <w:rFonts w:ascii="Arial"/>
          <w:i/>
          <w:spacing w:val="34"/>
          <w:sz w:val="20"/>
        </w:rPr>
        <w:t> </w:t>
      </w:r>
      <w:r>
        <w:rPr>
          <w:rFonts w:ascii="Arial"/>
          <w:i/>
          <w:sz w:val="20"/>
        </w:rPr>
        <w:t>Co</w:t>
      </w:r>
      <w:r>
        <w:rPr>
          <w:rFonts w:ascii="Arial"/>
          <w:i/>
          <w:spacing w:val="34"/>
          <w:sz w:val="20"/>
        </w:rPr>
        <w:t> </w:t>
      </w:r>
      <w:r>
        <w:rPr>
          <w:rFonts w:ascii="Arial"/>
          <w:i/>
          <w:sz w:val="20"/>
        </w:rPr>
        <w:t>Ltd</w:t>
      </w:r>
      <w:r>
        <w:rPr>
          <w:rFonts w:ascii="Arial"/>
          <w:i/>
          <w:spacing w:val="34"/>
          <w:sz w:val="20"/>
        </w:rPr>
        <w:t> </w:t>
      </w:r>
      <w:r>
        <w:rPr>
          <w:rFonts w:ascii="Arial"/>
          <w:i/>
          <w:sz w:val="20"/>
        </w:rPr>
        <w:t>[1990]</w:t>
      </w:r>
      <w:r>
        <w:rPr>
          <w:rFonts w:ascii="Arial"/>
          <w:i/>
          <w:spacing w:val="34"/>
          <w:sz w:val="20"/>
        </w:rPr>
        <w:t> </w:t>
      </w:r>
      <w:r>
        <w:rPr>
          <w:rFonts w:ascii="Arial"/>
          <w:i/>
          <w:sz w:val="20"/>
        </w:rPr>
        <w:t>1</w:t>
      </w:r>
      <w:r>
        <w:rPr>
          <w:rFonts w:ascii="Arial"/>
          <w:i/>
          <w:spacing w:val="34"/>
          <w:sz w:val="20"/>
        </w:rPr>
        <w:t> </w:t>
      </w:r>
      <w:r>
        <w:rPr>
          <w:rFonts w:ascii="Arial"/>
          <w:i/>
          <w:sz w:val="20"/>
        </w:rPr>
        <w:t>Q.B.</w:t>
      </w:r>
      <w:r>
        <w:rPr>
          <w:rFonts w:ascii="Arial"/>
          <w:i/>
          <w:spacing w:val="34"/>
          <w:sz w:val="20"/>
        </w:rPr>
        <w:t> </w:t>
      </w:r>
      <w:r>
        <w:rPr>
          <w:rFonts w:ascii="Arial"/>
          <w:i/>
          <w:sz w:val="20"/>
        </w:rPr>
        <w:t>665, affirmed on other grounds [1991] 2 A.C. 249</w:t>
      </w:r>
      <w:r>
        <w:rPr>
          <w:sz w:val="20"/>
        </w:rPr>
        <w:t>.</w:t>
      </w:r>
    </w:p>
    <w:p>
      <w:pPr>
        <w:pStyle w:val="BodyText"/>
        <w:spacing w:before="10"/>
      </w:pPr>
    </w:p>
    <w:p>
      <w:pPr>
        <w:spacing w:line="235" w:lineRule="auto" w:before="0"/>
        <w:ind w:left="705" w:right="167" w:hanging="541"/>
        <w:jc w:val="both"/>
        <w:rPr>
          <w:sz w:val="20"/>
        </w:rPr>
      </w:pPr>
      <w:bookmarkStart w:name="_bookmark958" w:id="960"/>
      <w:bookmarkEnd w:id="960"/>
      <w:r>
        <w:rPr/>
      </w:r>
      <w:hyperlink w:history="true" w:anchor="_bookmark914">
        <w:r>
          <w:rPr>
            <w:color w:val="005DA1"/>
            <w:position w:val="5"/>
            <w:sz w:val="14"/>
            <w:u w:val="single" w:color="005DA1"/>
          </w:rPr>
          <w:t>488</w:t>
        </w:r>
      </w:hyperlink>
      <w:r>
        <w:rPr>
          <w:position w:val="5"/>
          <w:sz w:val="14"/>
        </w:rPr>
        <w:t>.</w:t>
      </w:r>
      <w:r>
        <w:rPr>
          <w:spacing w:val="80"/>
          <w:w w:val="150"/>
          <w:position w:val="5"/>
          <w:sz w:val="14"/>
        </w:rPr>
        <w:t> </w:t>
      </w:r>
      <w:r>
        <w:rPr>
          <w:rFonts w:ascii="Arial" w:hAnsi="Arial"/>
          <w:i/>
          <w:sz w:val="20"/>
        </w:rPr>
        <w:t>[1990] 1 Q.B. 665</w:t>
      </w:r>
      <w:r>
        <w:rPr>
          <w:sz w:val="20"/>
        </w:rPr>
        <w:t>. But cf. </w:t>
      </w:r>
      <w:r>
        <w:rPr>
          <w:rFonts w:ascii="Arial" w:hAnsi="Arial"/>
          <w:i/>
          <w:sz w:val="20"/>
        </w:rPr>
        <w:t>Brikom Investments Ltd v Seaford [1981] 1 W.L.R. 863</w:t>
      </w:r>
      <w:r>
        <w:rPr>
          <w:sz w:val="20"/>
        </w:rPr>
        <w:t>; </w:t>
      </w:r>
      <w:r>
        <w:rPr>
          <w:rFonts w:ascii="Arial" w:hAnsi="Arial"/>
          <w:i/>
          <w:sz w:val="20"/>
        </w:rPr>
        <w:t>Re Wyvern Developments Ltd</w:t>
      </w:r>
      <w:r>
        <w:rPr>
          <w:rFonts w:ascii="Arial" w:hAnsi="Arial"/>
          <w:i/>
          <w:spacing w:val="-1"/>
          <w:sz w:val="20"/>
        </w:rPr>
        <w:t> </w:t>
      </w:r>
      <w:r>
        <w:rPr>
          <w:rFonts w:ascii="Arial" w:hAnsi="Arial"/>
          <w:i/>
          <w:sz w:val="20"/>
        </w:rPr>
        <w:t>[1974] 1</w:t>
      </w:r>
      <w:r>
        <w:rPr>
          <w:rFonts w:ascii="Arial" w:hAnsi="Arial"/>
          <w:i/>
          <w:spacing w:val="-1"/>
          <w:sz w:val="20"/>
        </w:rPr>
        <w:t> </w:t>
      </w:r>
      <w:r>
        <w:rPr>
          <w:rFonts w:ascii="Arial" w:hAnsi="Arial"/>
          <w:i/>
          <w:sz w:val="20"/>
        </w:rPr>
        <w:t>W.L.R. 1097</w:t>
      </w:r>
      <w:r>
        <w:rPr>
          <w:sz w:val="20"/>
        </w:rPr>
        <w:t>.</w:t>
      </w:r>
      <w:r>
        <w:rPr>
          <w:spacing w:val="-1"/>
          <w:sz w:val="20"/>
        </w:rPr>
        <w:t> </w:t>
      </w:r>
      <w:r>
        <w:rPr>
          <w:sz w:val="20"/>
        </w:rPr>
        <w:t>In cases</w:t>
      </w:r>
      <w:r>
        <w:rPr>
          <w:spacing w:val="-1"/>
          <w:sz w:val="20"/>
        </w:rPr>
        <w:t> </w:t>
      </w:r>
      <w:r>
        <w:rPr>
          <w:sz w:val="20"/>
        </w:rPr>
        <w:t>based on</w:t>
      </w:r>
      <w:r>
        <w:rPr>
          <w:spacing w:val="-1"/>
          <w:sz w:val="20"/>
        </w:rPr>
        <w:t> </w:t>
      </w:r>
      <w:r>
        <w:rPr>
          <w:sz w:val="20"/>
        </w:rPr>
        <w:t>“proprietary estoppel”</w:t>
      </w:r>
      <w:r>
        <w:rPr>
          <w:spacing w:val="-1"/>
          <w:sz w:val="20"/>
        </w:rPr>
        <w:t> </w:t>
      </w:r>
      <w:r>
        <w:rPr>
          <w:sz w:val="20"/>
        </w:rPr>
        <w:t>it seems</w:t>
      </w:r>
      <w:r>
        <w:rPr>
          <w:spacing w:val="-1"/>
          <w:sz w:val="20"/>
        </w:rPr>
        <w:t> </w:t>
      </w:r>
      <w:r>
        <w:rPr>
          <w:sz w:val="20"/>
        </w:rPr>
        <w:t>that no independent cause of action need be shown, but the authorities in this area of the law </w:t>
      </w:r>
      <w:r>
        <w:rPr>
          <w:sz w:val="20"/>
        </w:rPr>
        <w:t>are still developing. See above, paras 4-099—4-106 and 4-139—4-185.</w:t>
      </w:r>
    </w:p>
    <w:p>
      <w:pPr>
        <w:pStyle w:val="BodyText"/>
        <w:spacing w:before="4"/>
      </w:pPr>
    </w:p>
    <w:p>
      <w:pPr>
        <w:tabs>
          <w:tab w:pos="705" w:val="left" w:leader="none"/>
        </w:tabs>
        <w:spacing w:before="0"/>
        <w:ind w:left="165" w:right="0" w:firstLine="0"/>
        <w:jc w:val="left"/>
        <w:rPr>
          <w:sz w:val="20"/>
        </w:rPr>
      </w:pPr>
      <w:bookmarkStart w:name="_bookmark959" w:id="961"/>
      <w:bookmarkEnd w:id="961"/>
      <w:r>
        <w:rPr/>
      </w:r>
      <w:hyperlink w:history="true" w:anchor="_bookmark915">
        <w:r>
          <w:rPr>
            <w:color w:val="005DA1"/>
            <w:spacing w:val="-4"/>
            <w:position w:val="5"/>
            <w:sz w:val="14"/>
            <w:u w:val="single" w:color="005DA1"/>
          </w:rPr>
          <w:t>489</w:t>
        </w:r>
      </w:hyperlink>
      <w:r>
        <w:rPr>
          <w:spacing w:val="-4"/>
          <w:position w:val="5"/>
          <w:sz w:val="14"/>
        </w:rPr>
        <w:t>.</w:t>
      </w:r>
      <w:r>
        <w:rPr>
          <w:position w:val="5"/>
          <w:sz w:val="14"/>
        </w:rPr>
        <w:tab/>
      </w:r>
      <w:r>
        <w:rPr>
          <w:rFonts w:ascii="Arial"/>
          <w:i/>
          <w:sz w:val="20"/>
        </w:rPr>
        <w:t>Burrows v Lock (1805) 10 Ves. </w:t>
      </w:r>
      <w:r>
        <w:rPr>
          <w:rFonts w:ascii="Arial"/>
          <w:i/>
          <w:spacing w:val="-4"/>
          <w:sz w:val="20"/>
        </w:rPr>
        <w:t>470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60" w:id="962"/>
      <w:bookmarkEnd w:id="962"/>
      <w:r>
        <w:rPr/>
      </w:r>
      <w:hyperlink w:history="true" w:anchor="_bookmark916">
        <w:r>
          <w:rPr>
            <w:color w:val="005DA1"/>
            <w:spacing w:val="-4"/>
            <w:position w:val="5"/>
            <w:sz w:val="14"/>
            <w:u w:val="single" w:color="005DA1"/>
          </w:rPr>
          <w:t>490</w:t>
        </w:r>
      </w:hyperlink>
      <w:r>
        <w:rPr>
          <w:spacing w:val="-4"/>
          <w:position w:val="5"/>
          <w:sz w:val="14"/>
        </w:rPr>
        <w:t>.</w:t>
      </w:r>
      <w:r>
        <w:rPr>
          <w:position w:val="5"/>
          <w:sz w:val="14"/>
        </w:rPr>
        <w:tab/>
      </w:r>
      <w:r>
        <w:rPr>
          <w:rFonts w:ascii="Arial"/>
          <w:i/>
          <w:sz w:val="20"/>
        </w:rPr>
        <w:t>Seton, Laing &amp; Co v Lafone (1887) 19 Q.B.D. </w:t>
      </w:r>
      <w:r>
        <w:rPr>
          <w:rFonts w:ascii="Arial"/>
          <w:i/>
          <w:spacing w:val="-5"/>
          <w:sz w:val="20"/>
        </w:rPr>
        <w:t>68</w:t>
      </w:r>
      <w:r>
        <w:rPr>
          <w:spacing w:val="-5"/>
          <w:sz w:val="20"/>
        </w:rPr>
        <w:t>.</w:t>
      </w:r>
    </w:p>
    <w:p>
      <w:pPr>
        <w:pStyle w:val="BodyText"/>
        <w:spacing w:before="9"/>
      </w:pPr>
    </w:p>
    <w:p>
      <w:pPr>
        <w:pStyle w:val="BodyText"/>
        <w:spacing w:line="235" w:lineRule="auto"/>
        <w:ind w:left="705" w:right="167" w:hanging="541"/>
        <w:jc w:val="both"/>
      </w:pPr>
      <w:bookmarkStart w:name="_bookmark961" w:id="963"/>
      <w:bookmarkEnd w:id="963"/>
      <w:r>
        <w:rPr/>
      </w:r>
      <w:hyperlink w:history="true" w:anchor="_bookmark917">
        <w:r>
          <w:rPr>
            <w:color w:val="005DA1"/>
            <w:position w:val="5"/>
            <w:sz w:val="14"/>
            <w:u w:val="single" w:color="005DA1"/>
          </w:rPr>
          <w:t>491</w:t>
        </w:r>
      </w:hyperlink>
      <w:r>
        <w:rPr>
          <w:position w:val="5"/>
          <w:sz w:val="14"/>
        </w:rPr>
        <w:t>.</w:t>
      </w:r>
      <w:r>
        <w:rPr>
          <w:spacing w:val="80"/>
          <w:position w:val="5"/>
          <w:sz w:val="14"/>
        </w:rPr>
        <w:t> </w:t>
      </w:r>
      <w:r>
        <w:rPr/>
        <w:t>Note that under s.2(4) of the Misrepresentation Act 1967 (added by Consumer Protection (Amendment) Regulations 2014 (SI 2014/870) reg.5), a consumer who has a right to </w:t>
      </w:r>
      <w:r>
        <w:rPr/>
        <w:t>redress under Pt 4A of the Consumer Protection from Unfair Trading Regulations 2008 (on which see Vol.I, para.7-002 and Vol.II, paras 38-145 et seq.) in respect of the conduct constituting misrepresentation</w:t>
      </w:r>
      <w:r>
        <w:rPr>
          <w:spacing w:val="37"/>
        </w:rPr>
        <w:t> </w:t>
      </w:r>
      <w:r>
        <w:rPr/>
        <w:t>no</w:t>
      </w:r>
      <w:r>
        <w:rPr>
          <w:spacing w:val="37"/>
        </w:rPr>
        <w:t> </w:t>
      </w:r>
      <w:r>
        <w:rPr/>
        <w:t>longer</w:t>
      </w:r>
      <w:r>
        <w:rPr>
          <w:spacing w:val="37"/>
        </w:rPr>
        <w:t> </w:t>
      </w:r>
      <w:r>
        <w:rPr/>
        <w:t>has</w:t>
      </w:r>
      <w:r>
        <w:rPr>
          <w:spacing w:val="37"/>
        </w:rPr>
        <w:t> </w:t>
      </w:r>
      <w:r>
        <w:rPr/>
        <w:t>a</w:t>
      </w:r>
      <w:r>
        <w:rPr>
          <w:spacing w:val="37"/>
        </w:rPr>
        <w:t> </w:t>
      </w:r>
      <w:r>
        <w:rPr/>
        <w:t>right</w:t>
      </w:r>
      <w:r>
        <w:rPr>
          <w:spacing w:val="37"/>
        </w:rPr>
        <w:t> </w:t>
      </w:r>
      <w:r>
        <w:rPr/>
        <w:t>to</w:t>
      </w:r>
      <w:r>
        <w:rPr>
          <w:spacing w:val="37"/>
        </w:rPr>
        <w:t> </w:t>
      </w:r>
      <w:r>
        <w:rPr/>
        <w:t>damages</w:t>
      </w:r>
      <w:r>
        <w:rPr>
          <w:spacing w:val="37"/>
        </w:rPr>
        <w:t> </w:t>
      </w:r>
      <w:r>
        <w:rPr/>
        <w:t>under</w:t>
      </w:r>
      <w:r>
        <w:rPr>
          <w:spacing w:val="37"/>
        </w:rPr>
        <w:t> </w:t>
      </w:r>
      <w:r>
        <w:rPr/>
        <w:t>s.2</w:t>
      </w:r>
      <w:r>
        <w:rPr>
          <w:spacing w:val="37"/>
        </w:rPr>
        <w:t> </w:t>
      </w:r>
      <w:r>
        <w:rPr/>
        <w:t>of</w:t>
      </w:r>
      <w:r>
        <w:rPr>
          <w:spacing w:val="37"/>
        </w:rPr>
        <w:t> </w:t>
      </w:r>
      <w:r>
        <w:rPr/>
        <w:t>the</w:t>
      </w:r>
      <w:r>
        <w:rPr>
          <w:spacing w:val="37"/>
        </w:rPr>
        <w:t> </w:t>
      </w:r>
      <w:r>
        <w:rPr/>
        <w:t>Act:</w:t>
      </w:r>
      <w:r>
        <w:rPr>
          <w:spacing w:val="37"/>
        </w:rPr>
        <w:t> </w:t>
      </w:r>
      <w:r>
        <w:rPr/>
        <w:t>see</w:t>
      </w:r>
      <w:r>
        <w:rPr>
          <w:spacing w:val="37"/>
        </w:rPr>
        <w:t> </w:t>
      </w:r>
      <w:r>
        <w:rPr/>
        <w:t>Vol.II,</w:t>
      </w:r>
      <w:r>
        <w:rPr>
          <w:spacing w:val="37"/>
        </w:rPr>
        <w:t> </w:t>
      </w:r>
      <w:r>
        <w:rPr/>
        <w:t>para. </w:t>
      </w:r>
      <w:r>
        <w:rPr>
          <w:spacing w:val="-2"/>
        </w:rPr>
        <w:t>38-188.</w:t>
      </w:r>
    </w:p>
    <w:p>
      <w:pPr>
        <w:pStyle w:val="BodyText"/>
        <w:spacing w:before="8"/>
      </w:pPr>
    </w:p>
    <w:p>
      <w:pPr>
        <w:pStyle w:val="BodyText"/>
        <w:spacing w:line="235" w:lineRule="auto"/>
        <w:ind w:left="705" w:right="167" w:hanging="541"/>
        <w:jc w:val="both"/>
      </w:pPr>
      <w:bookmarkStart w:name="_bookmark962" w:id="964"/>
      <w:bookmarkEnd w:id="964"/>
      <w:r>
        <w:rPr/>
      </w:r>
      <w:hyperlink w:history="true" w:anchor="_bookmark918">
        <w:r>
          <w:rPr>
            <w:color w:val="005DA1"/>
            <w:position w:val="5"/>
            <w:sz w:val="14"/>
            <w:u w:val="single" w:color="005DA1"/>
          </w:rPr>
          <w:t>492</w:t>
        </w:r>
      </w:hyperlink>
      <w:r>
        <w:rPr>
          <w:position w:val="5"/>
          <w:sz w:val="14"/>
        </w:rPr>
        <w:t>.</w:t>
      </w:r>
      <w:r>
        <w:rPr>
          <w:spacing w:val="80"/>
          <w:w w:val="150"/>
          <w:position w:val="5"/>
          <w:sz w:val="14"/>
        </w:rPr>
        <w:t> </w:t>
      </w:r>
      <w:r>
        <w:rPr/>
        <w:t>It is apparent from subs.(3) that this subsection also applies where the misrepresentation was negligent, but clearly the victim of such a misrepresentation who wants damages rather </w:t>
      </w:r>
      <w:r>
        <w:rPr/>
        <w:t>than rescission will claim under subs.(1).</w:t>
      </w:r>
    </w:p>
    <w:p>
      <w:pPr>
        <w:pStyle w:val="BodyText"/>
        <w:spacing w:before="9"/>
      </w:pPr>
    </w:p>
    <w:p>
      <w:pPr>
        <w:pStyle w:val="BodyText"/>
        <w:tabs>
          <w:tab w:pos="705" w:val="left" w:leader="none"/>
        </w:tabs>
        <w:spacing w:line="235" w:lineRule="auto"/>
        <w:ind w:left="705" w:right="168" w:hanging="541"/>
      </w:pPr>
      <w:bookmarkStart w:name="_bookmark963" w:id="965"/>
      <w:bookmarkEnd w:id="965"/>
      <w:r>
        <w:rPr/>
      </w:r>
      <w:hyperlink w:history="true" w:anchor="_bookmark919">
        <w:r>
          <w:rPr>
            <w:color w:val="005DA1"/>
            <w:spacing w:val="-4"/>
            <w:position w:val="5"/>
            <w:sz w:val="14"/>
            <w:u w:val="single" w:color="005DA1"/>
          </w:rPr>
          <w:t>493</w:t>
        </w:r>
      </w:hyperlink>
      <w:r>
        <w:rPr>
          <w:spacing w:val="-4"/>
          <w:position w:val="5"/>
          <w:sz w:val="14"/>
        </w:rPr>
        <w:t>.</w:t>
      </w:r>
      <w:r>
        <w:rPr>
          <w:position w:val="5"/>
          <w:sz w:val="14"/>
        </w:rPr>
        <w:tab/>
      </w:r>
      <w:r>
        <w:rPr/>
        <w:t>See paras 11 and 12 of the Tenth Report of the Law Reform Committee, Cmnd.1782 (1962) </w:t>
      </w:r>
      <w:r>
        <w:rPr/>
        <w:t>on which s.2 was based.</w:t>
      </w:r>
    </w:p>
    <w:p>
      <w:pPr>
        <w:pStyle w:val="BodyText"/>
        <w:spacing w:before="9"/>
      </w:pPr>
    </w:p>
    <w:p>
      <w:pPr>
        <w:spacing w:line="235" w:lineRule="auto" w:before="0"/>
        <w:ind w:left="705" w:right="168" w:hanging="541"/>
        <w:jc w:val="both"/>
        <w:rPr>
          <w:sz w:val="20"/>
        </w:rPr>
      </w:pPr>
      <w:bookmarkStart w:name="_bookmark964" w:id="966"/>
      <w:bookmarkEnd w:id="966"/>
      <w:r>
        <w:rPr/>
      </w:r>
      <w:hyperlink w:history="true" w:anchor="_bookmark920">
        <w:r>
          <w:rPr>
            <w:color w:val="005DA1"/>
            <w:position w:val="5"/>
            <w:sz w:val="14"/>
            <w:u w:val="single" w:color="005DA1"/>
          </w:rPr>
          <w:t>494</w:t>
        </w:r>
      </w:hyperlink>
      <w:r>
        <w:rPr>
          <w:position w:val="5"/>
          <w:sz w:val="14"/>
        </w:rPr>
        <w:t>.</w:t>
      </w:r>
      <w:r>
        <w:rPr>
          <w:spacing w:val="80"/>
          <w:position w:val="5"/>
          <w:sz w:val="14"/>
        </w:rPr>
        <w:t>  </w:t>
      </w:r>
      <w:r>
        <w:rPr>
          <w:rFonts w:ascii="Arial"/>
          <w:i/>
          <w:sz w:val="20"/>
        </w:rPr>
        <w:t>Attwood v Small (1838) 6 Cl. &amp; F. 232, 444</w:t>
      </w:r>
      <w:r>
        <w:rPr>
          <w:sz w:val="20"/>
        </w:rPr>
        <w:t>; </w:t>
      </w:r>
      <w:r>
        <w:rPr>
          <w:rFonts w:ascii="Arial"/>
          <w:i/>
          <w:sz w:val="20"/>
        </w:rPr>
        <w:t>Newbigging v Adam (1886) 34 Ch. D. 582, 592</w:t>
      </w:r>
      <w:r>
        <w:rPr>
          <w:sz w:val="20"/>
        </w:rPr>
        <w:t>. There is nothing inconsistent with this in </w:t>
      </w:r>
      <w:r>
        <w:rPr>
          <w:rFonts w:ascii="Arial"/>
          <w:i/>
          <w:sz w:val="20"/>
        </w:rPr>
        <w:t>Johnson v Agnew [1980] A.C. 367</w:t>
      </w:r>
      <w:r>
        <w:rPr>
          <w:sz w:val="20"/>
        </w:rPr>
        <w:t>. See below, paras</w:t>
      </w:r>
      <w:r>
        <w:rPr>
          <w:spacing w:val="40"/>
          <w:sz w:val="20"/>
        </w:rPr>
        <w:t> </w:t>
      </w:r>
      <w:r>
        <w:rPr>
          <w:sz w:val="20"/>
        </w:rPr>
        <w:t>7-114 and 24-049.</w:t>
      </w:r>
    </w:p>
    <w:p>
      <w:pPr>
        <w:pStyle w:val="BodyText"/>
        <w:spacing w:before="9"/>
      </w:pPr>
    </w:p>
    <w:p>
      <w:pPr>
        <w:tabs>
          <w:tab w:pos="705" w:val="left" w:leader="none"/>
        </w:tabs>
        <w:spacing w:line="235" w:lineRule="auto" w:before="0"/>
        <w:ind w:left="705" w:right="168" w:hanging="541"/>
        <w:jc w:val="left"/>
        <w:rPr>
          <w:sz w:val="20"/>
        </w:rPr>
      </w:pPr>
      <w:bookmarkStart w:name="_bookmark965" w:id="967"/>
      <w:bookmarkEnd w:id="967"/>
      <w:r>
        <w:rPr/>
      </w:r>
      <w:hyperlink w:history="true" w:anchor="_bookmark921">
        <w:r>
          <w:rPr>
            <w:color w:val="005DA1"/>
            <w:spacing w:val="-4"/>
            <w:position w:val="5"/>
            <w:sz w:val="14"/>
            <w:u w:val="single" w:color="005DA1"/>
          </w:rPr>
          <w:t>495</w:t>
        </w:r>
      </w:hyperlink>
      <w:r>
        <w:rPr>
          <w:spacing w:val="-4"/>
          <w:position w:val="5"/>
          <w:sz w:val="14"/>
        </w:rPr>
        <w:t>.</w:t>
      </w:r>
      <w:r>
        <w:rPr>
          <w:position w:val="5"/>
          <w:sz w:val="14"/>
        </w:rPr>
        <w:tab/>
      </w:r>
      <w:r>
        <w:rPr>
          <w:sz w:val="20"/>
        </w:rPr>
        <w:t>For</w:t>
      </w:r>
      <w:r>
        <w:rPr>
          <w:spacing w:val="40"/>
          <w:sz w:val="20"/>
        </w:rPr>
        <w:t> </w:t>
      </w:r>
      <w:r>
        <w:rPr>
          <w:sz w:val="20"/>
        </w:rPr>
        <w:t>a</w:t>
      </w:r>
      <w:r>
        <w:rPr>
          <w:spacing w:val="40"/>
          <w:sz w:val="20"/>
        </w:rPr>
        <w:t> </w:t>
      </w:r>
      <w:r>
        <w:rPr>
          <w:sz w:val="20"/>
        </w:rPr>
        <w:t>case</w:t>
      </w:r>
      <w:r>
        <w:rPr>
          <w:spacing w:val="40"/>
          <w:sz w:val="20"/>
        </w:rPr>
        <w:t> </w:t>
      </w:r>
      <w:r>
        <w:rPr>
          <w:sz w:val="20"/>
        </w:rPr>
        <w:t>in</w:t>
      </w:r>
      <w:r>
        <w:rPr>
          <w:spacing w:val="40"/>
          <w:sz w:val="20"/>
        </w:rPr>
        <w:t> </w:t>
      </w:r>
      <w:r>
        <w:rPr>
          <w:sz w:val="20"/>
        </w:rPr>
        <w:t>which</w:t>
      </w:r>
      <w:r>
        <w:rPr>
          <w:spacing w:val="40"/>
          <w:sz w:val="20"/>
        </w:rPr>
        <w:t> </w:t>
      </w:r>
      <w:r>
        <w:rPr>
          <w:sz w:val="20"/>
        </w:rPr>
        <w:t>damages</w:t>
      </w:r>
      <w:r>
        <w:rPr>
          <w:spacing w:val="40"/>
          <w:sz w:val="20"/>
        </w:rPr>
        <w:t> </w:t>
      </w:r>
      <w:r>
        <w:rPr>
          <w:sz w:val="20"/>
        </w:rPr>
        <w:t>and</w:t>
      </w:r>
      <w:r>
        <w:rPr>
          <w:spacing w:val="40"/>
          <w:sz w:val="20"/>
        </w:rPr>
        <w:t> </w:t>
      </w:r>
      <w:r>
        <w:rPr>
          <w:sz w:val="20"/>
        </w:rPr>
        <w:t>rescission</w:t>
      </w:r>
      <w:r>
        <w:rPr>
          <w:spacing w:val="40"/>
          <w:sz w:val="20"/>
        </w:rPr>
        <w:t> </w:t>
      </w:r>
      <w:r>
        <w:rPr>
          <w:sz w:val="20"/>
        </w:rPr>
        <w:t>were</w:t>
      </w:r>
      <w:r>
        <w:rPr>
          <w:spacing w:val="40"/>
          <w:sz w:val="20"/>
        </w:rPr>
        <w:t> </w:t>
      </w:r>
      <w:r>
        <w:rPr>
          <w:sz w:val="20"/>
        </w:rPr>
        <w:t>permitted</w:t>
      </w:r>
      <w:r>
        <w:rPr>
          <w:spacing w:val="40"/>
          <w:sz w:val="20"/>
        </w:rPr>
        <w:t> </w:t>
      </w:r>
      <w:r>
        <w:rPr>
          <w:sz w:val="20"/>
        </w:rPr>
        <w:t>under</w:t>
      </w:r>
      <w:r>
        <w:rPr>
          <w:spacing w:val="40"/>
          <w:sz w:val="20"/>
        </w:rPr>
        <w:t> </w:t>
      </w:r>
      <w:r>
        <w:rPr>
          <w:sz w:val="20"/>
        </w:rPr>
        <w:t>the</w:t>
      </w:r>
      <w:r>
        <w:rPr>
          <w:spacing w:val="40"/>
          <w:sz w:val="20"/>
        </w:rPr>
        <w:t> </w:t>
      </w:r>
      <w:r>
        <w:rPr>
          <w:sz w:val="20"/>
        </w:rPr>
        <w:t>Act,</w:t>
      </w:r>
      <w:r>
        <w:rPr>
          <w:spacing w:val="40"/>
          <w:sz w:val="20"/>
        </w:rPr>
        <w:t> </w:t>
      </w:r>
      <w:r>
        <w:rPr>
          <w:sz w:val="20"/>
        </w:rPr>
        <w:t>see</w:t>
      </w:r>
      <w:r>
        <w:rPr>
          <w:spacing w:val="40"/>
          <w:sz w:val="20"/>
        </w:rPr>
        <w:t> </w:t>
      </w:r>
      <w:r>
        <w:rPr>
          <w:rFonts w:ascii="Arial"/>
          <w:i/>
          <w:sz w:val="20"/>
        </w:rPr>
        <w:t>F.</w:t>
      </w:r>
      <w:r>
        <w:rPr>
          <w:rFonts w:ascii="Arial"/>
          <w:i/>
          <w:spacing w:val="40"/>
          <w:sz w:val="20"/>
        </w:rPr>
        <w:t> </w:t>
      </w:r>
      <w:r>
        <w:rPr>
          <w:rFonts w:ascii="Arial"/>
          <w:i/>
          <w:sz w:val="20"/>
        </w:rPr>
        <w:t>&amp;</w:t>
      </w:r>
      <w:r>
        <w:rPr>
          <w:rFonts w:ascii="Arial"/>
          <w:i/>
          <w:spacing w:val="40"/>
          <w:sz w:val="20"/>
        </w:rPr>
        <w:t> </w:t>
      </w:r>
      <w:r>
        <w:rPr>
          <w:rFonts w:ascii="Arial"/>
          <w:i/>
          <w:sz w:val="20"/>
        </w:rPr>
        <w:t>H. Entertainments Ltd v Leisure Enterprises Ltd (1976) 120 S.J. 331</w:t>
      </w:r>
      <w:r>
        <w:rPr>
          <w:sz w:val="20"/>
        </w:rPr>
        <w:t>.</w:t>
      </w:r>
    </w:p>
    <w:p>
      <w:pPr>
        <w:pStyle w:val="BodyText"/>
        <w:spacing w:before="9"/>
      </w:pPr>
    </w:p>
    <w:p>
      <w:pPr>
        <w:pStyle w:val="BodyText"/>
        <w:spacing w:line="235" w:lineRule="auto"/>
        <w:ind w:left="705" w:right="167" w:hanging="541"/>
        <w:jc w:val="both"/>
      </w:pPr>
      <w:bookmarkStart w:name="_bookmark966" w:id="968"/>
      <w:bookmarkEnd w:id="968"/>
      <w:r>
        <w:rPr/>
      </w:r>
      <w:hyperlink w:history="true" w:anchor="_bookmark922">
        <w:r>
          <w:rPr>
            <w:color w:val="005DA1"/>
            <w:position w:val="5"/>
            <w:sz w:val="14"/>
            <w:u w:val="single" w:color="005DA1"/>
          </w:rPr>
          <w:t>496</w:t>
        </w:r>
      </w:hyperlink>
      <w:r>
        <w:rPr>
          <w:position w:val="5"/>
          <w:sz w:val="14"/>
        </w:rPr>
        <w:t>.</w:t>
      </w:r>
      <w:r>
        <w:rPr>
          <w:spacing w:val="40"/>
          <w:position w:val="5"/>
          <w:sz w:val="14"/>
        </w:rPr>
        <w:t> </w:t>
      </w:r>
      <w:r>
        <w:rPr/>
        <w:t>Except in those exceptional cases in which damages are recoverable for </w:t>
      </w:r>
      <w:r>
        <w:rPr/>
        <w:t>innocent misrepresentation, above, para.7-102. Note also that, on rescission, the representee is entitled to an indemnity for burdens assumed under the contract, but this is much narrower than the right to damages, below, paras 7-129—7-130.</w:t>
      </w:r>
    </w:p>
    <w:p>
      <w:pPr>
        <w:pStyle w:val="BodyText"/>
        <w:spacing w:before="5"/>
      </w:pPr>
    </w:p>
    <w:p>
      <w:pPr>
        <w:tabs>
          <w:tab w:pos="705" w:val="left" w:leader="none"/>
        </w:tabs>
        <w:spacing w:before="0"/>
        <w:ind w:left="165" w:right="0" w:firstLine="0"/>
        <w:jc w:val="left"/>
        <w:rPr>
          <w:sz w:val="20"/>
        </w:rPr>
      </w:pPr>
      <w:bookmarkStart w:name="_bookmark967" w:id="969"/>
      <w:bookmarkEnd w:id="969"/>
      <w:r>
        <w:rPr/>
      </w:r>
      <w:hyperlink w:history="true" w:anchor="_bookmark923">
        <w:r>
          <w:rPr>
            <w:color w:val="005DA1"/>
            <w:spacing w:val="-4"/>
            <w:position w:val="5"/>
            <w:sz w:val="14"/>
            <w:u w:val="single" w:color="005DA1"/>
          </w:rPr>
          <w:t>497</w:t>
        </w:r>
      </w:hyperlink>
      <w:r>
        <w:rPr>
          <w:spacing w:val="-4"/>
          <w:position w:val="5"/>
          <w:sz w:val="14"/>
        </w:rPr>
        <w:t>.</w:t>
      </w:r>
      <w:r>
        <w:rPr>
          <w:position w:val="5"/>
          <w:sz w:val="14"/>
        </w:rPr>
        <w:tab/>
      </w:r>
      <w:r>
        <w:rPr>
          <w:rFonts w:ascii="Arial" w:hAnsi="Arial"/>
          <w:i/>
          <w:sz w:val="20"/>
        </w:rPr>
        <w:t>[1983] 1 Lloyd’s Rep. </w:t>
      </w:r>
      <w:r>
        <w:rPr>
          <w:rFonts w:ascii="Arial" w:hAnsi="Arial"/>
          <w:i/>
          <w:spacing w:val="-4"/>
          <w:sz w:val="20"/>
        </w:rPr>
        <w:t>188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68" w:id="970"/>
      <w:bookmarkEnd w:id="970"/>
      <w:r>
        <w:rPr/>
      </w:r>
      <w:hyperlink w:history="true" w:anchor="_bookmark924">
        <w:r>
          <w:rPr>
            <w:color w:val="005DA1"/>
            <w:spacing w:val="-4"/>
            <w:position w:val="5"/>
            <w:sz w:val="14"/>
            <w:u w:val="single" w:color="005DA1"/>
          </w:rPr>
          <w:t>498</w:t>
        </w:r>
      </w:hyperlink>
      <w:r>
        <w:rPr>
          <w:spacing w:val="-4"/>
          <w:position w:val="5"/>
          <w:sz w:val="14"/>
        </w:rPr>
        <w:t>.</w:t>
      </w:r>
      <w:r>
        <w:rPr>
          <w:position w:val="5"/>
          <w:sz w:val="14"/>
        </w:rPr>
        <w:tab/>
      </w:r>
      <w:r>
        <w:rPr>
          <w:rFonts w:ascii="Arial"/>
          <w:i/>
          <w:sz w:val="20"/>
        </w:rPr>
        <w:t>[1996]</w:t>
      </w:r>
      <w:r>
        <w:rPr>
          <w:rFonts w:ascii="Arial"/>
          <w:i/>
          <w:spacing w:val="-1"/>
          <w:sz w:val="20"/>
        </w:rPr>
        <w:t> </w:t>
      </w:r>
      <w:r>
        <w:rPr>
          <w:rFonts w:ascii="Arial"/>
          <w:i/>
          <w:sz w:val="20"/>
        </w:rPr>
        <w:t>2 All E.R. 573</w:t>
      </w:r>
      <w:r>
        <w:rPr>
          <w:sz w:val="20"/>
        </w:rPr>
        <w:t>. See (1995) 111 L.Q.R. </w:t>
      </w:r>
      <w:r>
        <w:rPr>
          <w:spacing w:val="-4"/>
          <w:sz w:val="20"/>
        </w:rPr>
        <w:t>385.</w:t>
      </w:r>
    </w:p>
    <w:p>
      <w:pPr>
        <w:pStyle w:val="BodyText"/>
        <w:spacing w:before="5"/>
      </w:pPr>
    </w:p>
    <w:p>
      <w:pPr>
        <w:tabs>
          <w:tab w:pos="705" w:val="left" w:leader="none"/>
        </w:tabs>
        <w:spacing w:before="0"/>
        <w:ind w:left="165" w:right="0" w:firstLine="0"/>
        <w:jc w:val="left"/>
        <w:rPr>
          <w:sz w:val="20"/>
        </w:rPr>
      </w:pPr>
      <w:bookmarkStart w:name="_bookmark969" w:id="971"/>
      <w:bookmarkEnd w:id="971"/>
      <w:r>
        <w:rPr/>
      </w:r>
      <w:hyperlink w:history="true" w:anchor="_bookmark925">
        <w:r>
          <w:rPr>
            <w:color w:val="005DA1"/>
            <w:spacing w:val="-4"/>
            <w:position w:val="5"/>
            <w:sz w:val="14"/>
            <w:u w:val="single" w:color="005DA1"/>
          </w:rPr>
          <w:t>499</w:t>
        </w:r>
      </w:hyperlink>
      <w:r>
        <w:rPr>
          <w:spacing w:val="-4"/>
          <w:position w:val="5"/>
          <w:sz w:val="14"/>
        </w:rPr>
        <w:t>.</w:t>
      </w:r>
      <w:r>
        <w:rPr>
          <w:position w:val="5"/>
          <w:sz w:val="14"/>
        </w:rPr>
        <w:tab/>
      </w:r>
      <w:r>
        <w:rPr>
          <w:rFonts w:ascii="Arial"/>
          <w:i/>
          <w:sz w:val="20"/>
        </w:rPr>
        <w:t>[1996] 2 All E.R. 573, </w:t>
      </w:r>
      <w:r>
        <w:rPr>
          <w:rFonts w:ascii="Arial"/>
          <w:i/>
          <w:spacing w:val="-4"/>
          <w:sz w:val="20"/>
        </w:rPr>
        <w:t>590</w:t>
      </w:r>
      <w:r>
        <w:rPr>
          <w:spacing w:val="-4"/>
          <w:sz w:val="20"/>
        </w:rPr>
        <w:t>.</w:t>
      </w:r>
    </w:p>
    <w:p>
      <w:pPr>
        <w:pStyle w:val="BodyText"/>
        <w:spacing w:before="9"/>
      </w:pPr>
    </w:p>
    <w:p>
      <w:pPr>
        <w:pStyle w:val="BodyText"/>
        <w:tabs>
          <w:tab w:pos="705" w:val="left" w:leader="none"/>
        </w:tabs>
        <w:spacing w:line="235" w:lineRule="auto"/>
        <w:ind w:left="705" w:right="168" w:hanging="541"/>
      </w:pPr>
      <w:bookmarkStart w:name="_bookmark970" w:id="972"/>
      <w:bookmarkEnd w:id="972"/>
      <w:r>
        <w:rPr/>
      </w:r>
      <w:hyperlink w:history="true" w:anchor="_bookmark926">
        <w:r>
          <w:rPr>
            <w:color w:val="005DA1"/>
            <w:spacing w:val="-4"/>
            <w:position w:val="5"/>
            <w:sz w:val="14"/>
            <w:u w:val="single" w:color="005DA1"/>
          </w:rPr>
          <w:t>500</w:t>
        </w:r>
      </w:hyperlink>
      <w:r>
        <w:rPr>
          <w:spacing w:val="-4"/>
          <w:position w:val="5"/>
          <w:sz w:val="14"/>
        </w:rPr>
        <w:t>.</w:t>
      </w:r>
      <w:r>
        <w:rPr>
          <w:position w:val="5"/>
          <w:sz w:val="14"/>
        </w:rPr>
        <w:tab/>
      </w:r>
      <w:r>
        <w:rPr/>
        <w:t>The statement itself lends some support to this view but further investigation of the legislative</w:t>
      </w:r>
      <w:r>
        <w:rPr>
          <w:spacing w:val="40"/>
        </w:rPr>
        <w:t> </w:t>
      </w:r>
      <w:r>
        <w:rPr/>
        <w:t>history throws some doubt on it: see (1995) 111 L.Q.R. 385.</w:t>
      </w:r>
    </w:p>
    <w:p>
      <w:pPr>
        <w:pStyle w:val="BodyText"/>
        <w:spacing w:after="0" w:line="235" w:lineRule="auto"/>
        <w:sectPr>
          <w:pgSz w:w="11900" w:h="16840"/>
          <w:pgMar w:header="971" w:footer="0" w:top="1160" w:bottom="280" w:left="1275" w:right="1275"/>
        </w:sectPr>
      </w:pPr>
    </w:p>
    <w:p>
      <w:pPr>
        <w:pStyle w:val="BodyText"/>
        <w:spacing w:before="81"/>
      </w:pPr>
    </w:p>
    <w:p>
      <w:pPr>
        <w:tabs>
          <w:tab w:pos="705" w:val="left" w:leader="none"/>
        </w:tabs>
        <w:spacing w:before="0"/>
        <w:ind w:left="165" w:right="0" w:firstLine="0"/>
        <w:jc w:val="left"/>
        <w:rPr>
          <w:sz w:val="20"/>
        </w:rPr>
      </w:pPr>
      <w:hyperlink w:history="true" w:anchor="_bookmark927">
        <w:r>
          <w:rPr>
            <w:color w:val="005DA1"/>
            <w:spacing w:val="-4"/>
            <w:position w:val="5"/>
            <w:sz w:val="14"/>
            <w:u w:val="single" w:color="005DA1"/>
          </w:rPr>
          <w:t>501</w:t>
        </w:r>
      </w:hyperlink>
      <w:r>
        <w:rPr>
          <w:spacing w:val="-4"/>
          <w:position w:val="5"/>
          <w:sz w:val="14"/>
        </w:rPr>
        <w:t>.</w:t>
      </w:r>
      <w:r>
        <w:rPr>
          <w:position w:val="5"/>
          <w:sz w:val="14"/>
        </w:rPr>
        <w:tab/>
      </w:r>
      <w:r>
        <w:rPr>
          <w:rFonts w:ascii="Arial"/>
          <w:i/>
          <w:sz w:val="20"/>
        </w:rPr>
        <w:t>[2000] 1 W.L.R. </w:t>
      </w:r>
      <w:r>
        <w:rPr>
          <w:rFonts w:ascii="Arial"/>
          <w:i/>
          <w:spacing w:val="-4"/>
          <w:sz w:val="20"/>
        </w:rPr>
        <w:t>2333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71" w:id="973"/>
      <w:bookmarkEnd w:id="973"/>
      <w:r>
        <w:rPr/>
      </w:r>
      <w:hyperlink w:history="true" w:anchor="_bookmark928">
        <w:r>
          <w:rPr>
            <w:color w:val="005DA1"/>
            <w:spacing w:val="-4"/>
            <w:position w:val="5"/>
            <w:sz w:val="14"/>
            <w:u w:val="single" w:color="005DA1"/>
          </w:rPr>
          <w:t>502</w:t>
        </w:r>
      </w:hyperlink>
      <w:r>
        <w:rPr>
          <w:spacing w:val="-4"/>
          <w:position w:val="5"/>
          <w:sz w:val="14"/>
        </w:rPr>
        <w:t>.</w:t>
      </w:r>
      <w:r>
        <w:rPr>
          <w:position w:val="5"/>
          <w:sz w:val="14"/>
        </w:rPr>
        <w:tab/>
      </w:r>
      <w:r>
        <w:rPr>
          <w:rFonts w:ascii="Arial"/>
          <w:i/>
          <w:sz w:val="20"/>
        </w:rPr>
        <w:t>[2000] Build. L.R. </w:t>
      </w:r>
      <w:r>
        <w:rPr>
          <w:rFonts w:ascii="Arial"/>
          <w:i/>
          <w:spacing w:val="-5"/>
          <w:sz w:val="20"/>
        </w:rPr>
        <w:t>81</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972" w:id="974"/>
      <w:bookmarkEnd w:id="974"/>
      <w:r>
        <w:rPr/>
      </w:r>
      <w:hyperlink w:history="true" w:anchor="_bookmark929">
        <w:r>
          <w:rPr>
            <w:color w:val="005DA1"/>
            <w:spacing w:val="-4"/>
            <w:position w:val="5"/>
            <w:sz w:val="14"/>
            <w:u w:val="single" w:color="005DA1"/>
          </w:rPr>
          <w:t>503</w:t>
        </w:r>
      </w:hyperlink>
      <w:r>
        <w:rPr>
          <w:spacing w:val="-4"/>
          <w:position w:val="5"/>
          <w:sz w:val="14"/>
        </w:rPr>
        <w:t>.</w:t>
      </w:r>
      <w:r>
        <w:rPr>
          <w:position w:val="5"/>
          <w:sz w:val="14"/>
        </w:rPr>
        <w:tab/>
      </w:r>
      <w:r>
        <w:rPr>
          <w:rFonts w:ascii="Arial"/>
          <w:i/>
          <w:sz w:val="20"/>
        </w:rPr>
        <w:t>Salt v Stratstone Specialist Ltd [2015] EWCA Civ 745</w:t>
      </w:r>
      <w:r>
        <w:rPr>
          <w:rFonts w:ascii="Arial"/>
          <w:i/>
          <w:spacing w:val="-1"/>
          <w:sz w:val="20"/>
        </w:rPr>
        <w:t> </w:t>
      </w:r>
      <w:r>
        <w:rPr>
          <w:sz w:val="20"/>
        </w:rPr>
        <w:t>at </w:t>
      </w:r>
      <w:r>
        <w:rPr>
          <w:spacing w:val="-2"/>
          <w:sz w:val="20"/>
        </w:rPr>
        <w:t>[17].</w:t>
      </w:r>
    </w:p>
    <w:p>
      <w:pPr>
        <w:pStyle w:val="BodyText"/>
        <w:spacing w:before="5"/>
      </w:pPr>
    </w:p>
    <w:p>
      <w:pPr>
        <w:tabs>
          <w:tab w:pos="705" w:val="left" w:leader="none"/>
        </w:tabs>
        <w:spacing w:before="0"/>
        <w:ind w:left="165" w:right="0" w:firstLine="0"/>
        <w:jc w:val="left"/>
        <w:rPr>
          <w:sz w:val="20"/>
        </w:rPr>
      </w:pPr>
      <w:bookmarkStart w:name="_bookmark973" w:id="975"/>
      <w:bookmarkEnd w:id="975"/>
      <w:r>
        <w:rPr/>
      </w:r>
      <w:hyperlink w:history="true" w:anchor="_bookmark930">
        <w:r>
          <w:rPr>
            <w:color w:val="005DA1"/>
            <w:spacing w:val="-4"/>
            <w:position w:val="5"/>
            <w:sz w:val="14"/>
            <w:u w:val="single" w:color="005DA1"/>
          </w:rPr>
          <w:t>504</w:t>
        </w:r>
      </w:hyperlink>
      <w:r>
        <w:rPr>
          <w:spacing w:val="-4"/>
          <w:position w:val="5"/>
          <w:sz w:val="14"/>
        </w:rPr>
        <w:t>.</w:t>
      </w:r>
      <w:r>
        <w:rPr>
          <w:position w:val="5"/>
          <w:sz w:val="14"/>
        </w:rPr>
        <w:tab/>
      </w:r>
      <w:r>
        <w:rPr>
          <w:sz w:val="20"/>
        </w:rPr>
        <w:t>Above, para.7-</w:t>
      </w:r>
      <w:r>
        <w:rPr>
          <w:spacing w:val="-4"/>
          <w:sz w:val="20"/>
        </w:rPr>
        <w:t>077.</w:t>
      </w:r>
    </w:p>
    <w:p>
      <w:pPr>
        <w:pStyle w:val="BodyText"/>
        <w:spacing w:before="5"/>
      </w:pPr>
    </w:p>
    <w:p>
      <w:pPr>
        <w:tabs>
          <w:tab w:pos="705" w:val="left" w:leader="none"/>
        </w:tabs>
        <w:spacing w:before="0"/>
        <w:ind w:left="165" w:right="0" w:firstLine="0"/>
        <w:jc w:val="left"/>
        <w:rPr>
          <w:sz w:val="20"/>
        </w:rPr>
      </w:pPr>
      <w:bookmarkStart w:name="_bookmark974" w:id="976"/>
      <w:bookmarkEnd w:id="976"/>
      <w:r>
        <w:rPr/>
      </w:r>
      <w:hyperlink w:history="true" w:anchor="_bookmark931">
        <w:r>
          <w:rPr>
            <w:color w:val="005DA1"/>
            <w:spacing w:val="-4"/>
            <w:position w:val="5"/>
            <w:sz w:val="14"/>
            <w:u w:val="single" w:color="005DA1"/>
          </w:rPr>
          <w:t>505</w:t>
        </w:r>
      </w:hyperlink>
      <w:r>
        <w:rPr>
          <w:spacing w:val="-4"/>
          <w:position w:val="5"/>
          <w:sz w:val="14"/>
        </w:rPr>
        <w:t>.</w:t>
      </w:r>
      <w:r>
        <w:rPr>
          <w:position w:val="5"/>
          <w:sz w:val="14"/>
        </w:rPr>
        <w:tab/>
      </w:r>
      <w:r>
        <w:rPr>
          <w:rFonts w:ascii="Arial"/>
          <w:i/>
          <w:sz w:val="20"/>
        </w:rPr>
        <w:t>Whittington</w:t>
      </w:r>
      <w:r>
        <w:rPr>
          <w:rFonts w:ascii="Arial"/>
          <w:i/>
          <w:spacing w:val="-1"/>
          <w:sz w:val="20"/>
        </w:rPr>
        <w:t> </w:t>
      </w:r>
      <w:r>
        <w:rPr>
          <w:rFonts w:ascii="Arial"/>
          <w:i/>
          <w:sz w:val="20"/>
        </w:rPr>
        <w:t>v Seale-Hayne (1900) 82 L.T. 49</w:t>
      </w:r>
      <w:r>
        <w:rPr>
          <w:sz w:val="20"/>
        </w:rPr>
        <w:t>, below, para.7-</w:t>
      </w:r>
      <w:r>
        <w:rPr>
          <w:spacing w:val="-4"/>
          <w:sz w:val="20"/>
        </w:rPr>
        <w:t>130.</w:t>
      </w:r>
    </w:p>
    <w:p>
      <w:pPr>
        <w:pStyle w:val="BodyText"/>
        <w:spacing w:before="9"/>
      </w:pPr>
    </w:p>
    <w:p>
      <w:pPr>
        <w:spacing w:line="235" w:lineRule="auto" w:before="0"/>
        <w:ind w:left="705" w:right="167" w:hanging="541"/>
        <w:jc w:val="both"/>
        <w:rPr>
          <w:sz w:val="20"/>
        </w:rPr>
      </w:pPr>
      <w:bookmarkStart w:name="_bookmark975" w:id="977"/>
      <w:bookmarkEnd w:id="977"/>
      <w:r>
        <w:rPr/>
      </w:r>
      <w:hyperlink w:history="true" w:anchor="_bookmark932">
        <w:r>
          <w:rPr>
            <w:color w:val="005DA1"/>
            <w:position w:val="5"/>
            <w:sz w:val="14"/>
            <w:u w:val="single" w:color="005DA1"/>
          </w:rPr>
          <w:t>506</w:t>
        </w:r>
      </w:hyperlink>
      <w:r>
        <w:rPr>
          <w:position w:val="5"/>
          <w:sz w:val="14"/>
        </w:rPr>
        <w:t>.</w:t>
      </w:r>
      <w:r>
        <w:rPr>
          <w:spacing w:val="80"/>
          <w:w w:val="150"/>
          <w:position w:val="5"/>
          <w:sz w:val="14"/>
        </w:rPr>
        <w:t> </w:t>
      </w:r>
      <w:r>
        <w:rPr>
          <w:sz w:val="20"/>
        </w:rPr>
        <w:t>In favour of this alternative is the literal interpretation given to s.2(1) by the Court of Appeal </w:t>
      </w:r>
      <w:r>
        <w:rPr>
          <w:sz w:val="20"/>
        </w:rPr>
        <w:t>in </w:t>
      </w:r>
      <w:r>
        <w:rPr>
          <w:rFonts w:ascii="Arial" w:hAnsi="Arial"/>
          <w:i/>
          <w:sz w:val="20"/>
        </w:rPr>
        <w:t>Royscott Trust Ltd v Rogerson [1991] 2 Q.B. 297</w:t>
      </w:r>
      <w:r>
        <w:rPr>
          <w:sz w:val="20"/>
        </w:rPr>
        <w:t>. Against it is the analogy of damages under Lord</w:t>
      </w:r>
      <w:r>
        <w:rPr>
          <w:spacing w:val="-3"/>
          <w:sz w:val="20"/>
        </w:rPr>
        <w:t> </w:t>
      </w:r>
      <w:r>
        <w:rPr>
          <w:sz w:val="20"/>
        </w:rPr>
        <w:t>Cairns’</w:t>
      </w:r>
      <w:r>
        <w:rPr>
          <w:spacing w:val="-3"/>
          <w:sz w:val="20"/>
        </w:rPr>
        <w:t> </w:t>
      </w:r>
      <w:r>
        <w:rPr>
          <w:sz w:val="20"/>
        </w:rPr>
        <w:t>Act</w:t>
      </w:r>
      <w:r>
        <w:rPr>
          <w:spacing w:val="-3"/>
          <w:sz w:val="20"/>
        </w:rPr>
        <w:t> </w:t>
      </w:r>
      <w:r>
        <w:rPr>
          <w:sz w:val="20"/>
        </w:rPr>
        <w:t>1858</w:t>
      </w:r>
      <w:r>
        <w:rPr>
          <w:spacing w:val="-3"/>
          <w:sz w:val="20"/>
        </w:rPr>
        <w:t> </w:t>
      </w:r>
      <w:r>
        <w:rPr>
          <w:sz w:val="20"/>
        </w:rPr>
        <w:t>in</w:t>
      </w:r>
      <w:r>
        <w:rPr>
          <w:spacing w:val="-3"/>
          <w:sz w:val="20"/>
        </w:rPr>
        <w:t> </w:t>
      </w:r>
      <w:r>
        <w:rPr>
          <w:sz w:val="20"/>
        </w:rPr>
        <w:t>lieu</w:t>
      </w:r>
      <w:r>
        <w:rPr>
          <w:spacing w:val="-3"/>
          <w:sz w:val="20"/>
        </w:rPr>
        <w:t> </w:t>
      </w:r>
      <w:r>
        <w:rPr>
          <w:sz w:val="20"/>
        </w:rPr>
        <w:t>of</w:t>
      </w:r>
      <w:r>
        <w:rPr>
          <w:spacing w:val="-3"/>
          <w:sz w:val="20"/>
        </w:rPr>
        <w:t> </w:t>
      </w:r>
      <w:r>
        <w:rPr>
          <w:sz w:val="20"/>
        </w:rPr>
        <w:t>an</w:t>
      </w:r>
      <w:r>
        <w:rPr>
          <w:spacing w:val="-3"/>
          <w:sz w:val="20"/>
        </w:rPr>
        <w:t> </w:t>
      </w:r>
      <w:r>
        <w:rPr>
          <w:sz w:val="20"/>
        </w:rPr>
        <w:t>award</w:t>
      </w:r>
      <w:r>
        <w:rPr>
          <w:spacing w:val="-3"/>
          <w:sz w:val="20"/>
        </w:rPr>
        <w:t> </w:t>
      </w:r>
      <w:r>
        <w:rPr>
          <w:sz w:val="20"/>
        </w:rPr>
        <w:t>of</w:t>
      </w:r>
      <w:r>
        <w:rPr>
          <w:spacing w:val="-3"/>
          <w:sz w:val="20"/>
        </w:rPr>
        <w:t> </w:t>
      </w:r>
      <w:r>
        <w:rPr>
          <w:sz w:val="20"/>
        </w:rPr>
        <w:t>specific</w:t>
      </w:r>
      <w:r>
        <w:rPr>
          <w:spacing w:val="-3"/>
          <w:sz w:val="20"/>
        </w:rPr>
        <w:t> </w:t>
      </w:r>
      <w:r>
        <w:rPr>
          <w:sz w:val="20"/>
        </w:rPr>
        <w:t>performance</w:t>
      </w:r>
      <w:r>
        <w:rPr>
          <w:spacing w:val="-3"/>
          <w:sz w:val="20"/>
        </w:rPr>
        <w:t> </w:t>
      </w:r>
      <w:r>
        <w:rPr>
          <w:sz w:val="20"/>
        </w:rPr>
        <w:t>where</w:t>
      </w:r>
      <w:r>
        <w:rPr>
          <w:spacing w:val="-3"/>
          <w:sz w:val="20"/>
        </w:rPr>
        <w:t> </w:t>
      </w:r>
      <w:r>
        <w:rPr>
          <w:sz w:val="20"/>
        </w:rPr>
        <w:t>(it</w:t>
      </w:r>
      <w:r>
        <w:rPr>
          <w:spacing w:val="-3"/>
          <w:sz w:val="20"/>
        </w:rPr>
        <w:t> </w:t>
      </w:r>
      <w:r>
        <w:rPr>
          <w:sz w:val="20"/>
        </w:rPr>
        <w:t>seems)</w:t>
      </w:r>
      <w:r>
        <w:rPr>
          <w:spacing w:val="-3"/>
          <w:sz w:val="20"/>
        </w:rPr>
        <w:t> </w:t>
      </w:r>
      <w:r>
        <w:rPr>
          <w:sz w:val="20"/>
        </w:rPr>
        <w:t>the</w:t>
      </w:r>
      <w:r>
        <w:rPr>
          <w:spacing w:val="-3"/>
          <w:sz w:val="20"/>
        </w:rPr>
        <w:t> </w:t>
      </w:r>
      <w:r>
        <w:rPr>
          <w:sz w:val="20"/>
        </w:rPr>
        <w:t>damages are to be assessed as at common law, and not in accordance with some special measure: </w:t>
      </w:r>
      <w:r>
        <w:rPr>
          <w:rFonts w:ascii="Arial" w:hAnsi="Arial"/>
          <w:i/>
          <w:sz w:val="20"/>
        </w:rPr>
        <w:t>Johnson v Agnew [1980] A.C. 367, 400</w:t>
      </w:r>
      <w:r>
        <w:rPr>
          <w:sz w:val="20"/>
        </w:rPr>
        <w:t>.</w:t>
      </w:r>
    </w:p>
    <w:p>
      <w:pPr>
        <w:pStyle w:val="BodyText"/>
        <w:spacing w:before="8"/>
      </w:pPr>
    </w:p>
    <w:p>
      <w:pPr>
        <w:spacing w:line="235" w:lineRule="auto" w:before="0"/>
        <w:ind w:left="705" w:right="167" w:hanging="541"/>
        <w:jc w:val="both"/>
        <w:rPr>
          <w:sz w:val="20"/>
        </w:rPr>
      </w:pPr>
      <w:bookmarkStart w:name="_bookmark976" w:id="978"/>
      <w:bookmarkEnd w:id="978"/>
      <w:r>
        <w:rPr/>
      </w:r>
      <w:hyperlink w:history="true" w:anchor="_bookmark933">
        <w:r>
          <w:rPr>
            <w:color w:val="005DA1"/>
            <w:position w:val="5"/>
            <w:sz w:val="14"/>
            <w:u w:val="single" w:color="005DA1"/>
          </w:rPr>
          <w:t>507</w:t>
        </w:r>
      </w:hyperlink>
      <w:r>
        <w:rPr>
          <w:position w:val="5"/>
          <w:sz w:val="14"/>
        </w:rPr>
        <w:t>.</w:t>
      </w:r>
      <w:r>
        <w:rPr>
          <w:spacing w:val="80"/>
          <w:position w:val="5"/>
          <w:sz w:val="14"/>
        </w:rPr>
        <w:t>  </w:t>
      </w:r>
      <w:r>
        <w:rPr>
          <w:rFonts w:ascii="Arial" w:hAnsi="Arial"/>
          <w:i/>
          <w:sz w:val="20"/>
        </w:rPr>
        <w:t>Davis &amp; Co (Wines) Ltd v Afa-Minerva (EMI) Ltd [1974] 2 Lloyd’s Rep. 27</w:t>
      </w:r>
      <w:r>
        <w:rPr>
          <w:sz w:val="20"/>
        </w:rPr>
        <w:t>. In </w:t>
      </w:r>
      <w:r>
        <w:rPr>
          <w:rFonts w:ascii="Arial" w:hAnsi="Arial"/>
          <w:i/>
          <w:sz w:val="20"/>
        </w:rPr>
        <w:t>William Sindall Plc v Cambridgeshire CC [1994] 1 W.L.R. 1016, 1044 </w:t>
      </w:r>
      <w:r>
        <w:rPr>
          <w:sz w:val="20"/>
        </w:rPr>
        <w:t>Evans L.J. said that in his view a plaintiff under s.2(2) should recover the same additional compensation as was permitted in </w:t>
      </w:r>
      <w:r>
        <w:rPr>
          <w:rFonts w:ascii="Arial" w:hAnsi="Arial"/>
          <w:i/>
          <w:sz w:val="20"/>
        </w:rPr>
        <w:t>Cemp Properties (UK) Ltd v Dentsply Research and Development Corp [1991] 2 E.G.L.R. 197</w:t>
      </w:r>
      <w:r>
        <w:rPr>
          <w:sz w:val="20"/>
        </w:rPr>
        <w:t>, a </w:t>
      </w:r>
      <w:r>
        <w:rPr>
          <w:sz w:val="20"/>
        </w:rPr>
        <w:t>case under s.2(1) in which the plaintiffs recovered for wasted expenditure. See generally, McGregor on Damages, 19th edn (2014), para.47–067.</w:t>
      </w:r>
    </w:p>
    <w:p>
      <w:pPr>
        <w:pStyle w:val="BodyText"/>
        <w:spacing w:before="8"/>
      </w:pPr>
    </w:p>
    <w:p>
      <w:pPr>
        <w:pStyle w:val="BodyText"/>
        <w:tabs>
          <w:tab w:pos="705" w:val="left" w:leader="none"/>
        </w:tabs>
        <w:spacing w:line="235" w:lineRule="auto"/>
        <w:ind w:left="705" w:right="168" w:hanging="541"/>
      </w:pPr>
      <w:bookmarkStart w:name="_bookmark977" w:id="979"/>
      <w:bookmarkEnd w:id="979"/>
      <w:r>
        <w:rPr/>
      </w:r>
      <w:hyperlink w:history="true" w:anchor="_bookmark934">
        <w:r>
          <w:rPr>
            <w:color w:val="005DA1"/>
            <w:spacing w:val="-4"/>
            <w:position w:val="5"/>
            <w:sz w:val="14"/>
            <w:u w:val="single" w:color="005DA1"/>
          </w:rPr>
          <w:t>508</w:t>
        </w:r>
      </w:hyperlink>
      <w:r>
        <w:rPr>
          <w:spacing w:val="-4"/>
          <w:position w:val="5"/>
          <w:sz w:val="14"/>
        </w:rPr>
        <w:t>.</w:t>
      </w:r>
      <w:r>
        <w:rPr>
          <w:position w:val="5"/>
          <w:sz w:val="14"/>
        </w:rPr>
        <w:tab/>
      </w:r>
      <w:r>
        <w:rPr/>
        <w:t>See above, paras 7-055 et seq. It would have to be shown that the misrepresentee would not</w:t>
      </w:r>
      <w:r>
        <w:rPr>
          <w:spacing w:val="40"/>
        </w:rPr>
        <w:t> </w:t>
      </w:r>
      <w:r>
        <w:rPr/>
        <w:t>have entered the contract but for the fraud.</w:t>
      </w:r>
    </w:p>
    <w:p>
      <w:pPr>
        <w:pStyle w:val="BodyText"/>
        <w:spacing w:before="5"/>
      </w:pPr>
    </w:p>
    <w:p>
      <w:pPr>
        <w:tabs>
          <w:tab w:pos="705" w:val="left" w:leader="none"/>
        </w:tabs>
        <w:spacing w:before="0"/>
        <w:ind w:left="165" w:right="0" w:firstLine="0"/>
        <w:jc w:val="left"/>
        <w:rPr>
          <w:sz w:val="20"/>
        </w:rPr>
      </w:pPr>
      <w:bookmarkStart w:name="_bookmark978" w:id="980"/>
      <w:bookmarkEnd w:id="980"/>
      <w:r>
        <w:rPr/>
      </w:r>
      <w:hyperlink w:history="true" w:anchor="_bookmark935">
        <w:r>
          <w:rPr>
            <w:color w:val="005DA1"/>
            <w:spacing w:val="-4"/>
            <w:position w:val="5"/>
            <w:sz w:val="14"/>
            <w:u w:val="single" w:color="005DA1"/>
          </w:rPr>
          <w:t>509</w:t>
        </w:r>
      </w:hyperlink>
      <w:r>
        <w:rPr>
          <w:spacing w:val="-4"/>
          <w:position w:val="5"/>
          <w:sz w:val="14"/>
        </w:rPr>
        <w:t>.</w:t>
      </w:r>
      <w:r>
        <w:rPr>
          <w:position w:val="5"/>
          <w:sz w:val="14"/>
        </w:rPr>
        <w:tab/>
      </w:r>
      <w:r>
        <w:rPr>
          <w:rFonts w:ascii="Arial"/>
          <w:i/>
          <w:sz w:val="20"/>
        </w:rPr>
        <w:t>[1994]</w:t>
      </w:r>
      <w:r>
        <w:rPr>
          <w:rFonts w:ascii="Arial"/>
          <w:i/>
          <w:spacing w:val="-1"/>
          <w:sz w:val="20"/>
        </w:rPr>
        <w:t> </w:t>
      </w:r>
      <w:r>
        <w:rPr>
          <w:rFonts w:ascii="Arial"/>
          <w:i/>
          <w:sz w:val="20"/>
        </w:rPr>
        <w:t>1 W.L.R. 1016</w:t>
      </w:r>
      <w:r>
        <w:rPr>
          <w:sz w:val="20"/>
        </w:rPr>
        <w:t>: held that there were no grounds for </w:t>
      </w:r>
      <w:r>
        <w:rPr>
          <w:spacing w:val="-2"/>
          <w:sz w:val="20"/>
        </w:rPr>
        <w:t>rescission.</w:t>
      </w:r>
    </w:p>
    <w:p>
      <w:pPr>
        <w:pStyle w:val="BodyText"/>
        <w:spacing w:before="9"/>
      </w:pPr>
    </w:p>
    <w:p>
      <w:pPr>
        <w:pStyle w:val="BodyText"/>
        <w:spacing w:line="235" w:lineRule="auto"/>
        <w:ind w:left="705" w:right="167" w:hanging="541"/>
        <w:jc w:val="both"/>
      </w:pPr>
      <w:bookmarkStart w:name="_bookmark979" w:id="981"/>
      <w:bookmarkEnd w:id="981"/>
      <w:r>
        <w:rPr/>
      </w:r>
      <w:hyperlink w:history="true" w:anchor="_bookmark936">
        <w:r>
          <w:rPr>
            <w:color w:val="005DA1"/>
            <w:position w:val="5"/>
            <w:sz w:val="14"/>
            <w:u w:val="single" w:color="005DA1"/>
          </w:rPr>
          <w:t>510</w:t>
        </w:r>
      </w:hyperlink>
      <w:r>
        <w:rPr>
          <w:position w:val="5"/>
          <w:sz w:val="14"/>
        </w:rPr>
        <w:t>.</w:t>
      </w:r>
      <w:r>
        <w:rPr>
          <w:spacing w:val="80"/>
          <w:position w:val="5"/>
          <w:sz w:val="14"/>
        </w:rPr>
        <w:t>  </w:t>
      </w:r>
      <w:r>
        <w:rPr>
          <w:rFonts w:ascii="Arial"/>
          <w:i/>
        </w:rPr>
        <w:t>[1994]</w:t>
      </w:r>
      <w:r>
        <w:rPr>
          <w:rFonts w:ascii="Arial"/>
          <w:i/>
          <w:spacing w:val="24"/>
        </w:rPr>
        <w:t> </w:t>
      </w:r>
      <w:r>
        <w:rPr>
          <w:rFonts w:ascii="Arial"/>
          <w:i/>
        </w:rPr>
        <w:t>1</w:t>
      </w:r>
      <w:r>
        <w:rPr>
          <w:rFonts w:ascii="Arial"/>
          <w:i/>
          <w:spacing w:val="24"/>
        </w:rPr>
        <w:t> </w:t>
      </w:r>
      <w:r>
        <w:rPr>
          <w:rFonts w:ascii="Arial"/>
          <w:i/>
        </w:rPr>
        <w:t>W.L.R.</w:t>
      </w:r>
      <w:r>
        <w:rPr>
          <w:rFonts w:ascii="Arial"/>
          <w:i/>
          <w:spacing w:val="24"/>
        </w:rPr>
        <w:t> </w:t>
      </w:r>
      <w:r>
        <w:rPr>
          <w:rFonts w:ascii="Arial"/>
          <w:i/>
        </w:rPr>
        <w:t>1016,</w:t>
      </w:r>
      <w:r>
        <w:rPr>
          <w:rFonts w:ascii="Arial"/>
          <w:i/>
          <w:spacing w:val="24"/>
        </w:rPr>
        <w:t> </w:t>
      </w:r>
      <w:r>
        <w:rPr>
          <w:rFonts w:ascii="Arial"/>
          <w:i/>
        </w:rPr>
        <w:t>1045</w:t>
      </w:r>
      <w:r>
        <w:rPr/>
        <w:t>.</w:t>
      </w:r>
      <w:r>
        <w:rPr>
          <w:spacing w:val="24"/>
        </w:rPr>
        <w:t> </w:t>
      </w:r>
      <w:r>
        <w:rPr/>
        <w:t>At</w:t>
      </w:r>
      <w:r>
        <w:rPr>
          <w:spacing w:val="24"/>
        </w:rPr>
        <w:t> </w:t>
      </w:r>
      <w:r>
        <w:rPr/>
        <w:t>1037</w:t>
      </w:r>
      <w:r>
        <w:rPr>
          <w:spacing w:val="24"/>
        </w:rPr>
        <w:t> </w:t>
      </w:r>
      <w:r>
        <w:rPr/>
        <w:t>Hoffmann</w:t>
      </w:r>
      <w:r>
        <w:rPr>
          <w:spacing w:val="24"/>
        </w:rPr>
        <w:t> </w:t>
      </w:r>
      <w:r>
        <w:rPr/>
        <w:t>L.J.</w:t>
      </w:r>
      <w:r>
        <w:rPr>
          <w:spacing w:val="24"/>
        </w:rPr>
        <w:t> </w:t>
      </w:r>
      <w:r>
        <w:rPr/>
        <w:t>remarked</w:t>
      </w:r>
      <w:r>
        <w:rPr>
          <w:spacing w:val="24"/>
        </w:rPr>
        <w:t> </w:t>
      </w:r>
      <w:r>
        <w:rPr/>
        <w:t>that</w:t>
      </w:r>
      <w:r>
        <w:rPr>
          <w:spacing w:val="24"/>
        </w:rPr>
        <w:t> </w:t>
      </w:r>
      <w:r>
        <w:rPr/>
        <w:t>while</w:t>
      </w:r>
      <w:r>
        <w:rPr>
          <w:spacing w:val="24"/>
        </w:rPr>
        <w:t> </w:t>
      </w:r>
      <w:r>
        <w:rPr/>
        <w:t>s.2(1)</w:t>
      </w:r>
      <w:r>
        <w:rPr>
          <w:spacing w:val="24"/>
        </w:rPr>
        <w:t> </w:t>
      </w:r>
      <w:r>
        <w:rPr/>
        <w:t>is</w:t>
      </w:r>
      <w:r>
        <w:rPr>
          <w:spacing w:val="24"/>
        </w:rPr>
        <w:t> </w:t>
      </w:r>
      <w:r>
        <w:rPr/>
        <w:t>concerned with damage flowing from the plaintiff having entered the contract, s.2(2) is concerned </w:t>
      </w:r>
      <w:r>
        <w:rPr/>
        <w:t>with damage caused by the property not being what it was supposed to be.</w:t>
      </w:r>
    </w:p>
    <w:p>
      <w:pPr>
        <w:pStyle w:val="BodyText"/>
        <w:spacing w:before="5"/>
      </w:pPr>
    </w:p>
    <w:p>
      <w:pPr>
        <w:pStyle w:val="BodyText"/>
        <w:tabs>
          <w:tab w:pos="705" w:val="left" w:leader="none"/>
        </w:tabs>
        <w:ind w:left="165"/>
      </w:pPr>
      <w:bookmarkStart w:name="_bookmark980" w:id="982"/>
      <w:bookmarkEnd w:id="982"/>
      <w:r>
        <w:rPr/>
      </w:r>
      <w:hyperlink w:history="true" w:anchor="_bookmark937">
        <w:r>
          <w:rPr>
            <w:color w:val="005DA1"/>
            <w:spacing w:val="-4"/>
            <w:position w:val="5"/>
            <w:sz w:val="14"/>
            <w:u w:val="single" w:color="005DA1"/>
          </w:rPr>
          <w:t>511</w:t>
        </w:r>
      </w:hyperlink>
      <w:r>
        <w:rPr>
          <w:spacing w:val="-4"/>
          <w:position w:val="5"/>
          <w:sz w:val="14"/>
        </w:rPr>
        <w:t>.</w:t>
      </w:r>
      <w:r>
        <w:rPr>
          <w:position w:val="5"/>
          <w:sz w:val="14"/>
        </w:rPr>
        <w:tab/>
      </w:r>
      <w:r>
        <w:rPr/>
        <w:t>See McGregor on Damages, 19th edn (2014), </w:t>
      </w:r>
      <w:r>
        <w:rPr>
          <w:spacing w:val="-2"/>
        </w:rPr>
        <w:t>para.47–070.</w:t>
      </w:r>
    </w:p>
    <w:p>
      <w:pPr>
        <w:pStyle w:val="BodyText"/>
        <w:spacing w:before="5"/>
      </w:pPr>
    </w:p>
    <w:p>
      <w:pPr>
        <w:pStyle w:val="BodyText"/>
        <w:tabs>
          <w:tab w:pos="705" w:val="left" w:leader="none"/>
        </w:tabs>
        <w:ind w:left="165"/>
      </w:pPr>
      <w:bookmarkStart w:name="_bookmark981" w:id="983"/>
      <w:bookmarkEnd w:id="983"/>
      <w:r>
        <w:rPr/>
      </w:r>
      <w:hyperlink w:history="true" w:anchor="_bookmark938">
        <w:r>
          <w:rPr>
            <w:color w:val="005DA1"/>
            <w:spacing w:val="-4"/>
            <w:position w:val="5"/>
            <w:sz w:val="14"/>
            <w:u w:val="single" w:color="005DA1"/>
          </w:rPr>
          <w:t>512</w:t>
        </w:r>
      </w:hyperlink>
      <w:r>
        <w:rPr>
          <w:spacing w:val="-4"/>
          <w:position w:val="5"/>
          <w:sz w:val="14"/>
        </w:rPr>
        <w:t>.</w:t>
      </w:r>
      <w:r>
        <w:rPr>
          <w:position w:val="5"/>
          <w:sz w:val="14"/>
        </w:rPr>
        <w:tab/>
      </w:r>
      <w:r>
        <w:rPr/>
        <w:t>cf. above, para.7-</w:t>
      </w:r>
      <w:r>
        <w:rPr>
          <w:spacing w:val="-4"/>
        </w:rPr>
        <w:t>055.</w:t>
      </w:r>
    </w:p>
    <w:p>
      <w:pPr>
        <w:pStyle w:val="BodyText"/>
        <w:spacing w:before="9"/>
      </w:pPr>
    </w:p>
    <w:p>
      <w:pPr>
        <w:spacing w:line="235" w:lineRule="auto" w:before="0"/>
        <w:ind w:left="705" w:right="167" w:hanging="541"/>
        <w:jc w:val="both"/>
        <w:rPr>
          <w:sz w:val="20"/>
        </w:rPr>
      </w:pPr>
      <w:bookmarkStart w:name="_bookmark982" w:id="984"/>
      <w:bookmarkEnd w:id="984"/>
      <w:r>
        <w:rPr/>
      </w:r>
      <w:hyperlink w:history="true" w:anchor="_bookmark939">
        <w:r>
          <w:rPr>
            <w:color w:val="005DA1"/>
            <w:position w:val="5"/>
            <w:sz w:val="14"/>
            <w:u w:val="single" w:color="005DA1"/>
          </w:rPr>
          <w:t>513</w:t>
        </w:r>
      </w:hyperlink>
      <w:r>
        <w:rPr>
          <w:position w:val="5"/>
          <w:sz w:val="14"/>
        </w:rPr>
        <w:t>.</w:t>
      </w:r>
      <w:r>
        <w:rPr>
          <w:spacing w:val="40"/>
          <w:position w:val="5"/>
          <w:sz w:val="14"/>
        </w:rPr>
        <w:t>  </w:t>
      </w:r>
      <w:r>
        <w:rPr>
          <w:rFonts w:ascii="Arial" w:hAnsi="Arial"/>
          <w:i/>
          <w:sz w:val="20"/>
        </w:rPr>
        <w:t>Smith</w:t>
      </w:r>
      <w:r>
        <w:rPr>
          <w:rFonts w:ascii="Arial" w:hAnsi="Arial"/>
          <w:i/>
          <w:spacing w:val="-2"/>
          <w:sz w:val="20"/>
        </w:rPr>
        <w:t> </w:t>
      </w:r>
      <w:r>
        <w:rPr>
          <w:rFonts w:ascii="Arial" w:hAnsi="Arial"/>
          <w:i/>
          <w:sz w:val="20"/>
        </w:rPr>
        <w:t>New</w:t>
      </w:r>
      <w:r>
        <w:rPr>
          <w:rFonts w:ascii="Arial" w:hAnsi="Arial"/>
          <w:i/>
          <w:spacing w:val="-2"/>
          <w:sz w:val="20"/>
        </w:rPr>
        <w:t> </w:t>
      </w:r>
      <w:r>
        <w:rPr>
          <w:rFonts w:ascii="Arial" w:hAnsi="Arial"/>
          <w:i/>
          <w:sz w:val="20"/>
        </w:rPr>
        <w:t>Court</w:t>
      </w:r>
      <w:r>
        <w:rPr>
          <w:rFonts w:ascii="Arial" w:hAnsi="Arial"/>
          <w:i/>
          <w:spacing w:val="-2"/>
          <w:sz w:val="20"/>
        </w:rPr>
        <w:t> </w:t>
      </w:r>
      <w:r>
        <w:rPr>
          <w:rFonts w:ascii="Arial" w:hAnsi="Arial"/>
          <w:i/>
          <w:sz w:val="20"/>
        </w:rPr>
        <w:t>Securities</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Scrimgeour</w:t>
      </w:r>
      <w:r>
        <w:rPr>
          <w:rFonts w:ascii="Arial" w:hAnsi="Arial"/>
          <w:i/>
          <w:spacing w:val="-2"/>
          <w:sz w:val="20"/>
        </w:rPr>
        <w:t> </w:t>
      </w:r>
      <w:r>
        <w:rPr>
          <w:rFonts w:ascii="Arial" w:hAnsi="Arial"/>
          <w:i/>
          <w:sz w:val="20"/>
        </w:rPr>
        <w:t>Vickers</w:t>
      </w:r>
      <w:r>
        <w:rPr>
          <w:rFonts w:ascii="Arial" w:hAnsi="Arial"/>
          <w:i/>
          <w:spacing w:val="-2"/>
          <w:sz w:val="20"/>
        </w:rPr>
        <w:t> </w:t>
      </w:r>
      <w:r>
        <w:rPr>
          <w:rFonts w:ascii="Arial" w:hAnsi="Arial"/>
          <w:i/>
          <w:sz w:val="20"/>
        </w:rPr>
        <w:t>(Asset</w:t>
      </w:r>
      <w:r>
        <w:rPr>
          <w:rFonts w:ascii="Arial" w:hAnsi="Arial"/>
          <w:i/>
          <w:spacing w:val="-2"/>
          <w:sz w:val="20"/>
        </w:rPr>
        <w:t> </w:t>
      </w:r>
      <w:r>
        <w:rPr>
          <w:rFonts w:ascii="Arial" w:hAnsi="Arial"/>
          <w:i/>
          <w:sz w:val="20"/>
        </w:rPr>
        <w:t>Management)</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[1997]</w:t>
      </w:r>
      <w:r>
        <w:rPr>
          <w:rFonts w:ascii="Arial" w:hAnsi="Arial"/>
          <w:i/>
          <w:spacing w:val="-2"/>
          <w:sz w:val="20"/>
        </w:rPr>
        <w:t> </w:t>
      </w:r>
      <w:r>
        <w:rPr>
          <w:rFonts w:ascii="Arial" w:hAnsi="Arial"/>
          <w:i/>
          <w:sz w:val="20"/>
        </w:rPr>
        <w:t>A.C.</w:t>
      </w:r>
      <w:r>
        <w:rPr>
          <w:rFonts w:ascii="Arial" w:hAnsi="Arial"/>
          <w:i/>
          <w:spacing w:val="-2"/>
          <w:sz w:val="20"/>
        </w:rPr>
        <w:t> </w:t>
      </w:r>
      <w:r>
        <w:rPr>
          <w:rFonts w:ascii="Arial" w:hAnsi="Arial"/>
          <w:i/>
          <w:sz w:val="20"/>
        </w:rPr>
        <w:t>254</w:t>
      </w:r>
      <w:r>
        <w:rPr>
          <w:sz w:val="20"/>
        </w:rPr>
        <w:t>, disapproving</w:t>
      </w:r>
      <w:r>
        <w:rPr>
          <w:spacing w:val="-3"/>
          <w:sz w:val="20"/>
        </w:rPr>
        <w:t> </w:t>
      </w:r>
      <w:r>
        <w:rPr>
          <w:sz w:val="20"/>
        </w:rPr>
        <w:t>on</w:t>
      </w:r>
      <w:r>
        <w:rPr>
          <w:spacing w:val="-3"/>
          <w:sz w:val="20"/>
        </w:rPr>
        <w:t> </w:t>
      </w:r>
      <w:r>
        <w:rPr>
          <w:sz w:val="20"/>
        </w:rPr>
        <w:t>this</w:t>
      </w:r>
      <w:r>
        <w:rPr>
          <w:spacing w:val="-3"/>
          <w:sz w:val="20"/>
        </w:rPr>
        <w:t> </w:t>
      </w:r>
      <w:r>
        <w:rPr>
          <w:sz w:val="20"/>
        </w:rPr>
        <w:t>point</w:t>
      </w:r>
      <w:r>
        <w:rPr>
          <w:spacing w:val="-4"/>
          <w:sz w:val="20"/>
        </w:rPr>
        <w:t> </w:t>
      </w:r>
      <w:r>
        <w:rPr>
          <w:rFonts w:ascii="Arial" w:hAnsi="Arial"/>
          <w:i/>
          <w:sz w:val="20"/>
        </w:rPr>
        <w:t>Downs</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Chappell</w:t>
      </w:r>
      <w:r>
        <w:rPr>
          <w:rFonts w:ascii="Arial" w:hAnsi="Arial"/>
          <w:i/>
          <w:spacing w:val="-3"/>
          <w:sz w:val="20"/>
        </w:rPr>
        <w:t> </w:t>
      </w:r>
      <w:r>
        <w:rPr>
          <w:rFonts w:ascii="Arial" w:hAnsi="Arial"/>
          <w:i/>
          <w:sz w:val="20"/>
        </w:rPr>
        <w:t>[1997]</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W.L.R.</w:t>
      </w:r>
      <w:r>
        <w:rPr>
          <w:rFonts w:ascii="Arial" w:hAnsi="Arial"/>
          <w:i/>
          <w:spacing w:val="-3"/>
          <w:sz w:val="20"/>
        </w:rPr>
        <w:t> </w:t>
      </w:r>
      <w:r>
        <w:rPr>
          <w:rFonts w:ascii="Arial" w:hAnsi="Arial"/>
          <w:i/>
          <w:sz w:val="20"/>
        </w:rPr>
        <w:t>426</w:t>
      </w:r>
      <w:r>
        <w:rPr>
          <w:sz w:val="20"/>
        </w:rPr>
        <w:t>;</w:t>
      </w:r>
      <w:r>
        <w:rPr>
          <w:spacing w:val="-3"/>
          <w:sz w:val="20"/>
        </w:rPr>
        <w:t> </w:t>
      </w:r>
      <w:r>
        <w:rPr>
          <w:sz w:val="20"/>
        </w:rPr>
        <w:t>see</w:t>
      </w:r>
      <w:r>
        <w:rPr>
          <w:spacing w:val="-3"/>
          <w:sz w:val="20"/>
        </w:rPr>
        <w:t> </w:t>
      </w:r>
      <w:r>
        <w:rPr>
          <w:sz w:val="20"/>
        </w:rPr>
        <w:t>above,</w:t>
      </w:r>
      <w:r>
        <w:rPr>
          <w:spacing w:val="-3"/>
          <w:sz w:val="20"/>
        </w:rPr>
        <w:t> </w:t>
      </w:r>
      <w:r>
        <w:rPr>
          <w:sz w:val="20"/>
        </w:rPr>
        <w:t>para.7-066.</w:t>
      </w:r>
      <w:r>
        <w:rPr>
          <w:spacing w:val="-3"/>
          <w:sz w:val="20"/>
        </w:rPr>
        <w:t> </w:t>
      </w:r>
      <w:r>
        <w:rPr>
          <w:sz w:val="20"/>
        </w:rPr>
        <w:t>(Both cases were ones of fraud but it is not clear that disapproval of this form of “cap” is limited to cases of fraud.)</w:t>
      </w:r>
    </w:p>
    <w:p>
      <w:pPr>
        <w:pStyle w:val="BodyText"/>
        <w:spacing w:before="8"/>
      </w:pPr>
    </w:p>
    <w:p>
      <w:pPr>
        <w:tabs>
          <w:tab w:pos="705" w:val="left" w:leader="none"/>
        </w:tabs>
        <w:spacing w:line="235" w:lineRule="auto" w:before="0"/>
        <w:ind w:left="705" w:right="168" w:hanging="541"/>
        <w:jc w:val="left"/>
        <w:rPr>
          <w:sz w:val="20"/>
        </w:rPr>
      </w:pPr>
      <w:bookmarkStart w:name="_bookmark983" w:id="985"/>
      <w:bookmarkEnd w:id="985"/>
      <w:r>
        <w:rPr/>
      </w:r>
      <w:hyperlink w:history="true" w:anchor="_bookmark940">
        <w:r>
          <w:rPr>
            <w:color w:val="005DA1"/>
            <w:spacing w:val="-4"/>
            <w:position w:val="5"/>
            <w:sz w:val="14"/>
            <w:u w:val="single" w:color="005DA1"/>
          </w:rPr>
          <w:t>514</w:t>
        </w:r>
      </w:hyperlink>
      <w:r>
        <w:rPr>
          <w:spacing w:val="-4"/>
          <w:position w:val="5"/>
          <w:sz w:val="14"/>
        </w:rPr>
        <w:t>.</w:t>
      </w:r>
      <w:r>
        <w:rPr>
          <w:position w:val="5"/>
          <w:sz w:val="14"/>
        </w:rPr>
        <w:tab/>
      </w:r>
      <w:r>
        <w:rPr>
          <w:rFonts w:ascii="Arial"/>
          <w:i/>
          <w:sz w:val="20"/>
        </w:rPr>
        <w:t>South</w:t>
      </w:r>
      <w:r>
        <w:rPr>
          <w:rFonts w:ascii="Arial"/>
          <w:i/>
          <w:spacing w:val="30"/>
          <w:sz w:val="20"/>
        </w:rPr>
        <w:t> </w:t>
      </w:r>
      <w:r>
        <w:rPr>
          <w:rFonts w:ascii="Arial"/>
          <w:i/>
          <w:sz w:val="20"/>
        </w:rPr>
        <w:t>Australia</w:t>
      </w:r>
      <w:r>
        <w:rPr>
          <w:rFonts w:ascii="Arial"/>
          <w:i/>
          <w:spacing w:val="30"/>
          <w:sz w:val="20"/>
        </w:rPr>
        <w:t> </w:t>
      </w:r>
      <w:r>
        <w:rPr>
          <w:rFonts w:ascii="Arial"/>
          <w:i/>
          <w:sz w:val="20"/>
        </w:rPr>
        <w:t>Asset</w:t>
      </w:r>
      <w:r>
        <w:rPr>
          <w:rFonts w:ascii="Arial"/>
          <w:i/>
          <w:spacing w:val="30"/>
          <w:sz w:val="20"/>
        </w:rPr>
        <w:t> </w:t>
      </w:r>
      <w:r>
        <w:rPr>
          <w:rFonts w:ascii="Arial"/>
          <w:i/>
          <w:sz w:val="20"/>
        </w:rPr>
        <w:t>Management</w:t>
      </w:r>
      <w:r>
        <w:rPr>
          <w:rFonts w:ascii="Arial"/>
          <w:i/>
          <w:spacing w:val="30"/>
          <w:sz w:val="20"/>
        </w:rPr>
        <w:t> </w:t>
      </w:r>
      <w:r>
        <w:rPr>
          <w:rFonts w:ascii="Arial"/>
          <w:i/>
          <w:sz w:val="20"/>
        </w:rPr>
        <w:t>Corp</w:t>
      </w:r>
      <w:r>
        <w:rPr>
          <w:rFonts w:ascii="Arial"/>
          <w:i/>
          <w:spacing w:val="30"/>
          <w:sz w:val="20"/>
        </w:rPr>
        <w:t> </w:t>
      </w:r>
      <w:r>
        <w:rPr>
          <w:rFonts w:ascii="Arial"/>
          <w:i/>
          <w:sz w:val="20"/>
        </w:rPr>
        <w:t>v</w:t>
      </w:r>
      <w:r>
        <w:rPr>
          <w:rFonts w:ascii="Arial"/>
          <w:i/>
          <w:spacing w:val="30"/>
          <w:sz w:val="20"/>
        </w:rPr>
        <w:t> </w:t>
      </w:r>
      <w:r>
        <w:rPr>
          <w:rFonts w:ascii="Arial"/>
          <w:i/>
          <w:sz w:val="20"/>
        </w:rPr>
        <w:t>York</w:t>
      </w:r>
      <w:r>
        <w:rPr>
          <w:rFonts w:ascii="Arial"/>
          <w:i/>
          <w:spacing w:val="30"/>
          <w:sz w:val="20"/>
        </w:rPr>
        <w:t> </w:t>
      </w:r>
      <w:r>
        <w:rPr>
          <w:rFonts w:ascii="Arial"/>
          <w:i/>
          <w:sz w:val="20"/>
        </w:rPr>
        <w:t>Montague</w:t>
      </w:r>
      <w:r>
        <w:rPr>
          <w:rFonts w:ascii="Arial"/>
          <w:i/>
          <w:spacing w:val="30"/>
          <w:sz w:val="20"/>
        </w:rPr>
        <w:t> </w:t>
      </w:r>
      <w:r>
        <w:rPr>
          <w:rFonts w:ascii="Arial"/>
          <w:i/>
          <w:sz w:val="20"/>
        </w:rPr>
        <w:t>Ltd</w:t>
      </w:r>
      <w:r>
        <w:rPr>
          <w:rFonts w:ascii="Arial"/>
          <w:i/>
          <w:spacing w:val="30"/>
          <w:sz w:val="20"/>
        </w:rPr>
        <w:t> </w:t>
      </w:r>
      <w:r>
        <w:rPr>
          <w:rFonts w:ascii="Arial"/>
          <w:i/>
          <w:sz w:val="20"/>
        </w:rPr>
        <w:t>[1997]</w:t>
      </w:r>
      <w:r>
        <w:rPr>
          <w:rFonts w:ascii="Arial"/>
          <w:i/>
          <w:spacing w:val="30"/>
          <w:sz w:val="20"/>
        </w:rPr>
        <w:t> </w:t>
      </w:r>
      <w:r>
        <w:rPr>
          <w:rFonts w:ascii="Arial"/>
          <w:i/>
          <w:sz w:val="20"/>
        </w:rPr>
        <w:t>A.C.</w:t>
      </w:r>
      <w:r>
        <w:rPr>
          <w:rFonts w:ascii="Arial"/>
          <w:i/>
          <w:spacing w:val="30"/>
          <w:sz w:val="20"/>
        </w:rPr>
        <w:t> </w:t>
      </w:r>
      <w:r>
        <w:rPr>
          <w:rFonts w:ascii="Arial"/>
          <w:i/>
          <w:sz w:val="20"/>
        </w:rPr>
        <w:t>191</w:t>
      </w:r>
      <w:r>
        <w:rPr>
          <w:sz w:val="20"/>
        </w:rPr>
        <w:t>;</w:t>
      </w:r>
      <w:r>
        <w:rPr>
          <w:spacing w:val="30"/>
          <w:sz w:val="20"/>
        </w:rPr>
        <w:t> </w:t>
      </w:r>
      <w:r>
        <w:rPr>
          <w:sz w:val="20"/>
        </w:rPr>
        <w:t>see</w:t>
      </w:r>
      <w:r>
        <w:rPr>
          <w:spacing w:val="30"/>
          <w:sz w:val="20"/>
        </w:rPr>
        <w:t> </w:t>
      </w:r>
      <w:r>
        <w:rPr>
          <w:sz w:val="20"/>
        </w:rPr>
        <w:t>below, </w:t>
      </w:r>
      <w:r>
        <w:rPr>
          <w:spacing w:val="-2"/>
          <w:sz w:val="20"/>
        </w:rPr>
        <w:t>para.26-168.</w:t>
      </w:r>
    </w:p>
    <w:p>
      <w:pPr>
        <w:pStyle w:val="BodyText"/>
        <w:spacing w:before="10"/>
      </w:pPr>
    </w:p>
    <w:p>
      <w:pPr>
        <w:pStyle w:val="BodyText"/>
        <w:spacing w:line="235" w:lineRule="auto"/>
        <w:ind w:left="705" w:right="167" w:hanging="541"/>
        <w:jc w:val="both"/>
      </w:pPr>
      <w:bookmarkStart w:name="_bookmark984" w:id="986"/>
      <w:bookmarkEnd w:id="986"/>
      <w:r>
        <w:rPr/>
      </w:r>
      <w:hyperlink w:history="true" w:anchor="_bookmark941">
        <w:r>
          <w:rPr>
            <w:color w:val="005DA1"/>
            <w:position w:val="5"/>
            <w:sz w:val="14"/>
            <w:u w:val="single" w:color="005DA1"/>
          </w:rPr>
          <w:t>515</w:t>
        </w:r>
      </w:hyperlink>
      <w:r>
        <w:rPr>
          <w:position w:val="5"/>
          <w:sz w:val="14"/>
        </w:rPr>
        <w:t>.</w:t>
      </w:r>
      <w:r>
        <w:rPr>
          <w:spacing w:val="80"/>
          <w:position w:val="5"/>
          <w:sz w:val="14"/>
        </w:rPr>
        <w:t>  </w:t>
      </w:r>
      <w:r>
        <w:rPr>
          <w:rFonts w:ascii="Arial" w:hAnsi="Arial"/>
          <w:i/>
        </w:rPr>
        <w:t>[1994] 1 W.L.R. 1016, 1046</w:t>
      </w:r>
      <w:r>
        <w:rPr/>
        <w:t>. It is, with respect, preferred to the explanation given by McGregor on Damages, 19th edn (2014), paras 47–076—47–077, for reasons given below, para.7-125 </w:t>
      </w:r>
      <w:r>
        <w:rPr>
          <w:spacing w:val="-2"/>
        </w:rPr>
        <w:t>n.559.</w:t>
      </w:r>
    </w:p>
    <w:p>
      <w:pPr>
        <w:pStyle w:val="BodyText"/>
        <w:spacing w:before="8"/>
      </w:pPr>
    </w:p>
    <w:p>
      <w:pPr>
        <w:pStyle w:val="BodyText"/>
        <w:tabs>
          <w:tab w:pos="705" w:val="left" w:leader="none"/>
        </w:tabs>
        <w:spacing w:line="235" w:lineRule="auto" w:before="1"/>
        <w:ind w:left="705" w:right="168" w:hanging="541"/>
      </w:pPr>
      <w:bookmarkStart w:name="_bookmark985" w:id="987"/>
      <w:bookmarkEnd w:id="987"/>
      <w:r>
        <w:rPr/>
      </w:r>
      <w:hyperlink w:history="true" w:anchor="_bookmark942">
        <w:r>
          <w:rPr>
            <w:color w:val="005DA1"/>
            <w:spacing w:val="-4"/>
            <w:position w:val="5"/>
            <w:sz w:val="14"/>
            <w:u w:val="single" w:color="005DA1"/>
          </w:rPr>
          <w:t>516</w:t>
        </w:r>
      </w:hyperlink>
      <w:r>
        <w:rPr>
          <w:spacing w:val="-4"/>
          <w:position w:val="5"/>
          <w:sz w:val="14"/>
        </w:rPr>
        <w:t>.</w:t>
      </w:r>
      <w:r>
        <w:rPr>
          <w:position w:val="5"/>
          <w:sz w:val="14"/>
        </w:rPr>
        <w:tab/>
      </w:r>
      <w:r>
        <w:rPr/>
        <w:t>See Birks [1997] R.L.R. 72, who argues that this is what Parliament intended despite use of the word “damages”.</w:t>
      </w:r>
    </w:p>
    <w:p>
      <w:pPr>
        <w:pStyle w:val="BodyText"/>
        <w:spacing w:before="9"/>
      </w:pPr>
    </w:p>
    <w:p>
      <w:pPr>
        <w:pStyle w:val="BodyText"/>
        <w:spacing w:line="235" w:lineRule="auto"/>
        <w:ind w:left="705" w:right="167" w:hanging="541"/>
        <w:jc w:val="both"/>
      </w:pPr>
      <w:bookmarkStart w:name="_bookmark986" w:id="988"/>
      <w:bookmarkEnd w:id="988"/>
      <w:r>
        <w:rPr/>
      </w:r>
      <w:hyperlink w:history="true" w:anchor="_bookmark943">
        <w:r>
          <w:rPr>
            <w:color w:val="005DA1"/>
            <w:position w:val="5"/>
            <w:sz w:val="14"/>
            <w:u w:val="single" w:color="005DA1"/>
          </w:rPr>
          <w:t>517</w:t>
        </w:r>
      </w:hyperlink>
      <w:r>
        <w:rPr>
          <w:position w:val="5"/>
          <w:sz w:val="14"/>
        </w:rPr>
        <w:t>.</w:t>
      </w:r>
      <w:r>
        <w:rPr>
          <w:spacing w:val="80"/>
          <w:position w:val="5"/>
          <w:sz w:val="14"/>
        </w:rPr>
        <w:t>  </w:t>
      </w:r>
      <w:r>
        <w:rPr/>
        <w:t>In </w:t>
      </w:r>
      <w:r>
        <w:rPr>
          <w:rFonts w:ascii="Arial"/>
          <w:i/>
        </w:rPr>
        <w:t>UCB Corporate Services Ltd v Thomason [2005] EWCA Civ 225, [2005] 1 All E.R. (Comm) 601 </w:t>
      </w:r>
      <w:r>
        <w:rPr/>
        <w:t>the respondents were liable for large sums under two guarantees. As the result </w:t>
      </w:r>
      <w:r>
        <w:rPr/>
        <w:t>of misrepresentation, the appellants entered an agreement to waive their rights under the guarantees in exchange for payment of a much smaller sum. The damages that might be awarded to the appellants under s.2(2) were not the full sums due under the guarantees but only compensation for any loss of the chance to recover more than the appellants gave up</w:t>
      </w:r>
      <w:r>
        <w:rPr>
          <w:spacing w:val="40"/>
        </w:rPr>
        <w:t> </w:t>
      </w:r>
      <w:r>
        <w:rPr/>
        <w:t>when they entered the waiver agreement (at [38] and [51]).</w:t>
      </w:r>
    </w:p>
    <w:p>
      <w:pPr>
        <w:pStyle w:val="BodyText"/>
        <w:spacing w:before="3"/>
      </w:pPr>
    </w:p>
    <w:p>
      <w:pPr>
        <w:tabs>
          <w:tab w:pos="705" w:val="left" w:leader="none"/>
        </w:tabs>
        <w:spacing w:before="0"/>
        <w:ind w:left="165" w:right="0" w:firstLine="0"/>
        <w:jc w:val="left"/>
        <w:rPr>
          <w:rFonts w:ascii="Arial" w:hAnsi="Arial"/>
          <w:i/>
          <w:sz w:val="20"/>
        </w:rPr>
      </w:pPr>
      <w:bookmarkStart w:name="_bookmark987" w:id="989"/>
      <w:bookmarkEnd w:id="989"/>
      <w:r>
        <w:rPr/>
      </w:r>
      <w:hyperlink w:history="true" w:anchor="_bookmark944">
        <w:r>
          <w:rPr>
            <w:color w:val="005DA1"/>
            <w:spacing w:val="-4"/>
            <w:position w:val="5"/>
            <w:sz w:val="14"/>
            <w:u w:val="single" w:color="005DA1"/>
          </w:rPr>
          <w:t>518</w:t>
        </w:r>
      </w:hyperlink>
      <w:r>
        <w:rPr>
          <w:spacing w:val="-4"/>
          <w:position w:val="5"/>
          <w:sz w:val="14"/>
        </w:rPr>
        <w:t>.</w:t>
      </w:r>
      <w:r>
        <w:rPr>
          <w:position w:val="5"/>
          <w:sz w:val="14"/>
        </w:rPr>
        <w:tab/>
      </w:r>
      <w:r>
        <w:rPr>
          <w:rFonts w:ascii="Arial" w:hAnsi="Arial"/>
          <w:i/>
          <w:sz w:val="20"/>
        </w:rPr>
        <w:t>Atlantic</w:t>
      </w:r>
      <w:r>
        <w:rPr>
          <w:rFonts w:ascii="Arial" w:hAnsi="Arial"/>
          <w:i/>
          <w:spacing w:val="26"/>
          <w:sz w:val="20"/>
        </w:rPr>
        <w:t> </w:t>
      </w:r>
      <w:r>
        <w:rPr>
          <w:rFonts w:ascii="Arial" w:hAnsi="Arial"/>
          <w:i/>
          <w:sz w:val="20"/>
        </w:rPr>
        <w:t>Lines</w:t>
      </w:r>
      <w:r>
        <w:rPr>
          <w:rFonts w:ascii="Arial" w:hAnsi="Arial"/>
          <w:i/>
          <w:spacing w:val="27"/>
          <w:sz w:val="20"/>
        </w:rPr>
        <w:t> </w:t>
      </w:r>
      <w:r>
        <w:rPr>
          <w:rFonts w:ascii="Arial" w:hAnsi="Arial"/>
          <w:i/>
          <w:sz w:val="20"/>
        </w:rPr>
        <w:t>&amp;</w:t>
      </w:r>
      <w:r>
        <w:rPr>
          <w:rFonts w:ascii="Arial" w:hAnsi="Arial"/>
          <w:i/>
          <w:spacing w:val="27"/>
          <w:sz w:val="20"/>
        </w:rPr>
        <w:t> </w:t>
      </w:r>
      <w:r>
        <w:rPr>
          <w:rFonts w:ascii="Arial" w:hAnsi="Arial"/>
          <w:i/>
          <w:sz w:val="20"/>
        </w:rPr>
        <w:t>Navigation</w:t>
      </w:r>
      <w:r>
        <w:rPr>
          <w:rFonts w:ascii="Arial" w:hAnsi="Arial"/>
          <w:i/>
          <w:spacing w:val="27"/>
          <w:sz w:val="20"/>
        </w:rPr>
        <w:t> </w:t>
      </w:r>
      <w:r>
        <w:rPr>
          <w:rFonts w:ascii="Arial" w:hAnsi="Arial"/>
          <w:i/>
          <w:sz w:val="20"/>
        </w:rPr>
        <w:t>Co</w:t>
      </w:r>
      <w:r>
        <w:rPr>
          <w:rFonts w:ascii="Arial" w:hAnsi="Arial"/>
          <w:i/>
          <w:spacing w:val="27"/>
          <w:sz w:val="20"/>
        </w:rPr>
        <w:t> </w:t>
      </w:r>
      <w:r>
        <w:rPr>
          <w:rFonts w:ascii="Arial" w:hAnsi="Arial"/>
          <w:i/>
          <w:sz w:val="20"/>
        </w:rPr>
        <w:t>Inc</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Hallam</w:t>
      </w:r>
      <w:r>
        <w:rPr>
          <w:rFonts w:ascii="Arial" w:hAnsi="Arial"/>
          <w:i/>
          <w:spacing w:val="27"/>
          <w:sz w:val="20"/>
        </w:rPr>
        <w:t> </w:t>
      </w:r>
      <w:r>
        <w:rPr>
          <w:rFonts w:ascii="Arial" w:hAnsi="Arial"/>
          <w:i/>
          <w:sz w:val="20"/>
        </w:rPr>
        <w:t>Ltd</w:t>
      </w:r>
      <w:r>
        <w:rPr>
          <w:rFonts w:ascii="Arial" w:hAnsi="Arial"/>
          <w:i/>
          <w:spacing w:val="26"/>
          <w:sz w:val="20"/>
        </w:rPr>
        <w:t> </w:t>
      </w:r>
      <w:r>
        <w:rPr>
          <w:rFonts w:ascii="Arial" w:hAnsi="Arial"/>
          <w:i/>
          <w:sz w:val="20"/>
        </w:rPr>
        <w:t>[1983]</w:t>
      </w:r>
      <w:r>
        <w:rPr>
          <w:rFonts w:ascii="Arial" w:hAnsi="Arial"/>
          <w:i/>
          <w:spacing w:val="27"/>
          <w:sz w:val="20"/>
        </w:rPr>
        <w:t> </w:t>
      </w:r>
      <w:r>
        <w:rPr>
          <w:rFonts w:ascii="Arial" w:hAnsi="Arial"/>
          <w:i/>
          <w:sz w:val="20"/>
        </w:rPr>
        <w:t>1</w:t>
      </w:r>
      <w:r>
        <w:rPr>
          <w:rFonts w:ascii="Arial" w:hAnsi="Arial"/>
          <w:i/>
          <w:spacing w:val="27"/>
          <w:sz w:val="20"/>
        </w:rPr>
        <w:t> </w:t>
      </w:r>
      <w:r>
        <w:rPr>
          <w:rFonts w:ascii="Arial" w:hAnsi="Arial"/>
          <w:i/>
          <w:sz w:val="20"/>
        </w:rPr>
        <w:t>Lloyd’s</w:t>
      </w:r>
      <w:r>
        <w:rPr>
          <w:rFonts w:ascii="Arial" w:hAnsi="Arial"/>
          <w:i/>
          <w:spacing w:val="27"/>
          <w:sz w:val="20"/>
        </w:rPr>
        <w:t> </w:t>
      </w:r>
      <w:r>
        <w:rPr>
          <w:rFonts w:ascii="Arial" w:hAnsi="Arial"/>
          <w:i/>
          <w:sz w:val="20"/>
        </w:rPr>
        <w:t>Rep.</w:t>
      </w:r>
      <w:r>
        <w:rPr>
          <w:rFonts w:ascii="Arial" w:hAnsi="Arial"/>
          <w:i/>
          <w:spacing w:val="27"/>
          <w:sz w:val="20"/>
        </w:rPr>
        <w:t> </w:t>
      </w:r>
      <w:r>
        <w:rPr>
          <w:rFonts w:ascii="Arial" w:hAnsi="Arial"/>
          <w:i/>
          <w:sz w:val="20"/>
        </w:rPr>
        <w:t>188</w:t>
      </w:r>
      <w:r>
        <w:rPr>
          <w:sz w:val="20"/>
        </w:rPr>
        <w:t>;</w:t>
      </w:r>
      <w:r>
        <w:rPr>
          <w:spacing w:val="27"/>
          <w:sz w:val="20"/>
        </w:rPr>
        <w:t> </w:t>
      </w:r>
      <w:r>
        <w:rPr>
          <w:sz w:val="20"/>
        </w:rPr>
        <w:t>and</w:t>
      </w:r>
      <w:r>
        <w:rPr>
          <w:spacing w:val="27"/>
          <w:sz w:val="20"/>
        </w:rPr>
        <w:t> </w:t>
      </w:r>
      <w:r>
        <w:rPr>
          <w:sz w:val="20"/>
        </w:rPr>
        <w:t>see</w:t>
      </w:r>
      <w:r>
        <w:rPr>
          <w:spacing w:val="27"/>
          <w:sz w:val="20"/>
        </w:rPr>
        <w:t> </w:t>
      </w:r>
      <w:r>
        <w:rPr>
          <w:rFonts w:ascii="Arial" w:hAnsi="Arial"/>
          <w:i/>
          <w:spacing w:val="-2"/>
          <w:sz w:val="20"/>
        </w:rPr>
        <w:t>William</w:t>
      </w:r>
    </w:p>
    <w:p>
      <w:pPr>
        <w:spacing w:after="0"/>
        <w:jc w:val="left"/>
        <w:rPr>
          <w:rFonts w:ascii="Arial" w:hAnsi="Arial"/>
          <w:i/>
          <w:sz w:val="20"/>
        </w:rPr>
        <w:sectPr>
          <w:pgSz w:w="11900" w:h="16840"/>
          <w:pgMar w:header="971" w:footer="0" w:top="1160" w:bottom="280" w:left="1275" w:right="1275"/>
        </w:sectPr>
      </w:pPr>
    </w:p>
    <w:p>
      <w:pPr>
        <w:pStyle w:val="BodyText"/>
        <w:spacing w:before="21"/>
        <w:rPr>
          <w:rFonts w:ascii="Arial"/>
          <w:i/>
        </w:rPr>
      </w:pPr>
    </w:p>
    <w:p>
      <w:pPr>
        <w:spacing w:before="0"/>
        <w:ind w:left="705" w:right="0" w:firstLine="0"/>
        <w:jc w:val="left"/>
        <w:rPr>
          <w:sz w:val="20"/>
        </w:rPr>
      </w:pPr>
      <w:r>
        <w:rPr>
          <w:rFonts w:ascii="Arial"/>
          <w:i/>
          <w:sz w:val="20"/>
        </w:rPr>
        <w:t>Sindall</w:t>
      </w:r>
      <w:r>
        <w:rPr>
          <w:rFonts w:ascii="Arial"/>
          <w:i/>
          <w:spacing w:val="-1"/>
          <w:sz w:val="20"/>
        </w:rPr>
        <w:t> </w:t>
      </w:r>
      <w:r>
        <w:rPr>
          <w:rFonts w:ascii="Arial"/>
          <w:i/>
          <w:sz w:val="20"/>
        </w:rPr>
        <w:t>Plc v Cambridgeshire CC [1994] 1 W.L.R. 1016</w:t>
      </w:r>
      <w:r>
        <w:rPr>
          <w:sz w:val="20"/>
        </w:rPr>
        <w:t>, discussed in para.7-</w:t>
      </w:r>
      <w:r>
        <w:rPr>
          <w:spacing w:val="-4"/>
          <w:sz w:val="20"/>
        </w:rPr>
        <w:t>109.</w:t>
      </w:r>
    </w:p>
    <w:p>
      <w:pPr>
        <w:pStyle w:val="BodyText"/>
        <w:spacing w:before="9"/>
      </w:pPr>
    </w:p>
    <w:p>
      <w:pPr>
        <w:spacing w:line="235" w:lineRule="auto" w:before="0"/>
        <w:ind w:left="705" w:right="167" w:hanging="541"/>
        <w:jc w:val="both"/>
        <w:rPr>
          <w:sz w:val="20"/>
        </w:rPr>
      </w:pPr>
      <w:bookmarkStart w:name="_bookmark988" w:id="990"/>
      <w:bookmarkEnd w:id="990"/>
      <w:r>
        <w:rPr/>
      </w:r>
      <w:hyperlink w:history="true" w:anchor="_bookmark945">
        <w:r>
          <w:rPr>
            <w:color w:val="005DA1"/>
            <w:position w:val="5"/>
            <w:sz w:val="14"/>
            <w:u w:val="single" w:color="005DA1"/>
          </w:rPr>
          <w:t>519</w:t>
        </w:r>
      </w:hyperlink>
      <w:r>
        <w:rPr>
          <w:position w:val="5"/>
          <w:sz w:val="14"/>
        </w:rPr>
        <w:t>.</w:t>
      </w:r>
      <w:r>
        <w:rPr>
          <w:spacing w:val="80"/>
          <w:position w:val="5"/>
          <w:sz w:val="14"/>
        </w:rPr>
        <w:t>  </w:t>
      </w:r>
      <w:r>
        <w:rPr>
          <w:rFonts w:ascii="Arial" w:hAnsi="Arial"/>
          <w:i/>
          <w:sz w:val="20"/>
        </w:rPr>
        <w:t>UCB</w:t>
      </w:r>
      <w:r>
        <w:rPr>
          <w:rFonts w:ascii="Arial" w:hAnsi="Arial"/>
          <w:i/>
          <w:spacing w:val="-1"/>
          <w:sz w:val="20"/>
        </w:rPr>
        <w:t> </w:t>
      </w:r>
      <w:r>
        <w:rPr>
          <w:rFonts w:ascii="Arial" w:hAnsi="Arial"/>
          <w:i/>
          <w:sz w:val="20"/>
        </w:rPr>
        <w:t>Corporate</w:t>
      </w:r>
      <w:r>
        <w:rPr>
          <w:rFonts w:ascii="Arial" w:hAnsi="Arial"/>
          <w:i/>
          <w:spacing w:val="-1"/>
          <w:sz w:val="20"/>
        </w:rPr>
        <w:t> </w:t>
      </w:r>
      <w:r>
        <w:rPr>
          <w:rFonts w:ascii="Arial" w:hAnsi="Arial"/>
          <w:i/>
          <w:sz w:val="20"/>
        </w:rPr>
        <w:t>Services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Thomason</w:t>
      </w:r>
      <w:r>
        <w:rPr>
          <w:rFonts w:ascii="Arial" w:hAnsi="Arial"/>
          <w:i/>
          <w:spacing w:val="-1"/>
          <w:sz w:val="20"/>
        </w:rPr>
        <w:t> </w:t>
      </w:r>
      <w:r>
        <w:rPr>
          <w:rFonts w:ascii="Arial" w:hAnsi="Arial"/>
          <w:i/>
          <w:sz w:val="20"/>
        </w:rPr>
        <w:t>[2005]</w:t>
      </w:r>
      <w:r>
        <w:rPr>
          <w:rFonts w:ascii="Arial" w:hAnsi="Arial"/>
          <w:i/>
          <w:spacing w:val="-1"/>
          <w:sz w:val="20"/>
        </w:rPr>
        <w:t> </w:t>
      </w:r>
      <w:r>
        <w:rPr>
          <w:rFonts w:ascii="Arial" w:hAnsi="Arial"/>
          <w:i/>
          <w:sz w:val="20"/>
        </w:rPr>
        <w:t>EWCA</w:t>
      </w:r>
      <w:r>
        <w:rPr>
          <w:rFonts w:ascii="Arial" w:hAnsi="Arial"/>
          <w:i/>
          <w:spacing w:val="-1"/>
          <w:sz w:val="20"/>
        </w:rPr>
        <w:t> </w:t>
      </w:r>
      <w:r>
        <w:rPr>
          <w:rFonts w:ascii="Arial" w:hAnsi="Arial"/>
          <w:i/>
          <w:sz w:val="20"/>
        </w:rPr>
        <w:t>Civ</w:t>
      </w:r>
      <w:r>
        <w:rPr>
          <w:rFonts w:ascii="Arial" w:hAnsi="Arial"/>
          <w:i/>
          <w:spacing w:val="-1"/>
          <w:sz w:val="20"/>
        </w:rPr>
        <w:t> </w:t>
      </w:r>
      <w:r>
        <w:rPr>
          <w:rFonts w:ascii="Arial" w:hAnsi="Arial"/>
          <w:i/>
          <w:sz w:val="20"/>
        </w:rPr>
        <w:t>225,</w:t>
      </w:r>
      <w:r>
        <w:rPr>
          <w:rFonts w:ascii="Arial" w:hAnsi="Arial"/>
          <w:i/>
          <w:spacing w:val="-1"/>
          <w:sz w:val="20"/>
        </w:rPr>
        <w:t> </w:t>
      </w:r>
      <w:r>
        <w:rPr>
          <w:rFonts w:ascii="Arial" w:hAnsi="Arial"/>
          <w:i/>
          <w:sz w:val="20"/>
        </w:rPr>
        <w:t>[2005]</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All</w:t>
      </w:r>
      <w:r>
        <w:rPr>
          <w:rFonts w:ascii="Arial" w:hAnsi="Arial"/>
          <w:i/>
          <w:spacing w:val="-1"/>
          <w:sz w:val="20"/>
        </w:rPr>
        <w:t> </w:t>
      </w:r>
      <w:r>
        <w:rPr>
          <w:rFonts w:ascii="Arial" w:hAnsi="Arial"/>
          <w:i/>
          <w:sz w:val="20"/>
        </w:rPr>
        <w:t>E.R.</w:t>
      </w:r>
      <w:r>
        <w:rPr>
          <w:rFonts w:ascii="Arial" w:hAnsi="Arial"/>
          <w:i/>
          <w:spacing w:val="-1"/>
          <w:sz w:val="20"/>
        </w:rPr>
        <w:t> </w:t>
      </w:r>
      <w:r>
        <w:rPr>
          <w:rFonts w:ascii="Arial" w:hAnsi="Arial"/>
          <w:i/>
          <w:sz w:val="20"/>
        </w:rPr>
        <w:t>(Comm)</w:t>
      </w:r>
      <w:r>
        <w:rPr>
          <w:rFonts w:ascii="Arial" w:hAnsi="Arial"/>
          <w:i/>
          <w:spacing w:val="-1"/>
          <w:sz w:val="20"/>
        </w:rPr>
        <w:t> </w:t>
      </w:r>
      <w:r>
        <w:rPr>
          <w:rFonts w:ascii="Arial" w:hAnsi="Arial"/>
          <w:i/>
          <w:sz w:val="20"/>
        </w:rPr>
        <w:t>601</w:t>
      </w:r>
      <w:r>
        <w:rPr>
          <w:sz w:val="20"/>
        </w:rPr>
        <w:t>. It was said that “loss” in s.2(2) includes financial loss and “what may loosely be described as detriment” (Latham L.J. at [37]).</w:t>
      </w:r>
    </w:p>
    <w:p>
      <w:pPr>
        <w:pStyle w:val="BodyText"/>
        <w:spacing w:before="5"/>
      </w:pPr>
    </w:p>
    <w:p>
      <w:pPr>
        <w:tabs>
          <w:tab w:pos="705" w:val="left" w:leader="none"/>
        </w:tabs>
        <w:spacing w:before="0"/>
        <w:ind w:left="165" w:right="0" w:firstLine="0"/>
        <w:jc w:val="left"/>
        <w:rPr>
          <w:sz w:val="20"/>
        </w:rPr>
      </w:pPr>
      <w:bookmarkStart w:name="_bookmark989" w:id="991"/>
      <w:bookmarkEnd w:id="991"/>
      <w:r>
        <w:rPr/>
      </w:r>
      <w:hyperlink w:history="true" w:anchor="_bookmark946">
        <w:r>
          <w:rPr>
            <w:color w:val="005DA1"/>
            <w:spacing w:val="-4"/>
            <w:position w:val="5"/>
            <w:sz w:val="14"/>
            <w:u w:val="single" w:color="005DA1"/>
          </w:rPr>
          <w:t>520</w:t>
        </w:r>
      </w:hyperlink>
      <w:r>
        <w:rPr>
          <w:spacing w:val="-4"/>
          <w:position w:val="5"/>
          <w:sz w:val="14"/>
        </w:rPr>
        <w:t>.</w:t>
      </w:r>
      <w:r>
        <w:rPr>
          <w:position w:val="5"/>
          <w:sz w:val="14"/>
        </w:rPr>
        <w:tab/>
      </w:r>
      <w:r>
        <w:rPr>
          <w:rFonts w:ascii="Arial"/>
          <w:i/>
          <w:sz w:val="20"/>
        </w:rPr>
        <w:t>TSB Bank Plc v Camfield [1995] 1 W.L.R. 430, </w:t>
      </w:r>
      <w:r>
        <w:rPr>
          <w:rFonts w:ascii="Arial"/>
          <w:i/>
          <w:spacing w:val="-4"/>
          <w:sz w:val="20"/>
        </w:rPr>
        <w:t>439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90" w:id="992"/>
      <w:bookmarkEnd w:id="992"/>
      <w:r>
        <w:rPr/>
      </w:r>
      <w:hyperlink w:history="true" w:anchor="_bookmark947">
        <w:r>
          <w:rPr>
            <w:color w:val="005DA1"/>
            <w:spacing w:val="-4"/>
            <w:position w:val="5"/>
            <w:sz w:val="14"/>
            <w:u w:val="single" w:color="005DA1"/>
          </w:rPr>
          <w:t>521</w:t>
        </w:r>
      </w:hyperlink>
      <w:r>
        <w:rPr>
          <w:spacing w:val="-4"/>
          <w:position w:val="5"/>
          <w:sz w:val="14"/>
        </w:rPr>
        <w:t>.</w:t>
      </w:r>
      <w:r>
        <w:rPr>
          <w:position w:val="5"/>
          <w:sz w:val="14"/>
        </w:rPr>
        <w:tab/>
      </w:r>
      <w:r>
        <w:rPr>
          <w:rFonts w:ascii="Arial"/>
          <w:i/>
          <w:sz w:val="20"/>
        </w:rPr>
        <w:t>Salt v Stratstone Specialist Ltd [2015] EWCA Civ 745</w:t>
      </w:r>
      <w:r>
        <w:rPr>
          <w:rFonts w:ascii="Arial"/>
          <w:i/>
          <w:spacing w:val="-1"/>
          <w:sz w:val="20"/>
        </w:rPr>
        <w:t> </w:t>
      </w:r>
      <w:r>
        <w:rPr>
          <w:sz w:val="20"/>
        </w:rPr>
        <w:t>at </w:t>
      </w:r>
      <w:r>
        <w:rPr>
          <w:spacing w:val="-2"/>
          <w:sz w:val="20"/>
        </w:rPr>
        <w:t>[24].</w:t>
      </w:r>
    </w:p>
    <w:p>
      <w:pPr>
        <w:pStyle w:val="BodyText"/>
        <w:spacing w:before="5"/>
      </w:pPr>
    </w:p>
    <w:p>
      <w:pPr>
        <w:tabs>
          <w:tab w:pos="705" w:val="left" w:leader="none"/>
        </w:tabs>
        <w:spacing w:before="0"/>
        <w:ind w:left="165" w:right="0" w:firstLine="0"/>
        <w:jc w:val="left"/>
        <w:rPr>
          <w:sz w:val="20"/>
        </w:rPr>
      </w:pPr>
      <w:bookmarkStart w:name="_bookmark991" w:id="993"/>
      <w:bookmarkEnd w:id="993"/>
      <w:r>
        <w:rPr/>
      </w:r>
      <w:hyperlink w:history="true" w:anchor="_bookmark948">
        <w:r>
          <w:rPr>
            <w:color w:val="005DA1"/>
            <w:spacing w:val="-4"/>
            <w:position w:val="5"/>
            <w:sz w:val="14"/>
            <w:u w:val="single" w:color="005DA1"/>
          </w:rPr>
          <w:t>522</w:t>
        </w:r>
      </w:hyperlink>
      <w:r>
        <w:rPr>
          <w:spacing w:val="-4"/>
          <w:position w:val="5"/>
          <w:sz w:val="14"/>
        </w:rPr>
        <w:t>.</w:t>
      </w:r>
      <w:r>
        <w:rPr>
          <w:position w:val="5"/>
          <w:sz w:val="14"/>
        </w:rPr>
        <w:tab/>
      </w:r>
      <w:r>
        <w:rPr>
          <w:rFonts w:ascii="Arial" w:hAnsi="Arial"/>
          <w:i/>
          <w:sz w:val="20"/>
        </w:rPr>
        <w:t>Highland Insurance Co v Continental Insurance Co [1987] 1 Lloyd’s Rep. </w:t>
      </w:r>
      <w:r>
        <w:rPr>
          <w:rFonts w:ascii="Arial" w:hAnsi="Arial"/>
          <w:i/>
          <w:spacing w:val="-4"/>
          <w:sz w:val="20"/>
        </w:rPr>
        <w:t>109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92" w:id="994"/>
      <w:bookmarkEnd w:id="994"/>
      <w:r>
        <w:rPr/>
      </w:r>
      <w:hyperlink w:history="true" w:anchor="_bookmark949">
        <w:r>
          <w:rPr>
            <w:color w:val="005DA1"/>
            <w:spacing w:val="-4"/>
            <w:position w:val="5"/>
            <w:sz w:val="14"/>
            <w:u w:val="single" w:color="005DA1"/>
          </w:rPr>
          <w:t>523</w:t>
        </w:r>
      </w:hyperlink>
      <w:r>
        <w:rPr>
          <w:spacing w:val="-4"/>
          <w:position w:val="5"/>
          <w:sz w:val="14"/>
        </w:rPr>
        <w:t>.</w:t>
      </w:r>
      <w:r>
        <w:rPr>
          <w:position w:val="5"/>
          <w:sz w:val="14"/>
        </w:rPr>
        <w:tab/>
      </w:r>
      <w:r>
        <w:rPr>
          <w:rFonts w:ascii="Arial"/>
          <w:i/>
          <w:sz w:val="20"/>
        </w:rPr>
        <w:t>British &amp; Commonwealth Holdings Plc v Quadrex Holdings Inc (unreported April 10, 1985) </w:t>
      </w:r>
      <w:r>
        <w:rPr>
          <w:rFonts w:ascii="Arial"/>
          <w:i/>
          <w:spacing w:val="-5"/>
          <w:sz w:val="20"/>
        </w:rPr>
        <w:t>CA</w:t>
      </w:r>
      <w:r>
        <w:rPr>
          <w:spacing w:val="-5"/>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539" w:right="2543"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3906560">
                <wp:simplePos x="0" y="0"/>
                <wp:positionH relativeFrom="page">
                  <wp:posOffset>4851958</wp:posOffset>
                </wp:positionH>
                <wp:positionV relativeFrom="paragraph">
                  <wp:posOffset>377436</wp:posOffset>
                </wp:positionV>
                <wp:extent cx="42545"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09920" from="382.044006pt,29.719406pt" to="385.380006pt,29.719406pt" stroked="true" strokeweight=".428pt" strokecolor="#005da1">
                <v:stroke dashstyle="solid"/>
                <w10:wrap type="none"/>
              </v:line>
            </w:pict>
          </mc:Fallback>
        </mc:AlternateContent>
      </w:r>
      <w:r>
        <w:rPr>
          <w:rFonts w:ascii="Arial"/>
          <w:b/>
          <w:sz w:val="24"/>
        </w:rPr>
        <w:t>Part 2 - Formation of Contract Chapter 7 - Misrepresentation</w:t>
      </w:r>
      <w:r>
        <w:rPr>
          <w:rFonts w:ascii="Arial"/>
          <w:b/>
          <w:spacing w:val="-1"/>
          <w:sz w:val="24"/>
        </w:rPr>
        <w:t> </w:t>
      </w:r>
      <w:r>
        <w:rPr>
          <w:rFonts w:ascii="Arial"/>
          <w:b/>
          <w:color w:val="005DA1"/>
          <w:spacing w:val="-10"/>
          <w:position w:val="11"/>
          <w:sz w:val="12"/>
        </w:rPr>
        <w:t>1</w:t>
      </w:r>
    </w:p>
    <w:p>
      <w:pPr>
        <w:spacing w:before="2"/>
        <w:ind w:left="940" w:right="943" w:firstLine="0"/>
        <w:jc w:val="center"/>
        <w:rPr>
          <w:rFonts w:ascii="Arial"/>
          <w:b/>
          <w:sz w:val="24"/>
        </w:rPr>
      </w:pPr>
      <w:r>
        <w:rPr>
          <w:rFonts w:ascii="Arial"/>
          <w:b/>
          <w:sz w:val="24"/>
        </w:rPr>
        <w:t>Section 4. - Rescission for </w:t>
      </w:r>
      <w:r>
        <w:rPr>
          <w:rFonts w:ascii="Arial"/>
          <w:b/>
          <w:spacing w:val="-2"/>
          <w:sz w:val="24"/>
        </w:rPr>
        <w:t>Misrepresentation</w:t>
      </w:r>
    </w:p>
    <w:p>
      <w:pPr>
        <w:spacing w:before="194"/>
        <w:ind w:left="3971" w:right="0" w:firstLine="0"/>
        <w:jc w:val="left"/>
        <w:rPr>
          <w:rFonts w:ascii="Arial"/>
          <w:b/>
          <w:sz w:val="24"/>
        </w:rPr>
      </w:pPr>
      <w:r>
        <w:rPr>
          <w:rFonts w:ascii="Arial"/>
          <w:b/>
          <w:sz w:val="24"/>
        </w:rPr>
        <w:t>(a) - </w:t>
      </w:r>
      <w:r>
        <w:rPr>
          <w:rFonts w:ascii="Arial"/>
          <w:b/>
          <w:spacing w:val="-2"/>
          <w:sz w:val="24"/>
        </w:rPr>
        <w:t>General</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pacing w:val="-2"/>
          <w:sz w:val="18"/>
        </w:rPr>
        <w:t>Preliminary</w:t>
      </w:r>
    </w:p>
    <w:p>
      <w:pPr>
        <w:pStyle w:val="BodyText"/>
        <w:spacing w:before="41"/>
        <w:rPr>
          <w:rFonts w:ascii="Arial"/>
          <w:b/>
          <w:sz w:val="18"/>
        </w:rPr>
      </w:pPr>
    </w:p>
    <w:p>
      <w:pPr>
        <w:pStyle w:val="Heading2"/>
        <w:ind w:left="164"/>
      </w:pPr>
      <w:r>
        <w:rPr/>
        <w:t>7-</w:t>
      </w:r>
      <w:r>
        <w:rPr>
          <w:spacing w:val="-5"/>
        </w:rPr>
        <w:t>111</w:t>
      </w:r>
    </w:p>
    <w:p>
      <w:pPr>
        <w:pStyle w:val="BodyText"/>
        <w:spacing w:line="235" w:lineRule="auto" w:before="203"/>
        <w:ind w:left="164" w:right="167"/>
        <w:jc w:val="both"/>
      </w:pPr>
      <w:r>
        <w:rPr/>
        <w:t>Before the passing of the Misrepresentation Act 1967, the position with regard to rescission </w:t>
      </w:r>
      <w:r>
        <w:rPr/>
        <w:t>was, broadly speaking, as follows: where a person was induced to enter into a contract as a result of a misrepresentation by the other party to the contract, and the misrepresentation never became incorporated as a contractual term, the representee was entitled to rescind the contract, whether the misrepresentation was fraudulent, negligent or wholly innocent. At common law, the right to rescind </w:t>
      </w:r>
      <w:bookmarkStart w:name="_bookmark993" w:id="995"/>
      <w:bookmarkEnd w:id="995"/>
      <w:r>
        <w:rPr/>
        <w:t>was</w:t>
      </w:r>
      <w:r>
        <w:rPr/>
        <w:t> confined to cases in which the misrepresentation was fraudulent or in which there was a total </w:t>
      </w:r>
      <w:bookmarkStart w:name="_bookmark994" w:id="996"/>
      <w:bookmarkEnd w:id="996"/>
      <w:r>
        <w:rPr/>
        <w:t>failure</w:t>
      </w:r>
      <w:r>
        <w:rPr/>
        <w:t> of consideration, </w:t>
      </w:r>
      <w:r>
        <w:rPr>
          <w:color w:val="005DA1"/>
          <w:u w:val="single" w:color="005DA1"/>
          <w:vertAlign w:val="superscript"/>
        </w:rPr>
        <w:t>524</w:t>
      </w:r>
      <w:r>
        <w:rPr>
          <w:color w:val="005DA1"/>
          <w:vertAlign w:val="baseline"/>
        </w:rPr>
        <w:t> </w:t>
      </w:r>
      <w:r>
        <w:rPr>
          <w:vertAlign w:val="baseline"/>
        </w:rPr>
        <w:t>but in equity there was a right to rescind even for innocent </w:t>
      </w:r>
      <w:bookmarkStart w:name="_bookmark995" w:id="997"/>
      <w:bookmarkEnd w:id="997"/>
      <w:r>
        <w:rPr>
          <w:vertAlign w:val="baseline"/>
        </w:rPr>
        <w:t>misrepresentation.</w:t>
      </w:r>
      <w:r>
        <w:rPr>
          <w:vertAlign w:val="baseline"/>
        </w:rPr>
        <w:t> </w:t>
      </w:r>
      <w:r>
        <w:rPr>
          <w:color w:val="005DA1"/>
          <w:u w:val="single" w:color="005DA1"/>
          <w:vertAlign w:val="superscript"/>
        </w:rPr>
        <w:t>525</w:t>
      </w:r>
      <w:r>
        <w:rPr>
          <w:color w:val="005DA1"/>
          <w:vertAlign w:val="baseline"/>
        </w:rPr>
        <w:t> </w:t>
      </w:r>
      <w:r>
        <w:rPr>
          <w:vertAlign w:val="baseline"/>
        </w:rPr>
        <w:t>Since the Act of 1967 this right of rescission is qualified (except in cases of </w:t>
      </w:r>
      <w:bookmarkStart w:name="_bookmark996" w:id="998"/>
      <w:bookmarkEnd w:id="998"/>
      <w:r>
        <w:rPr>
          <w:vertAlign w:val="baseline"/>
        </w:rPr>
        <w:t>fraud)</w:t>
      </w:r>
      <w:r>
        <w:rPr>
          <w:vertAlign w:val="baseline"/>
        </w:rPr>
        <w:t> by the court’s power to refuse rescission and award damages in lieu, </w:t>
      </w:r>
      <w:r>
        <w:rPr>
          <w:color w:val="005DA1"/>
          <w:u w:val="single" w:color="005DA1"/>
          <w:vertAlign w:val="superscript"/>
        </w:rPr>
        <w:t>526</w:t>
      </w:r>
      <w:r>
        <w:rPr>
          <w:color w:val="005DA1"/>
          <w:vertAlign w:val="baseline"/>
        </w:rPr>
        <w:t> </w:t>
      </w:r>
      <w:r>
        <w:rPr>
          <w:vertAlign w:val="baseline"/>
        </w:rPr>
        <w:t>and there remain </w:t>
      </w:r>
      <w:bookmarkStart w:name="_bookmark997" w:id="999"/>
      <w:bookmarkEnd w:id="999"/>
      <w:r>
        <w:rPr>
          <w:vertAlign w:val="baseline"/>
        </w:rPr>
        <w:t>certain</w:t>
      </w:r>
      <w:r>
        <w:rPr>
          <w:vertAlign w:val="baseline"/>
        </w:rPr>
        <w:t> bars to rescission in all cases, which are discussed below. </w:t>
      </w:r>
      <w:r>
        <w:rPr>
          <w:color w:val="005DA1"/>
          <w:u w:val="single" w:color="005DA1"/>
          <w:vertAlign w:val="superscript"/>
        </w:rPr>
        <w:t>527</w:t>
      </w:r>
      <w:r>
        <w:rPr>
          <w:color w:val="005DA1"/>
          <w:vertAlign w:val="baseline"/>
        </w:rPr>
        <w:t> </w:t>
      </w:r>
      <w:r>
        <w:rPr>
          <w:vertAlign w:val="baseline"/>
        </w:rPr>
        <w:t>But it still remains a general proposition that the remedy for misrepresentation is rescission of the contract. </w:t>
      </w:r>
      <w:r>
        <w:rPr>
          <w:color w:val="005DA1"/>
          <w:u w:val="single" w:color="005DA1"/>
          <w:vertAlign w:val="superscript"/>
        </w:rPr>
        <w:t>528</w:t>
      </w:r>
    </w:p>
    <w:p>
      <w:pPr>
        <w:pStyle w:val="BodyText"/>
      </w:pPr>
    </w:p>
    <w:p>
      <w:pPr>
        <w:pStyle w:val="BodyText"/>
        <w:spacing w:before="34"/>
      </w:pPr>
    </w:p>
    <w:p>
      <w:pPr>
        <w:spacing w:before="0"/>
        <w:ind w:left="165" w:right="0" w:firstLine="0"/>
        <w:jc w:val="left"/>
        <w:rPr>
          <w:rFonts w:ascii="Arial"/>
          <w:b/>
          <w:sz w:val="18"/>
        </w:rPr>
      </w:pPr>
      <w:r>
        <w:rPr>
          <w:rFonts w:ascii="Arial"/>
          <w:b/>
          <w:sz w:val="18"/>
        </w:rPr>
        <w:t>Misrepresentation incorporated as contractual </w:t>
      </w:r>
      <w:r>
        <w:rPr>
          <w:rFonts w:ascii="Arial"/>
          <w:b/>
          <w:spacing w:val="-4"/>
          <w:sz w:val="18"/>
        </w:rPr>
        <w:t>term</w:t>
      </w:r>
    </w:p>
    <w:p>
      <w:pPr>
        <w:pStyle w:val="BodyText"/>
        <w:spacing w:before="41"/>
        <w:rPr>
          <w:rFonts w:ascii="Arial"/>
          <w:b/>
          <w:sz w:val="18"/>
        </w:rPr>
      </w:pPr>
    </w:p>
    <w:p>
      <w:pPr>
        <w:pStyle w:val="Heading2"/>
        <w:spacing w:before="1"/>
      </w:pPr>
      <w:r>
        <w:rPr/>
        <w:t>7-</w:t>
      </w:r>
      <w:r>
        <w:rPr>
          <w:spacing w:val="-5"/>
        </w:rPr>
        <w:t>112</w:t>
      </w:r>
    </w:p>
    <w:p>
      <w:pPr>
        <w:pStyle w:val="BodyText"/>
        <w:spacing w:line="235" w:lineRule="auto" w:before="202"/>
        <w:ind w:left="164" w:right="167"/>
        <w:jc w:val="both"/>
      </w:pPr>
      <w:r>
        <w:rPr/>
        <w:t>Where the misrepresentation was later incorporated into the contract as a contractual term, </w:t>
      </w:r>
      <w:r>
        <w:rPr/>
        <w:t>the position was in some respects uncertain before the Act of 1967. In cases of fraud, the subsequent incorporation of the misrepresentation into the contract made no difference to the representee’s right to rescind, but in cases of innocent misrepresentation (including, for this purpose, negligent misrepresentation)</w:t>
      </w:r>
      <w:r>
        <w:rPr>
          <w:spacing w:val="-1"/>
        </w:rPr>
        <w:t> </w:t>
      </w:r>
      <w:r>
        <w:rPr/>
        <w:t>the</w:t>
      </w:r>
      <w:r>
        <w:rPr>
          <w:spacing w:val="-1"/>
        </w:rPr>
        <w:t> </w:t>
      </w:r>
      <w:r>
        <w:rPr/>
        <w:t>position</w:t>
      </w:r>
      <w:r>
        <w:rPr>
          <w:spacing w:val="-1"/>
        </w:rPr>
        <w:t> </w:t>
      </w:r>
      <w:r>
        <w:rPr/>
        <w:t>was</w:t>
      </w:r>
      <w:r>
        <w:rPr>
          <w:spacing w:val="-1"/>
        </w:rPr>
        <w:t> </w:t>
      </w:r>
      <w:r>
        <w:rPr/>
        <w:t>different.</w:t>
      </w:r>
      <w:r>
        <w:rPr>
          <w:spacing w:val="-1"/>
        </w:rPr>
        <w:t> </w:t>
      </w:r>
      <w:r>
        <w:rPr/>
        <w:t>For</w:t>
      </w:r>
      <w:r>
        <w:rPr>
          <w:spacing w:val="-1"/>
        </w:rPr>
        <w:t> </w:t>
      </w:r>
      <w:r>
        <w:rPr/>
        <w:t>in</w:t>
      </w:r>
      <w:r>
        <w:rPr>
          <w:spacing w:val="-1"/>
        </w:rPr>
        <w:t> </w:t>
      </w:r>
      <w:r>
        <w:rPr/>
        <w:t>this</w:t>
      </w:r>
      <w:r>
        <w:rPr>
          <w:spacing w:val="-1"/>
        </w:rPr>
        <w:t> </w:t>
      </w:r>
      <w:r>
        <w:rPr/>
        <w:t>case</w:t>
      </w:r>
      <w:r>
        <w:rPr>
          <w:spacing w:val="-1"/>
        </w:rPr>
        <w:t> </w:t>
      </w:r>
      <w:r>
        <w:rPr/>
        <w:t>there</w:t>
      </w:r>
      <w:r>
        <w:rPr>
          <w:spacing w:val="-1"/>
        </w:rPr>
        <w:t> </w:t>
      </w:r>
      <w:r>
        <w:rPr/>
        <w:t>was</w:t>
      </w:r>
      <w:r>
        <w:rPr>
          <w:spacing w:val="-1"/>
        </w:rPr>
        <w:t> </w:t>
      </w:r>
      <w:r>
        <w:rPr/>
        <w:t>some</w:t>
      </w:r>
      <w:r>
        <w:rPr>
          <w:spacing w:val="-1"/>
        </w:rPr>
        <w:t> </w:t>
      </w:r>
      <w:r>
        <w:rPr/>
        <w:t>authority</w:t>
      </w:r>
      <w:r>
        <w:rPr>
          <w:spacing w:val="-1"/>
        </w:rPr>
        <w:t> </w:t>
      </w:r>
      <w:r>
        <w:rPr/>
        <w:t>for</w:t>
      </w:r>
      <w:r>
        <w:rPr>
          <w:spacing w:val="-1"/>
        </w:rPr>
        <w:t> </w:t>
      </w:r>
      <w:r>
        <w:rPr/>
        <w:t>saying</w:t>
      </w:r>
      <w:r>
        <w:rPr>
          <w:spacing w:val="-1"/>
        </w:rPr>
        <w:t> </w:t>
      </w:r>
      <w:r>
        <w:rPr/>
        <w:t>that </w:t>
      </w:r>
      <w:bookmarkStart w:name="_bookmark998" w:id="1000"/>
      <w:bookmarkEnd w:id="1000"/>
      <w:r>
        <w:rPr/>
        <w:t>the</w:t>
      </w:r>
      <w:r>
        <w:rPr/>
        <w:t> equitable right to rescind did not arise, and the representee’s right to rescind (if any) depended entirely on the effect of the misrepresentation as a contractual term. </w:t>
      </w:r>
      <w:r>
        <w:rPr>
          <w:color w:val="005DA1"/>
          <w:u w:val="single" w:color="005DA1"/>
          <w:vertAlign w:val="superscript"/>
        </w:rPr>
        <w:t>529</w:t>
      </w:r>
      <w:r>
        <w:rPr>
          <w:color w:val="005DA1"/>
          <w:vertAlign w:val="baseline"/>
        </w:rPr>
        <w:t> </w:t>
      </w:r>
      <w:r>
        <w:rPr>
          <w:vertAlign w:val="baseline"/>
        </w:rPr>
        <w:t>That is to say, if the term was </w:t>
      </w:r>
      <w:bookmarkStart w:name="_bookmark999" w:id="1001"/>
      <w:bookmarkEnd w:id="1001"/>
      <w:r>
        <w:rPr>
          <w:vertAlign w:val="baseline"/>
        </w:rPr>
        <w:t>a</w:t>
      </w:r>
      <w:r>
        <w:rPr>
          <w:vertAlign w:val="baseline"/>
        </w:rPr>
        <w:t> condition or an innominate term, breach might justify rescission (or, as it would now be more </w:t>
      </w:r>
      <w:bookmarkStart w:name="_bookmark1000" w:id="1002"/>
      <w:bookmarkEnd w:id="1002"/>
      <w:r>
        <w:rPr>
          <w:vertAlign w:val="baseline"/>
        </w:rPr>
        <w:t>appropriately</w:t>
      </w:r>
      <w:r>
        <w:rPr>
          <w:spacing w:val="-4"/>
          <w:vertAlign w:val="baseline"/>
        </w:rPr>
        <w:t> </w:t>
      </w:r>
      <w:r>
        <w:rPr>
          <w:vertAlign w:val="baseline"/>
        </w:rPr>
        <w:t>put,</w:t>
      </w:r>
      <w:r>
        <w:rPr>
          <w:spacing w:val="-4"/>
          <w:vertAlign w:val="baseline"/>
        </w:rPr>
        <w:t> </w:t>
      </w:r>
      <w:r>
        <w:rPr>
          <w:color w:val="005DA1"/>
          <w:u w:val="single" w:color="005DA1"/>
          <w:vertAlign w:val="superscript"/>
        </w:rPr>
        <w:t>530</w:t>
      </w:r>
      <w:r>
        <w:rPr>
          <w:color w:val="005DA1"/>
          <w:spacing w:val="-4"/>
          <w:vertAlign w:val="baseline"/>
        </w:rPr>
        <w:t> </w:t>
      </w:r>
      <w:r>
        <w:rPr>
          <w:vertAlign w:val="baseline"/>
        </w:rPr>
        <w:t>termination</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representee’s</w:t>
      </w:r>
      <w:r>
        <w:rPr>
          <w:spacing w:val="-4"/>
          <w:vertAlign w:val="baseline"/>
        </w:rPr>
        <w:t> </w:t>
      </w:r>
      <w:r>
        <w:rPr>
          <w:vertAlign w:val="baseline"/>
        </w:rPr>
        <w:t>outstanding</w:t>
      </w:r>
      <w:r>
        <w:rPr>
          <w:spacing w:val="-4"/>
          <w:vertAlign w:val="baseline"/>
        </w:rPr>
        <w:t> </w:t>
      </w:r>
      <w:r>
        <w:rPr>
          <w:vertAlign w:val="baseline"/>
        </w:rPr>
        <w:t>obligations)</w:t>
      </w:r>
      <w:r>
        <w:rPr>
          <w:spacing w:val="-4"/>
          <w:vertAlign w:val="baseline"/>
        </w:rPr>
        <w:t> </w:t>
      </w:r>
      <w:r>
        <w:rPr>
          <w:vertAlign w:val="baseline"/>
        </w:rPr>
        <w:t>whereas</w:t>
      </w:r>
      <w:r>
        <w:rPr>
          <w:spacing w:val="-4"/>
          <w:vertAlign w:val="baseline"/>
        </w:rPr>
        <w:t> </w:t>
      </w:r>
      <w:r>
        <w:rPr>
          <w:vertAlign w:val="baseline"/>
        </w:rPr>
        <w:t>if</w:t>
      </w:r>
      <w:r>
        <w:rPr>
          <w:spacing w:val="-4"/>
          <w:vertAlign w:val="baseline"/>
        </w:rPr>
        <w:t> </w:t>
      </w:r>
      <w:r>
        <w:rPr>
          <w:vertAlign w:val="baseline"/>
        </w:rPr>
        <w:t>the</w:t>
      </w:r>
      <w:r>
        <w:rPr>
          <w:spacing w:val="-4"/>
          <w:vertAlign w:val="baseline"/>
        </w:rPr>
        <w:t> </w:t>
      </w:r>
      <w:r>
        <w:rPr>
          <w:vertAlign w:val="baseline"/>
        </w:rPr>
        <w:t>term</w:t>
      </w:r>
      <w:r>
        <w:rPr>
          <w:spacing w:val="-4"/>
          <w:vertAlign w:val="baseline"/>
        </w:rPr>
        <w:t> </w:t>
      </w:r>
      <w:r>
        <w:rPr>
          <w:vertAlign w:val="baseline"/>
        </w:rPr>
        <w:t>was a warranty, breach would not justify rescission at all. </w:t>
      </w:r>
      <w:r>
        <w:rPr>
          <w:color w:val="005DA1"/>
          <w:u w:val="single" w:color="005DA1"/>
          <w:vertAlign w:val="superscript"/>
        </w:rPr>
        <w:t>531</w:t>
      </w:r>
      <w:r>
        <w:rPr>
          <w:color w:val="005DA1"/>
          <w:vertAlign w:val="baseline"/>
        </w:rPr>
        <w:t> </w:t>
      </w:r>
      <w:r>
        <w:rPr>
          <w:vertAlign w:val="baseline"/>
        </w:rPr>
        <w:t>Thus the somewhat strange result followed that a misrepresentation which would have justified rescission as of right by the representee if it had </w:t>
      </w:r>
      <w:bookmarkStart w:name="_bookmark1001" w:id="1003"/>
      <w:bookmarkEnd w:id="1003"/>
      <w:r>
        <w:rPr>
          <w:vertAlign w:val="baseline"/>
        </w:rPr>
        <w:t>remained</w:t>
      </w:r>
      <w:r>
        <w:rPr>
          <w:vertAlign w:val="baseline"/>
        </w:rPr>
        <w:t> a representation pure and simple, might cease to have this effect if it later became incorporated into the contract as a warranty. </w:t>
      </w:r>
      <w:r>
        <w:rPr>
          <w:color w:val="005DA1"/>
          <w:u w:val="single" w:color="005DA1"/>
          <w:vertAlign w:val="superscript"/>
        </w:rPr>
        <w:t>532</w:t>
      </w:r>
    </w:p>
    <w:p>
      <w:pPr>
        <w:pStyle w:val="BodyText"/>
      </w:pPr>
    </w:p>
    <w:p>
      <w:pPr>
        <w:pStyle w:val="BodyText"/>
        <w:spacing w:before="34"/>
      </w:pPr>
    </w:p>
    <w:p>
      <w:pPr>
        <w:spacing w:before="0"/>
        <w:ind w:left="165" w:right="0" w:firstLine="0"/>
        <w:jc w:val="left"/>
        <w:rPr>
          <w:rFonts w:ascii="Arial"/>
          <w:b/>
          <w:sz w:val="18"/>
        </w:rPr>
      </w:pPr>
      <w:r>
        <w:rPr>
          <w:rFonts w:ascii="Arial"/>
          <w:b/>
          <w:sz w:val="18"/>
        </w:rPr>
        <w:t>Misrepresentation Act section </w:t>
      </w:r>
      <w:r>
        <w:rPr>
          <w:rFonts w:ascii="Arial"/>
          <w:b/>
          <w:spacing w:val="-4"/>
          <w:sz w:val="18"/>
        </w:rPr>
        <w:t>1(a)</w:t>
      </w:r>
    </w:p>
    <w:p>
      <w:pPr>
        <w:pStyle w:val="BodyText"/>
        <w:spacing w:before="41"/>
        <w:rPr>
          <w:rFonts w:ascii="Arial"/>
          <w:b/>
          <w:sz w:val="18"/>
        </w:rPr>
      </w:pPr>
    </w:p>
    <w:p>
      <w:pPr>
        <w:pStyle w:val="Heading2"/>
      </w:pPr>
      <w:r>
        <w:rPr/>
        <w:t>7-</w:t>
      </w:r>
      <w:r>
        <w:rPr>
          <w:spacing w:val="-5"/>
        </w:rPr>
        <w:t>113</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80" name="Image 180"/>
            <wp:cNvGraphicFramePr>
              <a:graphicFrameLocks/>
            </wp:cNvGraphicFramePr>
            <a:graphic>
              <a:graphicData uri="http://schemas.openxmlformats.org/drawingml/2006/picture">
                <pic:pic>
                  <pic:nvPicPr>
                    <pic:cNvPr id="180" name="Image 18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6"/>
        </w:rPr>
        <w:t> </w:t>
      </w:r>
      <w:r>
        <w:rPr/>
        <w:t>Section 1(a) of the Act of 1967 provides that a person is not to be deprived of the right to </w:t>
      </w:r>
      <w:r>
        <w:rPr/>
        <w:t>rescind</w:t>
      </w:r>
      <w:r>
        <w:rPr>
          <w:spacing w:val="40"/>
        </w:rPr>
        <w:t> </w:t>
      </w:r>
      <w:r>
        <w:rPr/>
        <w:t>for misrepresentation merely because the representation has become a term of the contract. Thus a misrepresentation</w:t>
      </w:r>
      <w:r>
        <w:rPr>
          <w:spacing w:val="7"/>
        </w:rPr>
        <w:t> </w:t>
      </w:r>
      <w:r>
        <w:rPr/>
        <w:t>which</w:t>
      </w:r>
      <w:r>
        <w:rPr>
          <w:spacing w:val="7"/>
        </w:rPr>
        <w:t> </w:t>
      </w:r>
      <w:r>
        <w:rPr/>
        <w:t>is</w:t>
      </w:r>
      <w:r>
        <w:rPr>
          <w:spacing w:val="7"/>
        </w:rPr>
        <w:t> </w:t>
      </w:r>
      <w:r>
        <w:rPr/>
        <w:t>subsequently</w:t>
      </w:r>
      <w:r>
        <w:rPr>
          <w:spacing w:val="7"/>
        </w:rPr>
        <w:t> </w:t>
      </w:r>
      <w:r>
        <w:rPr/>
        <w:t>incorporated</w:t>
      </w:r>
      <w:r>
        <w:rPr>
          <w:spacing w:val="7"/>
        </w:rPr>
        <w:t> </w:t>
      </w:r>
      <w:r>
        <w:rPr/>
        <w:t>into</w:t>
      </w:r>
      <w:r>
        <w:rPr>
          <w:spacing w:val="7"/>
        </w:rPr>
        <w:t> </w:t>
      </w:r>
      <w:r>
        <w:rPr/>
        <w:t>the</w:t>
      </w:r>
      <w:r>
        <w:rPr>
          <w:spacing w:val="7"/>
        </w:rPr>
        <w:t> </w:t>
      </w:r>
      <w:r>
        <w:rPr/>
        <w:t>contract</w:t>
      </w:r>
      <w:r>
        <w:rPr>
          <w:spacing w:val="7"/>
        </w:rPr>
        <w:t> </w:t>
      </w:r>
      <w:r>
        <w:rPr/>
        <w:t>as</w:t>
      </w:r>
      <w:r>
        <w:rPr>
          <w:spacing w:val="7"/>
        </w:rPr>
        <w:t> </w:t>
      </w:r>
      <w:r>
        <w:rPr/>
        <w:t>a</w:t>
      </w:r>
      <w:r>
        <w:rPr>
          <w:spacing w:val="7"/>
        </w:rPr>
        <w:t> </w:t>
      </w:r>
      <w:r>
        <w:rPr/>
        <w:t>warranty</w:t>
      </w:r>
      <w:r>
        <w:rPr>
          <w:spacing w:val="7"/>
        </w:rPr>
        <w:t> </w:t>
      </w:r>
      <w:r>
        <w:rPr/>
        <w:t>will</w:t>
      </w:r>
      <w:r>
        <w:rPr>
          <w:spacing w:val="7"/>
        </w:rPr>
        <w:t> </w:t>
      </w:r>
      <w:r>
        <w:rPr/>
        <w:t>now</w:t>
      </w:r>
      <w:r>
        <w:rPr>
          <w:spacing w:val="7"/>
        </w:rPr>
        <w:t> </w:t>
      </w:r>
      <w:r>
        <w:rPr>
          <w:spacing w:val="-2"/>
        </w:rPr>
        <w:t>remain</w:t>
      </w:r>
    </w:p>
    <w:p>
      <w:pPr>
        <w:pStyle w:val="BodyText"/>
        <w:spacing w:after="0" w:line="235" w:lineRule="auto"/>
        <w:jc w:val="both"/>
        <w:sectPr>
          <w:headerReference w:type="default" r:id="rId14"/>
          <w:pgSz w:w="11900" w:h="16840"/>
          <w:pgMar w:header="971" w:footer="0" w:top="1160" w:bottom="280" w:left="1275" w:right="1275"/>
          <w:pgNumType w:start="1"/>
        </w:sectPr>
      </w:pPr>
    </w:p>
    <w:p>
      <w:pPr>
        <w:pStyle w:val="BodyText"/>
        <w:spacing w:before="24"/>
      </w:pPr>
    </w:p>
    <w:p>
      <w:pPr>
        <w:pStyle w:val="BodyText"/>
        <w:spacing w:line="235" w:lineRule="auto" w:before="1"/>
        <w:ind w:left="165" w:right="167"/>
        <w:jc w:val="both"/>
      </w:pPr>
      <w:r>
        <w:rPr/>
        <w:t>a ground for rescission, whereas breach of a warranty which has never been a misrepresentation will </w:t>
      </w:r>
      <w:bookmarkStart w:name="_bookmark1002" w:id="1004"/>
      <w:bookmarkEnd w:id="1004"/>
      <w:r>
        <w:rPr/>
        <w:t>never</w:t>
      </w:r>
      <w:r>
        <w:rPr>
          <w:spacing w:val="19"/>
        </w:rPr>
        <w:t> </w:t>
      </w:r>
      <w:r>
        <w:rPr/>
        <w:t>ground</w:t>
      </w:r>
      <w:r>
        <w:rPr>
          <w:spacing w:val="19"/>
        </w:rPr>
        <w:t> </w:t>
      </w:r>
      <w:r>
        <w:rPr/>
        <w:t>rescission.</w:t>
      </w:r>
      <w:r>
        <w:rPr>
          <w:spacing w:val="19"/>
        </w:rPr>
        <w:t> </w:t>
      </w:r>
      <w:r>
        <w:rPr/>
        <w:t>But</w:t>
      </w:r>
      <w:r>
        <w:rPr>
          <w:spacing w:val="19"/>
        </w:rPr>
        <w:t> </w:t>
      </w:r>
      <w:r>
        <w:rPr/>
        <w:t>it</w:t>
      </w:r>
      <w:r>
        <w:rPr>
          <w:spacing w:val="19"/>
        </w:rPr>
        <w:t> </w:t>
      </w:r>
      <w:r>
        <w:rPr/>
        <w:t>is</w:t>
      </w:r>
      <w:r>
        <w:rPr>
          <w:spacing w:val="19"/>
        </w:rPr>
        <w:t> </w:t>
      </w:r>
      <w:r>
        <w:rPr/>
        <w:t>not</w:t>
      </w:r>
      <w:r>
        <w:rPr>
          <w:spacing w:val="19"/>
        </w:rPr>
        <w:t> </w:t>
      </w:r>
      <w:r>
        <w:rPr/>
        <w:t>easy</w:t>
      </w:r>
      <w:r>
        <w:rPr>
          <w:spacing w:val="19"/>
        </w:rPr>
        <w:t> </w:t>
      </w:r>
      <w:r>
        <w:rPr/>
        <w:t>to</w:t>
      </w:r>
      <w:r>
        <w:rPr>
          <w:spacing w:val="19"/>
        </w:rPr>
        <w:t> </w:t>
      </w:r>
      <w:r>
        <w:rPr/>
        <w:t>see</w:t>
      </w:r>
      <w:r>
        <w:rPr>
          <w:spacing w:val="19"/>
        </w:rPr>
        <w:t> </w:t>
      </w:r>
      <w:r>
        <w:rPr/>
        <w:t>how,</w:t>
      </w:r>
      <w:r>
        <w:rPr>
          <w:spacing w:val="19"/>
        </w:rPr>
        <w:t> </w:t>
      </w:r>
      <w:r>
        <w:rPr/>
        <w:t>in</w:t>
      </w:r>
      <w:r>
        <w:rPr>
          <w:spacing w:val="19"/>
        </w:rPr>
        <w:t> </w:t>
      </w:r>
      <w:r>
        <w:rPr/>
        <w:t>fact,</w:t>
      </w:r>
      <w:r>
        <w:rPr>
          <w:spacing w:val="19"/>
        </w:rPr>
        <w:t> </w:t>
      </w:r>
      <w:r>
        <w:rPr/>
        <w:t>a</w:t>
      </w:r>
      <w:r>
        <w:rPr>
          <w:spacing w:val="19"/>
        </w:rPr>
        <w:t> </w:t>
      </w:r>
      <w:r>
        <w:rPr/>
        <w:t>misrepresentation</w:t>
      </w:r>
      <w:r>
        <w:rPr>
          <w:spacing w:val="19"/>
        </w:rPr>
        <w:t> </w:t>
      </w:r>
      <w:r>
        <w:rPr/>
        <w:t>could</w:t>
      </w:r>
      <w:r>
        <w:rPr>
          <w:spacing w:val="19"/>
        </w:rPr>
        <w:t> </w:t>
      </w:r>
      <w:r>
        <w:rPr/>
        <w:t>ever</w:t>
      </w:r>
      <w:r>
        <w:rPr>
          <w:spacing w:val="19"/>
        </w:rPr>
        <w:t> </w:t>
      </w:r>
      <w:r>
        <w:rPr/>
        <w:t>be</w:t>
      </w:r>
      <w:r>
        <w:rPr>
          <w:spacing w:val="19"/>
        </w:rPr>
        <w:t> </w:t>
      </w:r>
      <w:r>
        <w:rPr>
          <w:spacing w:val="-10"/>
        </w:rPr>
        <w:t>a</w:t>
      </w:r>
    </w:p>
    <w:p>
      <w:pPr>
        <w:pStyle w:val="BodyText"/>
        <w:spacing w:line="235" w:lineRule="auto" w:before="119"/>
        <w:ind w:left="165" w:right="167"/>
        <w:jc w:val="both"/>
      </w:pPr>
      <w:r>
        <w:rPr/>
        <w:t>term of the contract except where the term had previously been a representation, </w:t>
      </w:r>
      <w:r>
        <w:rPr>
          <w:color w:val="005DA1"/>
          <w:u w:val="single" w:color="005DA1"/>
          <w:vertAlign w:val="superscript"/>
        </w:rPr>
        <w:t>533</w:t>
      </w:r>
      <w:r>
        <w:rPr>
          <w:color w:val="005DA1"/>
          <w:spacing w:val="80"/>
          <w:vertAlign w:val="baseline"/>
        </w:rPr>
        <w:t> </w:t>
      </w:r>
      <w:r>
        <w:rPr>
          <w:color w:val="005DA1"/>
          <w:spacing w:val="15"/>
          <w:position w:val="-2"/>
          <w:vertAlign w:val="baseline"/>
        </w:rPr>
        <w:drawing>
          <wp:inline distT="0" distB="0" distL="0" distR="0">
            <wp:extent cx="107988" cy="107988"/>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color w:val="005DA1"/>
          <w:spacing w:val="12"/>
          <w:vertAlign w:val="baseline"/>
        </w:rPr>
        <w:t> </w:t>
      </w:r>
      <w:r>
        <w:rPr>
          <w:vertAlign w:val="baseline"/>
        </w:rPr>
        <w:t>though a warranty might, of course, be a promise as to future conduct which would not be a misrepresentation in any event (unless fraudulent).</w:t>
      </w:r>
    </w:p>
    <w:p>
      <w:pPr>
        <w:pStyle w:val="BodyText"/>
      </w:pPr>
    </w:p>
    <w:p>
      <w:pPr>
        <w:pStyle w:val="BodyText"/>
        <w:spacing w:before="37"/>
      </w:pPr>
    </w:p>
    <w:p>
      <w:pPr>
        <w:spacing w:before="0"/>
        <w:ind w:left="165" w:right="0" w:firstLine="0"/>
        <w:jc w:val="left"/>
        <w:rPr>
          <w:rFonts w:ascii="Arial"/>
          <w:b/>
          <w:sz w:val="18"/>
        </w:rPr>
      </w:pPr>
      <w:r>
        <w:rPr>
          <w:rFonts w:ascii="Arial"/>
          <w:b/>
          <w:sz w:val="18"/>
        </w:rPr>
        <w:t>Rescission and </w:t>
      </w:r>
      <w:r>
        <w:rPr>
          <w:rFonts w:ascii="Arial"/>
          <w:b/>
          <w:spacing w:val="-2"/>
          <w:sz w:val="18"/>
        </w:rPr>
        <w:t>termination</w:t>
      </w:r>
    </w:p>
    <w:p>
      <w:pPr>
        <w:pStyle w:val="BodyText"/>
        <w:spacing w:before="42"/>
        <w:rPr>
          <w:rFonts w:ascii="Arial"/>
          <w:b/>
          <w:sz w:val="18"/>
        </w:rPr>
      </w:pPr>
    </w:p>
    <w:p>
      <w:pPr>
        <w:pStyle w:val="Heading2"/>
      </w:pPr>
      <w:r>
        <w:rPr/>
        <w:t>7-</w:t>
      </w:r>
      <w:r>
        <w:rPr>
          <w:spacing w:val="-5"/>
        </w:rPr>
        <w:t>114</w:t>
      </w:r>
    </w:p>
    <w:p>
      <w:pPr>
        <w:pStyle w:val="BodyText"/>
        <w:spacing w:line="235" w:lineRule="auto" w:before="202"/>
        <w:ind w:left="165" w:right="167"/>
        <w:jc w:val="both"/>
      </w:pPr>
      <w:bookmarkStart w:name="_bookmark1003" w:id="1005"/>
      <w:bookmarkEnd w:id="1005"/>
      <w:r>
        <w:rPr/>
      </w:r>
      <w:r>
        <w:rPr/>
        <w:t>Since the decision of the House of Lords in </w:t>
      </w:r>
      <w:r>
        <w:rPr>
          <w:rFonts w:ascii="Arial"/>
          <w:i/>
        </w:rPr>
        <w:t>Johnson v Agnew </w:t>
      </w:r>
      <w:r>
        <w:rPr>
          <w:color w:val="005DA1"/>
          <w:u w:val="single" w:color="005DA1"/>
          <w:vertAlign w:val="superscript"/>
        </w:rPr>
        <w:t>534</w:t>
      </w:r>
      <w:r>
        <w:rPr>
          <w:color w:val="005DA1"/>
          <w:vertAlign w:val="baseline"/>
        </w:rPr>
        <w:t> </w:t>
      </w:r>
      <w:r>
        <w:rPr>
          <w:vertAlign w:val="baseline"/>
        </w:rPr>
        <w:t>a much clearer and sharper distinction has been drawn between rescission of a contract ab initio and termination of the contract for subsequent breach. The former generally has retrospective effect, while the latter does not; indeed, termination usually affects only some of the obligations under the contract and it is strictly incorrect to speak of the contract ceasing to exist through termination. It is clear from </w:t>
      </w:r>
      <w:r>
        <w:rPr>
          <w:rFonts w:ascii="Arial"/>
          <w:i/>
          <w:vertAlign w:val="baseline"/>
        </w:rPr>
        <w:t>Johnson v </w:t>
      </w:r>
      <w:bookmarkStart w:name="_bookmark1004" w:id="1006"/>
      <w:bookmarkEnd w:id="1006"/>
      <w:r>
        <w:rPr>
          <w:rFonts w:ascii="Arial"/>
          <w:i/>
          <w:vertAlign w:val="baseline"/>
        </w:rPr>
        <w:t>Agnew</w:t>
      </w:r>
      <w:r>
        <w:rPr>
          <w:rFonts w:ascii="Arial"/>
          <w:i/>
          <w:vertAlign w:val="baseline"/>
        </w:rPr>
        <w:t> </w:t>
      </w:r>
      <w:r>
        <w:rPr>
          <w:vertAlign w:val="baseline"/>
        </w:rPr>
        <w:t>itself that rescission for fraud is rescission ab initio, and will therefore prima facie have retrospective effect, though it has already been submitted </w:t>
      </w:r>
      <w:r>
        <w:rPr>
          <w:color w:val="005DA1"/>
          <w:u w:val="single" w:color="005DA1"/>
          <w:vertAlign w:val="superscript"/>
        </w:rPr>
        <w:t>535</w:t>
      </w:r>
      <w:r>
        <w:rPr>
          <w:color w:val="005DA1"/>
          <w:vertAlign w:val="baseline"/>
        </w:rPr>
        <w:t> </w:t>
      </w:r>
      <w:r>
        <w:rPr>
          <w:vertAlign w:val="baseline"/>
        </w:rPr>
        <w:t>that such rescission will not deprive </w:t>
      </w:r>
      <w:r>
        <w:rPr>
          <w:vertAlign w:val="baseline"/>
        </w:rPr>
        <w:t>the representee of a right to damages for fraud, because that right arises in tort, and not out of the contract. Where s.1(a) of the Act of 1967 applies, it seems that the representee retains his right to rescind ab initio, but may in addition have a right to terminate for breach of the one-time representation, now become a term of the contract. Problems may well arise in deciding whether a refusal to continue with the contract in such circumstances amounts to a rescission or only a termination. It has been held that where a variation of a contract has been induced by fraud, the </w:t>
      </w:r>
      <w:bookmarkStart w:name="_bookmark1005" w:id="1007"/>
      <w:bookmarkEnd w:id="1007"/>
      <w:r>
        <w:rPr>
          <w:vertAlign w:val="baseline"/>
        </w:rPr>
        <w:t>innocent</w:t>
      </w:r>
      <w:r>
        <w:rPr>
          <w:vertAlign w:val="baseline"/>
        </w:rPr>
        <w:t> party may rescind the variation ab initio, with the effect that the original contract is retrospectively revived. </w:t>
      </w:r>
      <w:r>
        <w:rPr>
          <w:color w:val="005DA1"/>
          <w:u w:val="single" w:color="005DA1"/>
          <w:vertAlign w:val="superscript"/>
        </w:rPr>
        <w:t>536</w:t>
      </w:r>
    </w:p>
    <w:p>
      <w:pPr>
        <w:pStyle w:val="BodyText"/>
      </w:pPr>
    </w:p>
    <w:p>
      <w:pPr>
        <w:pStyle w:val="BodyText"/>
        <w:spacing w:before="33"/>
      </w:pPr>
    </w:p>
    <w:p>
      <w:pPr>
        <w:spacing w:before="0"/>
        <w:ind w:left="165" w:right="0" w:firstLine="0"/>
        <w:jc w:val="left"/>
        <w:rPr>
          <w:rFonts w:ascii="Arial"/>
          <w:b/>
          <w:sz w:val="18"/>
        </w:rPr>
      </w:pPr>
      <w:r>
        <w:rPr>
          <w:rFonts w:ascii="Arial"/>
          <w:b/>
          <w:sz w:val="18"/>
        </w:rPr>
        <w:t>Present </w:t>
      </w:r>
      <w:r>
        <w:rPr>
          <w:rFonts w:ascii="Arial"/>
          <w:b/>
          <w:spacing w:val="-2"/>
          <w:sz w:val="18"/>
        </w:rPr>
        <w:t>position</w:t>
      </w:r>
    </w:p>
    <w:p>
      <w:pPr>
        <w:pStyle w:val="BodyText"/>
        <w:spacing w:before="42"/>
        <w:rPr>
          <w:rFonts w:ascii="Arial"/>
          <w:b/>
          <w:sz w:val="18"/>
        </w:rPr>
      </w:pPr>
    </w:p>
    <w:p>
      <w:pPr>
        <w:pStyle w:val="Heading2"/>
      </w:pPr>
      <w:r>
        <w:rPr/>
        <w:t>7-</w:t>
      </w:r>
      <w:r>
        <w:rPr>
          <w:spacing w:val="-5"/>
        </w:rPr>
        <w:t>115</w:t>
      </w:r>
    </w:p>
    <w:p>
      <w:pPr>
        <w:pStyle w:val="BodyText"/>
        <w:spacing w:line="235" w:lineRule="auto" w:before="202"/>
        <w:ind w:left="164" w:right="167"/>
        <w:jc w:val="both"/>
      </w:pPr>
      <w:r>
        <w:rPr/>
        <w:t>The right to rescind for fraudulent misrepresentation is unimpaired by the Misrepresentation Act, </w:t>
      </w:r>
      <w:r>
        <w:rPr/>
        <w:t>but </w:t>
      </w:r>
      <w:bookmarkStart w:name="_bookmark1006" w:id="1008"/>
      <w:bookmarkEnd w:id="1008"/>
      <w:r>
        <w:rPr/>
        <w:t>there</w:t>
      </w:r>
      <w:r>
        <w:rPr/>
        <w:t> is no longer any absolute right to rescind for negligent or innocent misrepresentation. Section 2(2) of the Act (which has been set out above) </w:t>
      </w:r>
      <w:r>
        <w:rPr>
          <w:color w:val="005DA1"/>
          <w:u w:val="single" w:color="005DA1"/>
          <w:vertAlign w:val="superscript"/>
        </w:rPr>
        <w:t>537</w:t>
      </w:r>
      <w:r>
        <w:rPr>
          <w:color w:val="005DA1"/>
          <w:vertAlign w:val="baseline"/>
        </w:rPr>
        <w:t> </w:t>
      </w:r>
      <w:r>
        <w:rPr>
          <w:vertAlign w:val="baseline"/>
        </w:rPr>
        <w:t>provides that the court now has a discretion to award damages in lieu of rescission wherever it is of the opinion that it would be equitable to do so, having regard to the nature of the misrepresentation and the loss that would be caused by it if the contract were upheld, as well as to the loss that rescission would cause the other party. It has already </w:t>
      </w:r>
      <w:bookmarkStart w:name="_bookmark1007" w:id="1009"/>
      <w:bookmarkEnd w:id="1009"/>
      <w:r>
        <w:rPr>
          <w:vertAlign w:val="baseline"/>
        </w:rPr>
        <w:t>been</w:t>
      </w:r>
      <w:r>
        <w:rPr>
          <w:vertAlign w:val="baseline"/>
        </w:rPr>
        <w:t> observed that this is a wide discretion, and the court is not confined to a consideration of whether damages would be an adequate remedy to the representee. </w:t>
      </w:r>
      <w:r>
        <w:rPr>
          <w:color w:val="005DA1"/>
          <w:u w:val="single" w:color="005DA1"/>
          <w:vertAlign w:val="superscript"/>
        </w:rPr>
        <w:t>538</w:t>
      </w:r>
    </w:p>
    <w:p>
      <w:pPr>
        <w:pStyle w:val="BodyText"/>
      </w:pPr>
    </w:p>
    <w:p>
      <w:pPr>
        <w:pStyle w:val="BodyText"/>
        <w:spacing w:before="36"/>
      </w:pPr>
    </w:p>
    <w:p>
      <w:pPr>
        <w:spacing w:before="0"/>
        <w:ind w:left="165" w:right="0" w:firstLine="0"/>
        <w:jc w:val="left"/>
        <w:rPr>
          <w:rFonts w:ascii="Arial"/>
          <w:b/>
          <w:sz w:val="18"/>
        </w:rPr>
      </w:pPr>
      <w:r>
        <w:rPr>
          <w:rFonts w:ascii="Arial"/>
          <w:b/>
          <w:sz w:val="18"/>
        </w:rPr>
        <w:t>Effect on right to terminate for </w:t>
      </w:r>
      <w:r>
        <w:rPr>
          <w:rFonts w:ascii="Arial"/>
          <w:b/>
          <w:spacing w:val="-2"/>
          <w:sz w:val="18"/>
        </w:rPr>
        <w:t>breach</w:t>
      </w:r>
    </w:p>
    <w:p>
      <w:pPr>
        <w:pStyle w:val="BodyText"/>
        <w:spacing w:before="41"/>
        <w:rPr>
          <w:rFonts w:ascii="Arial"/>
          <w:b/>
          <w:sz w:val="18"/>
        </w:rPr>
      </w:pPr>
    </w:p>
    <w:p>
      <w:pPr>
        <w:pStyle w:val="Heading2"/>
      </w:pPr>
      <w:r>
        <w:rPr/>
        <w:t>7-</w:t>
      </w:r>
      <w:r>
        <w:rPr>
          <w:spacing w:val="-5"/>
        </w:rPr>
        <w:t>116</w:t>
      </w:r>
    </w:p>
    <w:p>
      <w:pPr>
        <w:pStyle w:val="BodyText"/>
        <w:spacing w:line="235" w:lineRule="auto" w:before="203"/>
        <w:ind w:left="165" w:right="167"/>
        <w:jc w:val="both"/>
      </w:pPr>
      <w:r>
        <w:rPr/>
        <w:t>There is one point of possible difficulty on the construction of s.2(2) of the Act. As mentioned above, it is</w:t>
      </w:r>
      <w:r>
        <w:rPr>
          <w:spacing w:val="-1"/>
        </w:rPr>
        <w:t> </w:t>
      </w:r>
      <w:r>
        <w:rPr/>
        <w:t>clear</w:t>
      </w:r>
      <w:r>
        <w:rPr>
          <w:spacing w:val="-1"/>
        </w:rPr>
        <w:t> </w:t>
      </w:r>
      <w:r>
        <w:rPr/>
        <w:t>from</w:t>
      </w:r>
      <w:r>
        <w:rPr>
          <w:spacing w:val="-1"/>
        </w:rPr>
        <w:t> </w:t>
      </w:r>
      <w:r>
        <w:rPr/>
        <w:t>s.1(a)</w:t>
      </w:r>
      <w:r>
        <w:rPr>
          <w:spacing w:val="-1"/>
        </w:rPr>
        <w:t> </w:t>
      </w:r>
      <w:r>
        <w:rPr/>
        <w:t>of</w:t>
      </w:r>
      <w:r>
        <w:rPr>
          <w:spacing w:val="-1"/>
        </w:rPr>
        <w:t> </w:t>
      </w:r>
      <w:r>
        <w:rPr/>
        <w:t>the</w:t>
      </w:r>
      <w:r>
        <w:rPr>
          <w:spacing w:val="-1"/>
        </w:rPr>
        <w:t> </w:t>
      </w:r>
      <w:r>
        <w:rPr/>
        <w:t>Act</w:t>
      </w:r>
      <w:r>
        <w:rPr>
          <w:spacing w:val="-1"/>
        </w:rPr>
        <w:t> </w:t>
      </w:r>
      <w:r>
        <w:rPr/>
        <w:t>that</w:t>
      </w:r>
      <w:r>
        <w:rPr>
          <w:spacing w:val="-1"/>
        </w:rPr>
        <w:t> </w:t>
      </w:r>
      <w:r>
        <w:rPr/>
        <w:t>(subject</w:t>
      </w:r>
      <w:r>
        <w:rPr>
          <w:spacing w:val="-1"/>
        </w:rPr>
        <w:t> </w:t>
      </w:r>
      <w:r>
        <w:rPr/>
        <w:t>to</w:t>
      </w:r>
      <w:r>
        <w:rPr>
          <w:spacing w:val="-1"/>
        </w:rPr>
        <w:t> </w:t>
      </w:r>
      <w:r>
        <w:rPr/>
        <w:t>the</w:t>
      </w:r>
      <w:r>
        <w:rPr>
          <w:spacing w:val="-1"/>
        </w:rPr>
        <w:t> </w:t>
      </w:r>
      <w:r>
        <w:rPr/>
        <w:t>court’s</w:t>
      </w:r>
      <w:r>
        <w:rPr>
          <w:spacing w:val="-1"/>
        </w:rPr>
        <w:t> </w:t>
      </w:r>
      <w:r>
        <w:rPr/>
        <w:t>discretion</w:t>
      </w:r>
      <w:r>
        <w:rPr>
          <w:spacing w:val="-1"/>
        </w:rPr>
        <w:t> </w:t>
      </w:r>
      <w:r>
        <w:rPr/>
        <w:t>under</w:t>
      </w:r>
      <w:r>
        <w:rPr>
          <w:spacing w:val="-1"/>
        </w:rPr>
        <w:t> </w:t>
      </w:r>
      <w:r>
        <w:rPr/>
        <w:t>s.2(2))</w:t>
      </w:r>
      <w:r>
        <w:rPr>
          <w:spacing w:val="-1"/>
        </w:rPr>
        <w:t> </w:t>
      </w:r>
      <w:r>
        <w:rPr/>
        <w:t>there</w:t>
      </w:r>
      <w:r>
        <w:rPr>
          <w:spacing w:val="-1"/>
        </w:rPr>
        <w:t> </w:t>
      </w:r>
      <w:r>
        <w:rPr/>
        <w:t>is</w:t>
      </w:r>
      <w:r>
        <w:rPr>
          <w:spacing w:val="-1"/>
        </w:rPr>
        <w:t> </w:t>
      </w:r>
      <w:r>
        <w:rPr/>
        <w:t>now</w:t>
      </w:r>
      <w:r>
        <w:rPr>
          <w:spacing w:val="-1"/>
        </w:rPr>
        <w:t> </w:t>
      </w:r>
      <w:r>
        <w:rPr/>
        <w:t>a</w:t>
      </w:r>
      <w:r>
        <w:rPr>
          <w:spacing w:val="-1"/>
        </w:rPr>
        <w:t> </w:t>
      </w:r>
      <w:r>
        <w:rPr/>
        <w:t>right</w:t>
      </w:r>
      <w:r>
        <w:rPr>
          <w:spacing w:val="-1"/>
        </w:rPr>
        <w:t> </w:t>
      </w:r>
      <w:r>
        <w:rPr/>
        <w:t>to rescind</w:t>
      </w:r>
      <w:r>
        <w:rPr>
          <w:spacing w:val="-1"/>
        </w:rPr>
        <w:t> </w:t>
      </w:r>
      <w:r>
        <w:rPr/>
        <w:t>for</w:t>
      </w:r>
      <w:r>
        <w:rPr>
          <w:spacing w:val="-1"/>
        </w:rPr>
        <w:t> </w:t>
      </w:r>
      <w:r>
        <w:rPr/>
        <w:t>any</w:t>
      </w:r>
      <w:r>
        <w:rPr>
          <w:spacing w:val="-1"/>
        </w:rPr>
        <w:t> </w:t>
      </w:r>
      <w:r>
        <w:rPr/>
        <w:t>misrepresentation</w:t>
      </w:r>
      <w:r>
        <w:rPr>
          <w:spacing w:val="-1"/>
        </w:rPr>
        <w:t> </w:t>
      </w:r>
      <w:r>
        <w:rPr/>
        <w:t>made</w:t>
      </w:r>
      <w:r>
        <w:rPr>
          <w:spacing w:val="-1"/>
        </w:rPr>
        <w:t> </w:t>
      </w:r>
      <w:r>
        <w:rPr/>
        <w:t>before</w:t>
      </w:r>
      <w:r>
        <w:rPr>
          <w:spacing w:val="-1"/>
        </w:rPr>
        <w:t> </w:t>
      </w:r>
      <w:r>
        <w:rPr/>
        <w:t>the</w:t>
      </w:r>
      <w:r>
        <w:rPr>
          <w:spacing w:val="-1"/>
        </w:rPr>
        <w:t> </w:t>
      </w:r>
      <w:r>
        <w:rPr/>
        <w:t>contract</w:t>
      </w:r>
      <w:r>
        <w:rPr>
          <w:spacing w:val="-1"/>
        </w:rPr>
        <w:t> </w:t>
      </w:r>
      <w:r>
        <w:rPr/>
        <w:t>was</w:t>
      </w:r>
      <w:r>
        <w:rPr>
          <w:spacing w:val="-1"/>
        </w:rPr>
        <w:t> </w:t>
      </w:r>
      <w:r>
        <w:rPr/>
        <w:t>entered</w:t>
      </w:r>
      <w:r>
        <w:rPr>
          <w:spacing w:val="-1"/>
        </w:rPr>
        <w:t> </w:t>
      </w:r>
      <w:r>
        <w:rPr/>
        <w:t>into,</w:t>
      </w:r>
      <w:r>
        <w:rPr>
          <w:spacing w:val="-1"/>
        </w:rPr>
        <w:t> </w:t>
      </w:r>
      <w:r>
        <w:rPr/>
        <w:t>notwithstanding</w:t>
      </w:r>
      <w:r>
        <w:rPr>
          <w:spacing w:val="-1"/>
        </w:rPr>
        <w:t> </w:t>
      </w:r>
      <w:r>
        <w:rPr/>
        <w:t>that</w:t>
      </w:r>
      <w:r>
        <w:rPr>
          <w:spacing w:val="-1"/>
        </w:rPr>
        <w:t> </w:t>
      </w:r>
      <w:r>
        <w:rPr/>
        <w:t>the misrepresentation has become a term of the contract. But what is not wholly clear is whether, when this happens, any right to terminate for breach of contract also becomes subject to the discretion of the court under subs.(2). There are many circumstances in which a person has a right to terminate a contract for breach of condition, in which no loss has in fact been incurred by him, and a case could be made for saying that, where the term is a representation of fact, the court now has a discretion to </w:t>
      </w:r>
      <w:bookmarkStart w:name="_bookmark1008" w:id="1010"/>
      <w:bookmarkEnd w:id="1010"/>
      <w:r>
        <w:rPr/>
        <w:t>refuse</w:t>
      </w:r>
      <w:r>
        <w:rPr/>
        <w:t> to permit repudiation, but to award damages in lieu—indeed, the damages might well be nominal.</w:t>
      </w:r>
      <w:r>
        <w:rPr>
          <w:spacing w:val="-3"/>
        </w:rPr>
        <w:t> </w:t>
      </w:r>
      <w:r>
        <w:rPr>
          <w:color w:val="005DA1"/>
          <w:u w:val="single" w:color="005DA1"/>
          <w:vertAlign w:val="superscript"/>
        </w:rPr>
        <w:t>539</w:t>
      </w:r>
      <w:r>
        <w:rPr>
          <w:color w:val="005DA1"/>
          <w:spacing w:val="-3"/>
          <w:vertAlign w:val="baseline"/>
        </w:rPr>
        <w:t> </w:t>
      </w:r>
      <w:r>
        <w:rPr>
          <w:vertAlign w:val="baseline"/>
        </w:rPr>
        <w:t>On</w:t>
      </w:r>
      <w:r>
        <w:rPr>
          <w:spacing w:val="-3"/>
          <w:vertAlign w:val="baseline"/>
        </w:rPr>
        <w:t> </w:t>
      </w:r>
      <w:r>
        <w:rPr>
          <w:vertAlign w:val="baseline"/>
        </w:rPr>
        <w:t>the</w:t>
      </w:r>
      <w:r>
        <w:rPr>
          <w:spacing w:val="-3"/>
          <w:vertAlign w:val="baseline"/>
        </w:rPr>
        <w:t> </w:t>
      </w:r>
      <w:r>
        <w:rPr>
          <w:vertAlign w:val="baseline"/>
        </w:rPr>
        <w:t>other</w:t>
      </w:r>
      <w:r>
        <w:rPr>
          <w:spacing w:val="-3"/>
          <w:vertAlign w:val="baseline"/>
        </w:rPr>
        <w:t> </w:t>
      </w:r>
      <w:r>
        <w:rPr>
          <w:vertAlign w:val="baseline"/>
        </w:rPr>
        <w:t>hand,</w:t>
      </w:r>
      <w:r>
        <w:rPr>
          <w:spacing w:val="-3"/>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unlikely</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subsection</w:t>
      </w:r>
      <w:r>
        <w:rPr>
          <w:spacing w:val="-3"/>
          <w:vertAlign w:val="baseline"/>
        </w:rPr>
        <w:t> </w:t>
      </w:r>
      <w:r>
        <w:rPr>
          <w:vertAlign w:val="baseline"/>
        </w:rPr>
        <w:t>was</w:t>
      </w:r>
      <w:r>
        <w:rPr>
          <w:spacing w:val="-3"/>
          <w:vertAlign w:val="baseline"/>
        </w:rPr>
        <w:t> </w:t>
      </w:r>
      <w:r>
        <w:rPr>
          <w:vertAlign w:val="baseline"/>
        </w:rPr>
        <w:t>intended</w:t>
      </w:r>
      <w:r>
        <w:rPr>
          <w:spacing w:val="-3"/>
          <w:vertAlign w:val="baseline"/>
        </w:rPr>
        <w:t> </w:t>
      </w:r>
      <w:r>
        <w:rPr>
          <w:vertAlign w:val="baseline"/>
        </w:rPr>
        <w:t>to</w:t>
      </w:r>
      <w:r>
        <w:rPr>
          <w:spacing w:val="-3"/>
          <w:vertAlign w:val="baseline"/>
        </w:rPr>
        <w:t> </w:t>
      </w:r>
      <w:r>
        <w:rPr>
          <w:vertAlign w:val="baseline"/>
        </w:rPr>
        <w:t>have</w:t>
      </w:r>
      <w:r>
        <w:rPr>
          <w:spacing w:val="-3"/>
          <w:vertAlign w:val="baseline"/>
        </w:rPr>
        <w:t> </w:t>
      </w:r>
      <w:r>
        <w:rPr>
          <w:vertAlign w:val="baseline"/>
        </w:rPr>
        <w:t>this</w:t>
      </w:r>
      <w:r>
        <w:rPr>
          <w:spacing w:val="-3"/>
          <w:vertAlign w:val="baseline"/>
        </w:rPr>
        <w:t> </w:t>
      </w:r>
      <w:r>
        <w:rPr>
          <w:vertAlign w:val="baseline"/>
        </w:rPr>
        <w:t>effect,</w:t>
      </w:r>
      <w:r>
        <w:rPr>
          <w:spacing w:val="-3"/>
          <w:vertAlign w:val="baseline"/>
        </w:rPr>
        <w:t> </w:t>
      </w:r>
      <w:r>
        <w:rPr>
          <w:vertAlign w:val="baseline"/>
        </w:rPr>
        <w:t>and</w:t>
      </w:r>
      <w:r>
        <w:rPr>
          <w:spacing w:val="-3"/>
          <w:vertAlign w:val="baseline"/>
        </w:rPr>
        <w:t> </w:t>
      </w:r>
      <w:r>
        <w:rPr>
          <w:vertAlign w:val="baseline"/>
        </w:rPr>
        <w:t>it is submitted that the words: “[w]here a person … would be entitled by reason of the</w:t>
      </w:r>
      <w:r>
        <w:rPr>
          <w:spacing w:val="40"/>
          <w:vertAlign w:val="baseline"/>
        </w:rPr>
        <w:t> </w:t>
      </w:r>
      <w:bookmarkStart w:name="_bookmark1009" w:id="1011"/>
      <w:bookmarkEnd w:id="1011"/>
      <w:r>
        <w:rPr>
          <w:vertAlign w:val="baseline"/>
        </w:rPr>
        <w:t>misrepresentation,</w:t>
      </w:r>
      <w:r>
        <w:rPr>
          <w:vertAlign w:val="baseline"/>
        </w:rPr>
        <w:t> to rescind the contract” would exclude the case under discussion since the right to rescind (or terminate </w:t>
      </w:r>
      <w:r>
        <w:rPr>
          <w:color w:val="005DA1"/>
          <w:u w:val="single" w:color="005DA1"/>
          <w:vertAlign w:val="superscript"/>
        </w:rPr>
        <w:t>540</w:t>
      </w:r>
      <w:r>
        <w:rPr>
          <w:vertAlign w:val="baseline"/>
        </w:rPr>
        <w:t>) then arises from breach of the contractual term. But whatever the answer to this</w:t>
      </w:r>
      <w:r>
        <w:rPr>
          <w:spacing w:val="30"/>
          <w:vertAlign w:val="baseline"/>
        </w:rPr>
        <w:t> </w:t>
      </w:r>
      <w:r>
        <w:rPr>
          <w:vertAlign w:val="baseline"/>
        </w:rPr>
        <w:t>point</w:t>
      </w:r>
      <w:r>
        <w:rPr>
          <w:spacing w:val="30"/>
          <w:vertAlign w:val="baseline"/>
        </w:rPr>
        <w:t> </w:t>
      </w:r>
      <w:r>
        <w:rPr>
          <w:vertAlign w:val="baseline"/>
        </w:rPr>
        <w:t>may</w:t>
      </w:r>
      <w:r>
        <w:rPr>
          <w:spacing w:val="30"/>
          <w:vertAlign w:val="baseline"/>
        </w:rPr>
        <w:t> </w:t>
      </w:r>
      <w:r>
        <w:rPr>
          <w:vertAlign w:val="baseline"/>
        </w:rPr>
        <w:t>be,</w:t>
      </w:r>
      <w:r>
        <w:rPr>
          <w:spacing w:val="30"/>
          <w:vertAlign w:val="baseline"/>
        </w:rPr>
        <w:t> </w:t>
      </w:r>
      <w:r>
        <w:rPr>
          <w:vertAlign w:val="baseline"/>
        </w:rPr>
        <w:t>it</w:t>
      </w:r>
      <w:r>
        <w:rPr>
          <w:spacing w:val="30"/>
          <w:vertAlign w:val="baseline"/>
        </w:rPr>
        <w:t> </w:t>
      </w:r>
      <w:r>
        <w:rPr>
          <w:vertAlign w:val="baseline"/>
        </w:rPr>
        <w:t>is</w:t>
      </w:r>
      <w:r>
        <w:rPr>
          <w:spacing w:val="30"/>
          <w:vertAlign w:val="baseline"/>
        </w:rPr>
        <w:t> </w:t>
      </w:r>
      <w:r>
        <w:rPr>
          <w:vertAlign w:val="baseline"/>
        </w:rPr>
        <w:t>at</w:t>
      </w:r>
      <w:r>
        <w:rPr>
          <w:spacing w:val="30"/>
          <w:vertAlign w:val="baseline"/>
        </w:rPr>
        <w:t> </w:t>
      </w:r>
      <w:r>
        <w:rPr>
          <w:vertAlign w:val="baseline"/>
        </w:rPr>
        <w:t>least</w:t>
      </w:r>
      <w:r>
        <w:rPr>
          <w:spacing w:val="30"/>
          <w:vertAlign w:val="baseline"/>
        </w:rPr>
        <w:t> </w:t>
      </w:r>
      <w:r>
        <w:rPr>
          <w:vertAlign w:val="baseline"/>
        </w:rPr>
        <w:t>clear</w:t>
      </w:r>
      <w:r>
        <w:rPr>
          <w:spacing w:val="30"/>
          <w:vertAlign w:val="baseline"/>
        </w:rPr>
        <w:t> </w:t>
      </w:r>
      <w:r>
        <w:rPr>
          <w:vertAlign w:val="baseline"/>
        </w:rPr>
        <w:t>that</w:t>
      </w:r>
      <w:r>
        <w:rPr>
          <w:spacing w:val="30"/>
          <w:vertAlign w:val="baseline"/>
        </w:rPr>
        <w:t> </w:t>
      </w:r>
      <w:r>
        <w:rPr>
          <w:vertAlign w:val="baseline"/>
        </w:rPr>
        <w:t>subs.(2)</w:t>
      </w:r>
      <w:r>
        <w:rPr>
          <w:spacing w:val="30"/>
          <w:vertAlign w:val="baseline"/>
        </w:rPr>
        <w:t> </w:t>
      </w:r>
      <w:r>
        <w:rPr>
          <w:vertAlign w:val="baseline"/>
        </w:rPr>
        <w:t>would</w:t>
      </w:r>
      <w:r>
        <w:rPr>
          <w:spacing w:val="30"/>
          <w:vertAlign w:val="baseline"/>
        </w:rPr>
        <w:t> </w:t>
      </w:r>
      <w:r>
        <w:rPr>
          <w:vertAlign w:val="baseline"/>
        </w:rPr>
        <w:t>not</w:t>
      </w:r>
      <w:r>
        <w:rPr>
          <w:spacing w:val="30"/>
          <w:vertAlign w:val="baseline"/>
        </w:rPr>
        <w:t> </w:t>
      </w:r>
      <w:r>
        <w:rPr>
          <w:vertAlign w:val="baseline"/>
        </w:rPr>
        <w:t>affect</w:t>
      </w:r>
      <w:r>
        <w:rPr>
          <w:spacing w:val="30"/>
          <w:vertAlign w:val="baseline"/>
        </w:rPr>
        <w:t> </w:t>
      </w:r>
      <w:r>
        <w:rPr>
          <w:vertAlign w:val="baseline"/>
        </w:rPr>
        <w:t>a</w:t>
      </w:r>
      <w:r>
        <w:rPr>
          <w:spacing w:val="30"/>
          <w:vertAlign w:val="baseline"/>
        </w:rPr>
        <w:t> </w:t>
      </w:r>
      <w:r>
        <w:rPr>
          <w:vertAlign w:val="baseline"/>
        </w:rPr>
        <w:t>right</w:t>
      </w:r>
      <w:r>
        <w:rPr>
          <w:spacing w:val="30"/>
          <w:vertAlign w:val="baseline"/>
        </w:rPr>
        <w:t> </w:t>
      </w:r>
      <w:r>
        <w:rPr>
          <w:vertAlign w:val="baseline"/>
        </w:rPr>
        <w:t>to</w:t>
      </w:r>
      <w:r>
        <w:rPr>
          <w:spacing w:val="30"/>
          <w:vertAlign w:val="baseline"/>
        </w:rPr>
        <w:t> </w:t>
      </w:r>
      <w:r>
        <w:rPr>
          <w:vertAlign w:val="baseline"/>
        </w:rPr>
        <w:t>treat</w:t>
      </w:r>
      <w:r>
        <w:rPr>
          <w:spacing w:val="30"/>
          <w:vertAlign w:val="baseline"/>
        </w:rPr>
        <w:t> </w:t>
      </w:r>
      <w:r>
        <w:rPr>
          <w:vertAlign w:val="baseline"/>
        </w:rPr>
        <w:t>the</w:t>
      </w:r>
      <w:r>
        <w:rPr>
          <w:spacing w:val="30"/>
          <w:vertAlign w:val="baseline"/>
        </w:rPr>
        <w:t> </w:t>
      </w:r>
      <w:r>
        <w:rPr>
          <w:vertAlign w:val="baseline"/>
        </w:rPr>
        <w:t>contract</w:t>
      </w:r>
      <w:r>
        <w:rPr>
          <w:spacing w:val="30"/>
          <w:vertAlign w:val="baseline"/>
        </w:rPr>
        <w:t> </w:t>
      </w:r>
      <w:r>
        <w:rPr>
          <w:spacing w:val="-5"/>
          <w:vertAlign w:val="baseline"/>
        </w:rPr>
        <w:t>as</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r>
        <w:rPr/>
        <w:t>terminated</w:t>
      </w:r>
      <w:r>
        <w:rPr>
          <w:spacing w:val="-1"/>
        </w:rPr>
        <w:t> </w:t>
      </w:r>
      <w:r>
        <w:rPr/>
        <w:t>for</w:t>
      </w:r>
      <w:r>
        <w:rPr>
          <w:spacing w:val="-1"/>
        </w:rPr>
        <w:t> </w:t>
      </w:r>
      <w:r>
        <w:rPr/>
        <w:t>breach</w:t>
      </w:r>
      <w:r>
        <w:rPr>
          <w:spacing w:val="-1"/>
        </w:rPr>
        <w:t> </w:t>
      </w:r>
      <w:r>
        <w:rPr/>
        <w:t>of</w:t>
      </w:r>
      <w:r>
        <w:rPr>
          <w:spacing w:val="-1"/>
        </w:rPr>
        <w:t> </w:t>
      </w:r>
      <w:r>
        <w:rPr/>
        <w:t>a</w:t>
      </w:r>
      <w:r>
        <w:rPr>
          <w:spacing w:val="-1"/>
        </w:rPr>
        <w:t> </w:t>
      </w:r>
      <w:r>
        <w:rPr/>
        <w:t>contractual</w:t>
      </w:r>
      <w:r>
        <w:rPr>
          <w:spacing w:val="-1"/>
        </w:rPr>
        <w:t> </w:t>
      </w:r>
      <w:r>
        <w:rPr/>
        <w:t>term</w:t>
      </w:r>
      <w:r>
        <w:rPr>
          <w:spacing w:val="-1"/>
        </w:rPr>
        <w:t> </w:t>
      </w:r>
      <w:r>
        <w:rPr/>
        <w:t>which</w:t>
      </w:r>
      <w:r>
        <w:rPr>
          <w:spacing w:val="-1"/>
        </w:rPr>
        <w:t> </w:t>
      </w:r>
      <w:r>
        <w:rPr/>
        <w:t>was</w:t>
      </w:r>
      <w:r>
        <w:rPr>
          <w:spacing w:val="-1"/>
        </w:rPr>
        <w:t> </w:t>
      </w:r>
      <w:r>
        <w:rPr/>
        <w:t>a</w:t>
      </w:r>
      <w:r>
        <w:rPr>
          <w:spacing w:val="-1"/>
        </w:rPr>
        <w:t> </w:t>
      </w:r>
      <w:r>
        <w:rPr/>
        <w:t>promise</w:t>
      </w:r>
      <w:r>
        <w:rPr>
          <w:spacing w:val="-1"/>
        </w:rPr>
        <w:t> </w:t>
      </w:r>
      <w:r>
        <w:rPr/>
        <w:t>of</w:t>
      </w:r>
      <w:r>
        <w:rPr>
          <w:spacing w:val="-1"/>
        </w:rPr>
        <w:t> </w:t>
      </w:r>
      <w:r>
        <w:rPr/>
        <w:t>future</w:t>
      </w:r>
      <w:r>
        <w:rPr>
          <w:spacing w:val="-1"/>
        </w:rPr>
        <w:t> </w:t>
      </w:r>
      <w:r>
        <w:rPr/>
        <w:t>conduct;</w:t>
      </w:r>
      <w:r>
        <w:rPr>
          <w:spacing w:val="-1"/>
        </w:rPr>
        <w:t> </w:t>
      </w:r>
      <w:r>
        <w:rPr/>
        <w:t>nor</w:t>
      </w:r>
      <w:r>
        <w:rPr>
          <w:spacing w:val="-1"/>
        </w:rPr>
        <w:t> </w:t>
      </w:r>
      <w:r>
        <w:rPr/>
        <w:t>for</w:t>
      </w:r>
      <w:r>
        <w:rPr>
          <w:spacing w:val="-1"/>
        </w:rPr>
        <w:t> </w:t>
      </w:r>
      <w:r>
        <w:rPr/>
        <w:t>a</w:t>
      </w:r>
      <w:r>
        <w:rPr>
          <w:spacing w:val="-1"/>
        </w:rPr>
        <w:t> </w:t>
      </w:r>
      <w:r>
        <w:rPr/>
        <w:t>breach</w:t>
      </w:r>
      <w:r>
        <w:rPr>
          <w:spacing w:val="-1"/>
        </w:rPr>
        <w:t> </w:t>
      </w:r>
      <w:r>
        <w:rPr/>
        <w:t>of a contractual term which was an undertaking as to fact but which was never made before the contract was entered into.</w:t>
      </w:r>
    </w:p>
    <w:p>
      <w:pPr>
        <w:pStyle w:val="BodyText"/>
      </w:pPr>
    </w:p>
    <w:p>
      <w:pPr>
        <w:pStyle w:val="BodyText"/>
        <w:spacing w:before="37"/>
      </w:pPr>
    </w:p>
    <w:p>
      <w:pPr>
        <w:spacing w:before="0"/>
        <w:ind w:left="165" w:right="0" w:firstLine="0"/>
        <w:jc w:val="both"/>
        <w:rPr>
          <w:rFonts w:ascii="Arial"/>
          <w:b/>
          <w:sz w:val="18"/>
        </w:rPr>
      </w:pPr>
      <w:r>
        <w:rPr>
          <w:rFonts w:ascii="Arial"/>
          <w:b/>
          <w:sz w:val="18"/>
        </w:rPr>
        <w:t>Misrepresentation as defence to </w:t>
      </w:r>
      <w:r>
        <w:rPr>
          <w:rFonts w:ascii="Arial"/>
          <w:b/>
          <w:spacing w:val="-2"/>
          <w:sz w:val="18"/>
        </w:rPr>
        <w:t>proceedings</w:t>
      </w:r>
    </w:p>
    <w:p>
      <w:pPr>
        <w:pStyle w:val="BodyText"/>
        <w:spacing w:before="41"/>
        <w:rPr>
          <w:rFonts w:ascii="Arial"/>
          <w:b/>
          <w:sz w:val="18"/>
        </w:rPr>
      </w:pPr>
    </w:p>
    <w:p>
      <w:pPr>
        <w:pStyle w:val="Heading2"/>
        <w:spacing w:before="1"/>
      </w:pPr>
      <w:r>
        <w:rPr/>
        <w:t>7-</w:t>
      </w:r>
      <w:r>
        <w:rPr>
          <w:spacing w:val="-5"/>
        </w:rPr>
        <w:t>117</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There is no doubt that a misrepresentation which would justify rescission of a contract may also </w:t>
      </w:r>
      <w:r>
        <w:rPr/>
        <w:t>be used as a defence to an action brought by the representor against the representee. The use of </w:t>
      </w:r>
      <w:bookmarkStart w:name="_bookmark1010" w:id="1012"/>
      <w:bookmarkEnd w:id="1012"/>
      <w:r>
        <w:rPr/>
        <w:t>misrepresentation</w:t>
      </w:r>
      <w:r>
        <w:rPr>
          <w:spacing w:val="43"/>
        </w:rPr>
        <w:t> </w:t>
      </w:r>
      <w:r>
        <w:rPr/>
        <w:t>as</w:t>
      </w:r>
      <w:r>
        <w:rPr>
          <w:spacing w:val="43"/>
        </w:rPr>
        <w:t> </w:t>
      </w:r>
      <w:r>
        <w:rPr/>
        <w:t>a</w:t>
      </w:r>
      <w:r>
        <w:rPr>
          <w:spacing w:val="43"/>
        </w:rPr>
        <w:t> </w:t>
      </w:r>
      <w:r>
        <w:rPr/>
        <w:t>defence</w:t>
      </w:r>
      <w:r>
        <w:rPr>
          <w:spacing w:val="43"/>
        </w:rPr>
        <w:t> </w:t>
      </w:r>
      <w:r>
        <w:rPr/>
        <w:t>has</w:t>
      </w:r>
      <w:r>
        <w:rPr>
          <w:spacing w:val="43"/>
        </w:rPr>
        <w:t> </w:t>
      </w:r>
      <w:r>
        <w:rPr/>
        <w:t>sometimes</w:t>
      </w:r>
      <w:r>
        <w:rPr>
          <w:spacing w:val="43"/>
        </w:rPr>
        <w:t> </w:t>
      </w:r>
      <w:r>
        <w:rPr/>
        <w:t>been</w:t>
      </w:r>
      <w:r>
        <w:rPr>
          <w:spacing w:val="43"/>
        </w:rPr>
        <w:t> </w:t>
      </w:r>
      <w:r>
        <w:rPr/>
        <w:t>distinguished</w:t>
      </w:r>
      <w:r>
        <w:rPr>
          <w:spacing w:val="43"/>
        </w:rPr>
        <w:t> </w:t>
      </w:r>
      <w:r>
        <w:rPr/>
        <w:t>from</w:t>
      </w:r>
      <w:r>
        <w:rPr>
          <w:spacing w:val="43"/>
        </w:rPr>
        <w:t> </w:t>
      </w:r>
      <w:r>
        <w:rPr/>
        <w:t>its</w:t>
      </w:r>
      <w:r>
        <w:rPr>
          <w:spacing w:val="43"/>
        </w:rPr>
        <w:t> </w:t>
      </w:r>
      <w:r>
        <w:rPr/>
        <w:t>use</w:t>
      </w:r>
      <w:r>
        <w:rPr>
          <w:spacing w:val="43"/>
        </w:rPr>
        <w:t> </w:t>
      </w:r>
      <w:r>
        <w:rPr/>
        <w:t>as</w:t>
      </w:r>
      <w:r>
        <w:rPr>
          <w:spacing w:val="43"/>
        </w:rPr>
        <w:t> </w:t>
      </w:r>
      <w:r>
        <w:rPr/>
        <w:t>a</w:t>
      </w:r>
      <w:r>
        <w:rPr>
          <w:spacing w:val="43"/>
        </w:rPr>
        <w:t> </w:t>
      </w:r>
      <w:r>
        <w:rPr/>
        <w:t>ground</w:t>
      </w:r>
      <w:r>
        <w:rPr>
          <w:spacing w:val="43"/>
        </w:rPr>
        <w:t> </w:t>
      </w:r>
      <w:r>
        <w:rPr>
          <w:spacing w:val="-5"/>
        </w:rPr>
        <w:t>for</w:t>
      </w:r>
    </w:p>
    <w:p>
      <w:pPr>
        <w:pStyle w:val="BodyText"/>
        <w:spacing w:line="235" w:lineRule="auto" w:before="119"/>
        <w:ind w:left="164" w:right="167"/>
        <w:jc w:val="both"/>
      </w:pPr>
      <w:bookmarkStart w:name="_bookmark1011" w:id="1013"/>
      <w:bookmarkEnd w:id="1013"/>
      <w:r>
        <w:rPr/>
      </w:r>
      <w:r>
        <w:rPr/>
        <w:t>rescission, </w:t>
      </w:r>
      <w:r>
        <w:rPr>
          <w:color w:val="005DA1"/>
          <w:u w:val="single" w:color="005DA1"/>
          <w:vertAlign w:val="superscript"/>
        </w:rPr>
        <w:t>541</w:t>
      </w:r>
      <w:r>
        <w:rPr>
          <w:color w:val="005DA1"/>
          <w:spacing w:val="80"/>
          <w:vertAlign w:val="baseline"/>
        </w:rPr>
        <w:t> </w:t>
      </w:r>
      <w:r>
        <w:rPr>
          <w:color w:val="005DA1"/>
          <w:spacing w:val="-10"/>
          <w:position w:val="-2"/>
          <w:vertAlign w:val="baseline"/>
        </w:rPr>
        <w:drawing>
          <wp:inline distT="0" distB="0" distL="0" distR="0">
            <wp:extent cx="107988" cy="107988"/>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color w:val="005DA1"/>
          <w:vertAlign w:val="baseline"/>
        </w:rPr>
        <w:t> </w:t>
      </w:r>
      <w:r>
        <w:rPr>
          <w:vertAlign w:val="baseline"/>
        </w:rPr>
        <w:t>and it is possible that the principles governing the two situations are not in </w:t>
      </w:r>
      <w:r>
        <w:rPr>
          <w:vertAlign w:val="baseline"/>
        </w:rPr>
        <w:t>all respects identical </w:t>
      </w:r>
      <w:r>
        <w:rPr>
          <w:color w:val="005DA1"/>
          <w:u w:val="single" w:color="005DA1"/>
          <w:vertAlign w:val="superscript"/>
        </w:rPr>
        <w:t>542</w:t>
      </w:r>
      <w:r>
        <w:rPr>
          <w:color w:val="005DA1"/>
          <w:vertAlign w:val="baseline"/>
        </w:rPr>
        <w:t> </w:t>
      </w:r>
      <w:r>
        <w:rPr>
          <w:vertAlign w:val="baseline"/>
        </w:rPr>
        <w:t>but generally speaking they appear to be the same. Indeed, the courts have </w:t>
      </w:r>
      <w:bookmarkStart w:name="_bookmark1012" w:id="1014"/>
      <w:bookmarkEnd w:id="1014"/>
      <w:r>
        <w:rPr>
          <w:vertAlign w:val="baseline"/>
        </w:rPr>
        <w:t>sometimes</w:t>
      </w:r>
      <w:r>
        <w:rPr>
          <w:spacing w:val="-1"/>
          <w:vertAlign w:val="baseline"/>
        </w:rPr>
        <w:t> </w:t>
      </w:r>
      <w:r>
        <w:rPr>
          <w:vertAlign w:val="baseline"/>
        </w:rPr>
        <w:t>treated</w:t>
      </w:r>
      <w:r>
        <w:rPr>
          <w:spacing w:val="-1"/>
          <w:vertAlign w:val="baseline"/>
        </w:rPr>
        <w:t> </w:t>
      </w:r>
      <w:r>
        <w:rPr>
          <w:vertAlign w:val="baseline"/>
        </w:rPr>
        <w:t>the</w:t>
      </w:r>
      <w:r>
        <w:rPr>
          <w:spacing w:val="-1"/>
          <w:vertAlign w:val="baseline"/>
        </w:rPr>
        <w:t> </w:t>
      </w:r>
      <w:r>
        <w:rPr>
          <w:vertAlign w:val="baseline"/>
        </w:rPr>
        <w:t>setting</w:t>
      </w:r>
      <w:r>
        <w:rPr>
          <w:spacing w:val="-1"/>
          <w:vertAlign w:val="baseline"/>
        </w:rPr>
        <w:t> </w:t>
      </w:r>
      <w:r>
        <w:rPr>
          <w:vertAlign w:val="baseline"/>
        </w:rPr>
        <w:t>up</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misrepresentation</w:t>
      </w:r>
      <w:r>
        <w:rPr>
          <w:spacing w:val="-1"/>
          <w:vertAlign w:val="baseline"/>
        </w:rPr>
        <w:t> </w:t>
      </w:r>
      <w:r>
        <w:rPr>
          <w:vertAlign w:val="baseline"/>
        </w:rPr>
        <w:t>as</w:t>
      </w:r>
      <w:r>
        <w:rPr>
          <w:spacing w:val="-1"/>
          <w:vertAlign w:val="baseline"/>
        </w:rPr>
        <w:t> </w:t>
      </w:r>
      <w:r>
        <w:rPr>
          <w:vertAlign w:val="baseline"/>
        </w:rPr>
        <w:t>a</w:t>
      </w:r>
      <w:r>
        <w:rPr>
          <w:spacing w:val="-1"/>
          <w:vertAlign w:val="baseline"/>
        </w:rPr>
        <w:t> </w:t>
      </w:r>
      <w:r>
        <w:rPr>
          <w:vertAlign w:val="baseline"/>
        </w:rPr>
        <w:t>defence</w:t>
      </w:r>
      <w:r>
        <w:rPr>
          <w:spacing w:val="-1"/>
          <w:vertAlign w:val="baseline"/>
        </w:rPr>
        <w:t> </w:t>
      </w:r>
      <w:r>
        <w:rPr>
          <w:vertAlign w:val="baseline"/>
        </w:rPr>
        <w:t>as</w:t>
      </w:r>
      <w:r>
        <w:rPr>
          <w:spacing w:val="-1"/>
          <w:vertAlign w:val="baseline"/>
        </w:rPr>
        <w:t> </w:t>
      </w:r>
      <w:r>
        <w:rPr>
          <w:vertAlign w:val="baseline"/>
        </w:rPr>
        <w:t>though</w:t>
      </w:r>
      <w:r>
        <w:rPr>
          <w:spacing w:val="-1"/>
          <w:vertAlign w:val="baseline"/>
        </w:rPr>
        <w:t> </w:t>
      </w:r>
      <w:r>
        <w:rPr>
          <w:vertAlign w:val="baseline"/>
        </w:rPr>
        <w:t>this</w:t>
      </w:r>
      <w:r>
        <w:rPr>
          <w:spacing w:val="-1"/>
          <w:vertAlign w:val="baseline"/>
        </w:rPr>
        <w:t> </w:t>
      </w:r>
      <w:r>
        <w:rPr>
          <w:vertAlign w:val="baseline"/>
        </w:rPr>
        <w:t>were</w:t>
      </w:r>
      <w:r>
        <w:rPr>
          <w:spacing w:val="-1"/>
          <w:vertAlign w:val="baseline"/>
        </w:rPr>
        <w:t> </w:t>
      </w:r>
      <w:r>
        <w:rPr>
          <w:vertAlign w:val="baseline"/>
        </w:rPr>
        <w:t>in</w:t>
      </w:r>
      <w:r>
        <w:rPr>
          <w:spacing w:val="-1"/>
          <w:vertAlign w:val="baseline"/>
        </w:rPr>
        <w:t> </w:t>
      </w:r>
      <w:r>
        <w:rPr>
          <w:vertAlign w:val="baseline"/>
        </w:rPr>
        <w:t>itself</w:t>
      </w:r>
      <w:r>
        <w:rPr>
          <w:spacing w:val="-1"/>
          <w:vertAlign w:val="baseline"/>
        </w:rPr>
        <w:t> </w:t>
      </w:r>
      <w:r>
        <w:rPr>
          <w:vertAlign w:val="baseline"/>
        </w:rPr>
        <w:t>one way of rescinding the contract. </w:t>
      </w:r>
      <w:r>
        <w:rPr>
          <w:color w:val="005DA1"/>
          <w:u w:val="single" w:color="005DA1"/>
          <w:vertAlign w:val="superscript"/>
        </w:rPr>
        <w:t>543</w:t>
      </w:r>
      <w:r>
        <w:rPr>
          <w:color w:val="005DA1"/>
          <w:vertAlign w:val="baseline"/>
        </w:rPr>
        <w:t> </w:t>
      </w:r>
      <w:r>
        <w:rPr>
          <w:vertAlign w:val="baseline"/>
        </w:rPr>
        <w:t>Accordingly, it is thought that although s.2(2) of the 1967 Act speaks of rescission, its provisions would apply equally to a case in which the misrepresentation is</w:t>
      </w:r>
      <w:r>
        <w:rPr>
          <w:spacing w:val="80"/>
          <w:vertAlign w:val="baseline"/>
        </w:rPr>
        <w:t> </w:t>
      </w:r>
      <w:bookmarkStart w:name="_bookmark1013" w:id="1015"/>
      <w:bookmarkEnd w:id="1015"/>
      <w:r>
        <w:rPr>
          <w:vertAlign w:val="baseline"/>
        </w:rPr>
        <w:t>set</w:t>
      </w:r>
      <w:r>
        <w:rPr>
          <w:vertAlign w:val="baseline"/>
        </w:rPr>
        <w:t> up by way of defence. However, fraud may be used as a defence to a claim for specific performance (which is a discretionary remedy </w:t>
      </w:r>
      <w:r>
        <w:rPr>
          <w:color w:val="005DA1"/>
          <w:u w:val="single" w:color="005DA1"/>
          <w:vertAlign w:val="superscript"/>
        </w:rPr>
        <w:t>544</w:t>
      </w:r>
      <w:r>
        <w:rPr>
          <w:vertAlign w:val="baseline"/>
        </w:rPr>
        <w:t>) even where the right to rescind has been lost (save </w:t>
      </w:r>
      <w:bookmarkStart w:name="_bookmark1014" w:id="1016"/>
      <w:bookmarkEnd w:id="1016"/>
      <w:r>
        <w:rPr>
          <w:vertAlign w:val="baseline"/>
        </w:rPr>
        <w:t>by</w:t>
      </w:r>
      <w:r>
        <w:rPr>
          <w:vertAlign w:val="baseline"/>
        </w:rPr>
        <w:t> affirmation, when the inconsistency of affirming and then resisting specific performance would be unconscionable). </w:t>
      </w:r>
      <w:r>
        <w:rPr>
          <w:color w:val="005DA1"/>
          <w:u w:val="single" w:color="005DA1"/>
          <w:vertAlign w:val="superscript"/>
        </w:rPr>
        <w:t>545</w:t>
      </w:r>
      <w:r>
        <w:rPr>
          <w:color w:val="005DA1"/>
          <w:vertAlign w:val="baseline"/>
        </w:rPr>
        <w:t> </w:t>
      </w:r>
      <w:r>
        <w:rPr>
          <w:vertAlign w:val="baseline"/>
        </w:rPr>
        <w:t>It was said that impossibility of restoring the parties to their original position will not necessarily prevent the use of fraud as a defence; it will depend on the impact that enforcement would have on the representee, and especially on whether it would cause hardship, whether on the </w:t>
      </w:r>
      <w:bookmarkStart w:name="_bookmark1015" w:id="1017"/>
      <w:bookmarkEnd w:id="1017"/>
      <w:r>
        <w:rPr>
          <w:vertAlign w:val="baseline"/>
        </w:rPr>
        <w:t>facts</w:t>
      </w:r>
      <w:r>
        <w:rPr>
          <w:vertAlign w:val="baseline"/>
        </w:rPr>
        <w:t> any estoppel had arisen and the importance of the term to be enforced and the breach of it. The fact that there would be a claim for damages for deceit should be taken into account. </w:t>
      </w:r>
      <w:r>
        <w:rPr>
          <w:color w:val="005DA1"/>
          <w:u w:val="single" w:color="005DA1"/>
          <w:vertAlign w:val="superscript"/>
        </w:rPr>
        <w:t>546</w:t>
      </w:r>
    </w:p>
    <w:p>
      <w:pPr>
        <w:pStyle w:val="BodyText"/>
      </w:pPr>
    </w:p>
    <w:p>
      <w:pPr>
        <w:pStyle w:val="BodyText"/>
        <w:spacing w:before="34"/>
      </w:pPr>
    </w:p>
    <w:p>
      <w:pPr>
        <w:spacing w:before="0"/>
        <w:ind w:left="165" w:right="0" w:firstLine="0"/>
        <w:jc w:val="both"/>
        <w:rPr>
          <w:rFonts w:ascii="Arial"/>
          <w:b/>
          <w:sz w:val="18"/>
        </w:rPr>
      </w:pPr>
      <w:r>
        <w:rPr>
          <w:rFonts w:ascii="Arial"/>
          <w:b/>
          <w:sz w:val="18"/>
        </w:rPr>
        <w:t>Rescission normally requires </w:t>
      </w:r>
      <w:r>
        <w:rPr>
          <w:rFonts w:ascii="Arial"/>
          <w:b/>
          <w:spacing w:val="-2"/>
          <w:sz w:val="18"/>
        </w:rPr>
        <w:t>notice</w:t>
      </w:r>
    </w:p>
    <w:p>
      <w:pPr>
        <w:pStyle w:val="BodyText"/>
        <w:spacing w:before="41"/>
        <w:rPr>
          <w:rFonts w:ascii="Arial"/>
          <w:b/>
          <w:sz w:val="18"/>
        </w:rPr>
      </w:pPr>
    </w:p>
    <w:p>
      <w:pPr>
        <w:pStyle w:val="Heading2"/>
      </w:pPr>
      <w:r>
        <w:rPr/>
        <w:t>7-</w:t>
      </w:r>
      <w:r>
        <w:rPr>
          <w:spacing w:val="-5"/>
        </w:rPr>
        <w:t>118</w:t>
      </w:r>
    </w:p>
    <w:p>
      <w:pPr>
        <w:pStyle w:val="BodyText"/>
        <w:spacing w:line="235" w:lineRule="auto" w:before="203"/>
        <w:ind w:left="165" w:right="167"/>
        <w:jc w:val="both"/>
      </w:pPr>
      <w:bookmarkStart w:name="_bookmark1016" w:id="1018"/>
      <w:bookmarkEnd w:id="1018"/>
      <w:r>
        <w:rPr/>
      </w:r>
      <w:r>
        <w:rPr/>
        <w:t>The general rule is that, in order to rescind the contract, the representee must communicate </w:t>
      </w:r>
      <w:r>
        <w:rPr/>
        <w:t>his intention to do so to the representor. </w:t>
      </w:r>
      <w:r>
        <w:rPr>
          <w:color w:val="005DA1"/>
          <w:u w:val="single" w:color="005DA1"/>
          <w:vertAlign w:val="superscript"/>
        </w:rPr>
        <w:t>547</w:t>
      </w:r>
      <w:r>
        <w:rPr>
          <w:color w:val="005DA1"/>
          <w:vertAlign w:val="baseline"/>
        </w:rPr>
        <w:t> </w:t>
      </w:r>
      <w:r>
        <w:rPr>
          <w:vertAlign w:val="baseline"/>
        </w:rPr>
        <w:t>But in </w:t>
      </w:r>
      <w:r>
        <w:rPr>
          <w:rFonts w:ascii="Arial" w:hAnsi="Arial"/>
          <w:i/>
          <w:vertAlign w:val="baseline"/>
        </w:rPr>
        <w:t>Car &amp; Universal Finance Co Ltd v Caldwell </w:t>
      </w:r>
      <w:r>
        <w:rPr>
          <w:color w:val="005DA1"/>
          <w:u w:val="single" w:color="005DA1"/>
          <w:vertAlign w:val="superscript"/>
        </w:rPr>
        <w:t>548</w:t>
      </w:r>
      <w:r>
        <w:rPr>
          <w:color w:val="005DA1"/>
          <w:vertAlign w:val="baseline"/>
        </w:rPr>
        <w:t> </w:t>
      </w:r>
      <w:r>
        <w:rPr>
          <w:vertAlign w:val="baseline"/>
        </w:rPr>
        <w:t>it was held by the Court of Appeal that this was not an inflexible rule. In this case a person was induced to sell</w:t>
      </w:r>
      <w:r>
        <w:rPr>
          <w:spacing w:val="-1"/>
          <w:vertAlign w:val="baseline"/>
        </w:rPr>
        <w:t> </w:t>
      </w:r>
      <w:r>
        <w:rPr>
          <w:vertAlign w:val="baseline"/>
        </w:rPr>
        <w:t>his</w:t>
      </w:r>
      <w:r>
        <w:rPr>
          <w:spacing w:val="-1"/>
          <w:vertAlign w:val="baseline"/>
        </w:rPr>
        <w:t> </w:t>
      </w:r>
      <w:r>
        <w:rPr>
          <w:vertAlign w:val="baseline"/>
        </w:rPr>
        <w:t>car</w:t>
      </w:r>
      <w:r>
        <w:rPr>
          <w:spacing w:val="-1"/>
          <w:vertAlign w:val="baseline"/>
        </w:rPr>
        <w:t> </w:t>
      </w:r>
      <w:r>
        <w:rPr>
          <w:vertAlign w:val="baseline"/>
        </w:rPr>
        <w:t>by</w:t>
      </w:r>
      <w:r>
        <w:rPr>
          <w:spacing w:val="-1"/>
          <w:vertAlign w:val="baseline"/>
        </w:rPr>
        <w:t> </w:t>
      </w:r>
      <w:r>
        <w:rPr>
          <w:vertAlign w:val="baseline"/>
        </w:rPr>
        <w:t>fraud</w:t>
      </w:r>
      <w:r>
        <w:rPr>
          <w:spacing w:val="-1"/>
          <w:vertAlign w:val="baseline"/>
        </w:rPr>
        <w:t> </w:t>
      </w:r>
      <w:r>
        <w:rPr>
          <w:vertAlign w:val="baseline"/>
        </w:rPr>
        <w:t>to</w:t>
      </w:r>
      <w:r>
        <w:rPr>
          <w:spacing w:val="-1"/>
          <w:vertAlign w:val="baseline"/>
        </w:rPr>
        <w:t> </w:t>
      </w:r>
      <w:r>
        <w:rPr>
          <w:vertAlign w:val="baseline"/>
        </w:rPr>
        <w:t>a</w:t>
      </w:r>
      <w:r>
        <w:rPr>
          <w:spacing w:val="-1"/>
          <w:vertAlign w:val="baseline"/>
        </w:rPr>
        <w:t> </w:t>
      </w:r>
      <w:r>
        <w:rPr>
          <w:vertAlign w:val="baseline"/>
        </w:rPr>
        <w:t>purchaser</w:t>
      </w:r>
      <w:r>
        <w:rPr>
          <w:spacing w:val="-1"/>
          <w:vertAlign w:val="baseline"/>
        </w:rPr>
        <w:t> </w:t>
      </w:r>
      <w:r>
        <w:rPr>
          <w:vertAlign w:val="baseline"/>
        </w:rPr>
        <w:t>who</w:t>
      </w:r>
      <w:r>
        <w:rPr>
          <w:spacing w:val="-1"/>
          <w:vertAlign w:val="baseline"/>
        </w:rPr>
        <w:t> </w:t>
      </w:r>
      <w:r>
        <w:rPr>
          <w:vertAlign w:val="baseline"/>
        </w:rPr>
        <w:t>paid</w:t>
      </w:r>
      <w:r>
        <w:rPr>
          <w:spacing w:val="-1"/>
          <w:vertAlign w:val="baseline"/>
        </w:rPr>
        <w:t> </w:t>
      </w:r>
      <w:r>
        <w:rPr>
          <w:vertAlign w:val="baseline"/>
        </w:rPr>
        <w:t>with</w:t>
      </w:r>
      <w:r>
        <w:rPr>
          <w:spacing w:val="-1"/>
          <w:vertAlign w:val="baseline"/>
        </w:rPr>
        <w:t> </w:t>
      </w:r>
      <w:r>
        <w:rPr>
          <w:vertAlign w:val="baseline"/>
        </w:rPr>
        <w:t>a</w:t>
      </w:r>
      <w:r>
        <w:rPr>
          <w:spacing w:val="-1"/>
          <w:vertAlign w:val="baseline"/>
        </w:rPr>
        <w:t> </w:t>
      </w:r>
      <w:r>
        <w:rPr>
          <w:vertAlign w:val="baseline"/>
        </w:rPr>
        <w:t>bad</w:t>
      </w:r>
      <w:r>
        <w:rPr>
          <w:spacing w:val="-1"/>
          <w:vertAlign w:val="baseline"/>
        </w:rPr>
        <w:t> </w:t>
      </w:r>
      <w:r>
        <w:rPr>
          <w:vertAlign w:val="baseline"/>
        </w:rPr>
        <w:t>cheque,</w:t>
      </w:r>
      <w:r>
        <w:rPr>
          <w:spacing w:val="-1"/>
          <w:vertAlign w:val="baseline"/>
        </w:rPr>
        <w:t> </w:t>
      </w:r>
      <w:r>
        <w:rPr>
          <w:vertAlign w:val="baseline"/>
        </w:rPr>
        <w:t>and</w:t>
      </w:r>
      <w:r>
        <w:rPr>
          <w:spacing w:val="-1"/>
          <w:vertAlign w:val="baseline"/>
        </w:rPr>
        <w:t> </w:t>
      </w:r>
      <w:r>
        <w:rPr>
          <w:vertAlign w:val="baseline"/>
        </w:rPr>
        <w:t>promptly</w:t>
      </w:r>
      <w:r>
        <w:rPr>
          <w:spacing w:val="-1"/>
          <w:vertAlign w:val="baseline"/>
        </w:rPr>
        <w:t> </w:t>
      </w:r>
      <w:r>
        <w:rPr>
          <w:vertAlign w:val="baseline"/>
        </w:rPr>
        <w:t>disappeared.</w:t>
      </w:r>
      <w:r>
        <w:rPr>
          <w:spacing w:val="-1"/>
          <w:vertAlign w:val="baseline"/>
        </w:rPr>
        <w:t> </w:t>
      </w:r>
      <w:r>
        <w:rPr>
          <w:vertAlign w:val="baseline"/>
        </w:rPr>
        <w:t>When</w:t>
      </w:r>
      <w:r>
        <w:rPr>
          <w:spacing w:val="-1"/>
          <w:vertAlign w:val="baseline"/>
        </w:rPr>
        <w:t> </w:t>
      </w:r>
      <w:r>
        <w:rPr>
          <w:vertAlign w:val="baseline"/>
        </w:rPr>
        <w:t>the seller discovered the fraud he informed the police and the Automobile Association, but was, of</w:t>
      </w:r>
      <w:r>
        <w:rPr>
          <w:spacing w:val="80"/>
          <w:vertAlign w:val="baseline"/>
        </w:rPr>
        <w:t> </w:t>
      </w:r>
      <w:r>
        <w:rPr>
          <w:vertAlign w:val="baseline"/>
        </w:rPr>
        <w:t>course, unable to notify the fraudulent purchaser. It was held that the seller had done sufficient to rescind the contract, and that accordingly a subsequent purchaser from the fraudulent party had acquired no title to the car, as the title had revested in the seller on rescission. The actual ratio of the decision seems confined to circumstances in which communication of the representee’s desire to rescind is not possible because the representor is deliberately keeping out of the way, and the court left open the question whether the decision would apply to a case where the impossibility of communication did not arise from the representor’s deliberate fraud.</w:t>
      </w:r>
    </w:p>
    <w:p>
      <w:pPr>
        <w:pStyle w:val="BodyText"/>
      </w:pPr>
    </w:p>
    <w:p>
      <w:pPr>
        <w:pStyle w:val="BodyText"/>
        <w:spacing w:before="34"/>
      </w:pPr>
    </w:p>
    <w:p>
      <w:pPr>
        <w:spacing w:before="0"/>
        <w:ind w:left="165" w:right="0" w:firstLine="0"/>
        <w:jc w:val="left"/>
        <w:rPr>
          <w:rFonts w:ascii="Arial"/>
          <w:b/>
          <w:sz w:val="18"/>
        </w:rPr>
      </w:pPr>
      <w:r>
        <w:rPr>
          <w:rFonts w:ascii="Arial"/>
          <w:b/>
          <w:sz w:val="18"/>
        </w:rPr>
        <w:t>Court order not </w:t>
      </w:r>
      <w:r>
        <w:rPr>
          <w:rFonts w:ascii="Arial"/>
          <w:b/>
          <w:spacing w:val="-2"/>
          <w:sz w:val="18"/>
        </w:rPr>
        <w:t>required</w:t>
      </w:r>
    </w:p>
    <w:p>
      <w:pPr>
        <w:pStyle w:val="BodyText"/>
        <w:spacing w:before="41"/>
        <w:rPr>
          <w:rFonts w:ascii="Arial"/>
          <w:b/>
          <w:sz w:val="18"/>
        </w:rPr>
      </w:pPr>
    </w:p>
    <w:p>
      <w:pPr>
        <w:pStyle w:val="Heading2"/>
      </w:pPr>
      <w:r>
        <w:rPr/>
        <w:t>7-</w:t>
      </w:r>
      <w:r>
        <w:rPr>
          <w:spacing w:val="-5"/>
        </w:rPr>
        <w:t>119</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017" w:id="1019"/>
      <w:bookmarkEnd w:id="1019"/>
      <w:r>
        <w:rPr>
          <w:rFonts w:ascii="Times New Roman" w:hAnsi="Times New Roman"/>
          <w:spacing w:val="-8"/>
        </w:rPr>
      </w:r>
      <w:r>
        <w:rPr/>
        <w:t>Although it is common to speak of a court “setting aside” or rescinding a contract for </w:t>
      </w:r>
      <w:bookmarkStart w:name="_bookmark1018" w:id="1020"/>
      <w:bookmarkEnd w:id="1020"/>
      <w:r>
        <w:rPr/>
        <w:t>misrepresentation,</w:t>
      </w:r>
      <w:r>
        <w:rPr>
          <w:spacing w:val="18"/>
        </w:rPr>
        <w:t> </w:t>
      </w:r>
      <w:r>
        <w:rPr/>
        <w:t>it</w:t>
      </w:r>
      <w:r>
        <w:rPr>
          <w:spacing w:val="19"/>
        </w:rPr>
        <w:t> </w:t>
      </w:r>
      <w:r>
        <w:rPr/>
        <w:t>seems</w:t>
      </w:r>
      <w:r>
        <w:rPr>
          <w:spacing w:val="19"/>
        </w:rPr>
        <w:t> </w:t>
      </w:r>
      <w:r>
        <w:rPr/>
        <w:t>clear</w:t>
      </w:r>
      <w:r>
        <w:rPr>
          <w:spacing w:val="19"/>
        </w:rPr>
        <w:t> </w:t>
      </w:r>
      <w:r>
        <w:rPr/>
        <w:t>from</w:t>
      </w:r>
      <w:r>
        <w:rPr>
          <w:spacing w:val="19"/>
        </w:rPr>
        <w:t> </w:t>
      </w:r>
      <w:r>
        <w:rPr/>
        <w:t>this</w:t>
      </w:r>
      <w:r>
        <w:rPr>
          <w:spacing w:val="19"/>
        </w:rPr>
        <w:t> </w:t>
      </w:r>
      <w:r>
        <w:rPr/>
        <w:t>and</w:t>
      </w:r>
      <w:r>
        <w:rPr>
          <w:spacing w:val="19"/>
        </w:rPr>
        <w:t> </w:t>
      </w:r>
      <w:r>
        <w:rPr/>
        <w:t>other</w:t>
      </w:r>
      <w:r>
        <w:rPr>
          <w:spacing w:val="19"/>
        </w:rPr>
        <w:t> </w:t>
      </w:r>
      <w:r>
        <w:rPr/>
        <w:t>cases</w:t>
      </w:r>
      <w:r>
        <w:rPr>
          <w:spacing w:val="18"/>
        </w:rPr>
        <w:t> </w:t>
      </w:r>
      <w:r>
        <w:rPr>
          <w:color w:val="005DA1"/>
          <w:u w:val="single" w:color="005DA1"/>
          <w:vertAlign w:val="superscript"/>
        </w:rPr>
        <w:t>549</w:t>
      </w:r>
      <w:r>
        <w:rPr>
          <w:color w:val="005DA1"/>
          <w:spacing w:val="19"/>
          <w:vertAlign w:val="baseline"/>
        </w:rPr>
        <w:t> </w:t>
      </w:r>
      <w:r>
        <w:rPr>
          <w:vertAlign w:val="baseline"/>
        </w:rPr>
        <w:t>that</w:t>
      </w:r>
      <w:r>
        <w:rPr>
          <w:spacing w:val="19"/>
          <w:vertAlign w:val="baseline"/>
        </w:rPr>
        <w:t> </w:t>
      </w:r>
      <w:r>
        <w:rPr>
          <w:vertAlign w:val="baseline"/>
        </w:rPr>
        <w:t>the</w:t>
      </w:r>
      <w:r>
        <w:rPr>
          <w:spacing w:val="18"/>
          <w:vertAlign w:val="baseline"/>
        </w:rPr>
        <w:t> </w:t>
      </w:r>
      <w:r>
        <w:rPr>
          <w:vertAlign w:val="baseline"/>
        </w:rPr>
        <w:t>remedy</w:t>
      </w:r>
      <w:r>
        <w:rPr>
          <w:spacing w:val="19"/>
          <w:vertAlign w:val="baseline"/>
        </w:rPr>
        <w:t> </w:t>
      </w:r>
      <w:r>
        <w:rPr>
          <w:vertAlign w:val="baseline"/>
        </w:rPr>
        <w:t>is</w:t>
      </w:r>
      <w:r>
        <w:rPr>
          <w:spacing w:val="19"/>
          <w:vertAlign w:val="baseline"/>
        </w:rPr>
        <w:t> </w:t>
      </w:r>
      <w:r>
        <w:rPr>
          <w:vertAlign w:val="baseline"/>
        </w:rPr>
        <w:t>not</w:t>
      </w:r>
      <w:r>
        <w:rPr>
          <w:spacing w:val="19"/>
          <w:vertAlign w:val="baseline"/>
        </w:rPr>
        <w:t> </w:t>
      </w:r>
      <w:r>
        <w:rPr>
          <w:vertAlign w:val="baseline"/>
        </w:rPr>
        <w:t>necessarily</w:t>
      </w:r>
      <w:r>
        <w:rPr>
          <w:spacing w:val="19"/>
          <w:vertAlign w:val="baseline"/>
        </w:rPr>
        <w:t> </w:t>
      </w:r>
      <w:r>
        <w:rPr>
          <w:spacing w:val="-10"/>
          <w:vertAlign w:val="baseline"/>
        </w:rPr>
        <w:t>a</w:t>
      </w:r>
    </w:p>
    <w:p>
      <w:pPr>
        <w:pStyle w:val="BodyText"/>
        <w:spacing w:line="235" w:lineRule="auto" w:before="119"/>
        <w:ind w:left="164" w:right="167"/>
        <w:jc w:val="both"/>
      </w:pPr>
      <w:r>
        <w:rPr/>
        <w:t>judicial one. </w:t>
      </w:r>
      <w:r>
        <w:rPr>
          <w:color w:val="005DA1"/>
          <w:u w:val="single" w:color="005DA1"/>
          <w:vertAlign w:val="superscript"/>
        </w:rPr>
        <w:t>550</w:t>
      </w:r>
      <w:r>
        <w:rPr>
          <w:color w:val="005DA1"/>
          <w:spacing w:val="80"/>
          <w:vertAlign w:val="baseline"/>
        </w:rPr>
        <w:t> </w:t>
      </w:r>
      <w:r>
        <w:rPr>
          <w:color w:val="005DA1"/>
          <w:spacing w:val="-21"/>
          <w:position w:val="-2"/>
          <w:vertAlign w:val="baseline"/>
        </w:rPr>
        <w:drawing>
          <wp:inline distT="0" distB="0" distL="0" distR="0">
            <wp:extent cx="107988" cy="107988"/>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hAnsi="Times New Roman"/>
          <w:color w:val="005DA1"/>
          <w:spacing w:val="40"/>
          <w:vertAlign w:val="baseline"/>
        </w:rPr>
        <w:t> </w:t>
      </w:r>
      <w:r>
        <w:rPr>
          <w:vertAlign w:val="baseline"/>
        </w:rPr>
        <w:t>A representee is entitled to rescind for misrepresentation without invoking </w:t>
      </w:r>
      <w:r>
        <w:rPr>
          <w:vertAlign w:val="baseline"/>
        </w:rPr>
        <w:t>the </w:t>
      </w:r>
      <w:bookmarkStart w:name="_bookmark1019" w:id="1021"/>
      <w:bookmarkEnd w:id="1021"/>
      <w:r>
        <w:rPr>
          <w:vertAlign w:val="baseline"/>
        </w:rPr>
        <w:t>assistance</w:t>
      </w:r>
      <w:r>
        <w:rPr>
          <w:vertAlign w:val="baseline"/>
        </w:rPr>
        <w:t> of the court at all, although the court now has (as seen above) a discretion to refuse to allow rescission in some cases. </w:t>
      </w:r>
      <w:r>
        <w:rPr>
          <w:color w:val="005DA1"/>
          <w:u w:val="single" w:color="005DA1"/>
          <w:vertAlign w:val="superscript"/>
        </w:rPr>
        <w:t>551</w:t>
      </w:r>
      <w:r>
        <w:rPr>
          <w:color w:val="005DA1"/>
          <w:vertAlign w:val="baseline"/>
        </w:rPr>
        <w:t> </w:t>
      </w:r>
      <w:r>
        <w:rPr>
          <w:vertAlign w:val="baseline"/>
        </w:rPr>
        <w:t>It may well be, as a purely practical matter, that the representee </w:t>
      </w:r>
      <w:bookmarkStart w:name="_bookmark1020" w:id="1022"/>
      <w:bookmarkEnd w:id="1022"/>
      <w:r>
        <w:rPr>
          <w:vertAlign w:val="baseline"/>
        </w:rPr>
        <w:t>will</w:t>
      </w:r>
      <w:r>
        <w:rPr>
          <w:vertAlign w:val="baseline"/>
        </w:rPr>
        <w:t> require the assistance of the court in some cases, e.g. where rescission of an executed </w:t>
      </w:r>
      <w:bookmarkStart w:name="_bookmark1021" w:id="1023"/>
      <w:bookmarkEnd w:id="1023"/>
      <w:r>
        <w:rPr>
          <w:vertAlign w:val="baseline"/>
        </w:rPr>
        <w:t>conveyance</w:t>
      </w:r>
      <w:r>
        <w:rPr>
          <w:vertAlign w:val="baseline"/>
        </w:rPr>
        <w:t> is sought </w:t>
      </w:r>
      <w:r>
        <w:rPr>
          <w:color w:val="005DA1"/>
          <w:u w:val="single" w:color="005DA1"/>
          <w:vertAlign w:val="superscript"/>
        </w:rPr>
        <w:t>552</w:t>
      </w:r>
      <w:r>
        <w:rPr>
          <w:vertAlign w:val="baseline"/>
        </w:rPr>
        <w:t>; but “the process of rescission is essentially the act of the party rescinding, and not of the court”. </w:t>
      </w:r>
      <w:r>
        <w:rPr>
          <w:color w:val="005DA1"/>
          <w:u w:val="single" w:color="005DA1"/>
          <w:vertAlign w:val="superscript"/>
        </w:rPr>
        <w:t>553</w:t>
      </w:r>
    </w:p>
    <w:p>
      <w:pPr>
        <w:pStyle w:val="BodyText"/>
        <w:spacing w:after="0" w:line="235" w:lineRule="auto"/>
        <w:jc w:val="both"/>
        <w:sectPr>
          <w:pgSz w:w="11900" w:h="16840"/>
          <w:pgMar w:header="971" w:footer="0" w:top="1160" w:bottom="280" w:left="1275" w:right="1275"/>
        </w:sectPr>
      </w:pPr>
    </w:p>
    <w:p>
      <w:pPr>
        <w:pStyle w:val="BodyText"/>
        <w:rPr>
          <w:sz w:val="18"/>
        </w:rPr>
      </w:pPr>
    </w:p>
    <w:p>
      <w:pPr>
        <w:pStyle w:val="BodyText"/>
        <w:spacing w:before="119"/>
        <w:rPr>
          <w:sz w:val="18"/>
        </w:rPr>
      </w:pPr>
    </w:p>
    <w:p>
      <w:pPr>
        <w:spacing w:before="0"/>
        <w:ind w:left="165" w:right="0" w:firstLine="0"/>
        <w:jc w:val="left"/>
        <w:rPr>
          <w:rFonts w:ascii="Arial"/>
          <w:b/>
          <w:sz w:val="18"/>
        </w:rPr>
      </w:pPr>
      <w:r>
        <w:rPr>
          <w:rFonts w:ascii="Arial"/>
          <w:b/>
          <w:sz w:val="18"/>
        </w:rPr>
        <w:t>Rescission not available except against contracting </w:t>
      </w:r>
      <w:r>
        <w:rPr>
          <w:rFonts w:ascii="Arial"/>
          <w:b/>
          <w:spacing w:val="-2"/>
          <w:sz w:val="18"/>
        </w:rPr>
        <w:t>party</w:t>
      </w:r>
    </w:p>
    <w:p>
      <w:pPr>
        <w:pStyle w:val="BodyText"/>
        <w:spacing w:before="41"/>
        <w:rPr>
          <w:rFonts w:ascii="Arial"/>
          <w:b/>
          <w:sz w:val="18"/>
        </w:rPr>
      </w:pPr>
    </w:p>
    <w:p>
      <w:pPr>
        <w:pStyle w:val="Heading2"/>
        <w:spacing w:before="1"/>
      </w:pPr>
      <w:r>
        <w:rPr/>
        <w:t>7-</w:t>
      </w:r>
      <w:r>
        <w:rPr>
          <w:spacing w:val="-5"/>
        </w:rPr>
        <w:t>120</w:t>
      </w:r>
    </w:p>
    <w:p>
      <w:pPr>
        <w:pStyle w:val="BodyText"/>
        <w:spacing w:line="235" w:lineRule="auto" w:before="202"/>
        <w:ind w:left="165" w:right="167"/>
        <w:jc w:val="both"/>
      </w:pPr>
      <w:bookmarkStart w:name="_bookmark1022" w:id="1024"/>
      <w:bookmarkEnd w:id="1024"/>
      <w:r>
        <w:rPr/>
      </w:r>
      <w:r>
        <w:rPr/>
        <w:t>It</w:t>
      </w:r>
      <w:r>
        <w:rPr>
          <w:spacing w:val="-2"/>
        </w:rPr>
        <w:t> </w:t>
      </w:r>
      <w:r>
        <w:rPr/>
        <w:t>seems</w:t>
      </w:r>
      <w:r>
        <w:rPr>
          <w:spacing w:val="-2"/>
        </w:rPr>
        <w:t> </w:t>
      </w:r>
      <w:r>
        <w:rPr/>
        <w:t>clear</w:t>
      </w:r>
      <w:r>
        <w:rPr>
          <w:spacing w:val="-2"/>
        </w:rPr>
        <w:t> </w:t>
      </w:r>
      <w:r>
        <w:rPr/>
        <w:t>that</w:t>
      </w:r>
      <w:r>
        <w:rPr>
          <w:spacing w:val="-2"/>
        </w:rPr>
        <w:t> </w:t>
      </w:r>
      <w:r>
        <w:rPr/>
        <w:t>rescission</w:t>
      </w:r>
      <w:r>
        <w:rPr>
          <w:spacing w:val="-2"/>
        </w:rPr>
        <w:t> </w:t>
      </w:r>
      <w:r>
        <w:rPr/>
        <w:t>is</w:t>
      </w:r>
      <w:r>
        <w:rPr>
          <w:spacing w:val="-2"/>
        </w:rPr>
        <w:t> </w:t>
      </w:r>
      <w:r>
        <w:rPr/>
        <w:t>prima</w:t>
      </w:r>
      <w:r>
        <w:rPr>
          <w:spacing w:val="-2"/>
        </w:rPr>
        <w:t> </w:t>
      </w:r>
      <w:r>
        <w:rPr/>
        <w:t>facie</w:t>
      </w:r>
      <w:r>
        <w:rPr>
          <w:spacing w:val="-2"/>
        </w:rPr>
        <w:t> </w:t>
      </w:r>
      <w:r>
        <w:rPr/>
        <w:t>a</w:t>
      </w:r>
      <w:r>
        <w:rPr>
          <w:spacing w:val="-2"/>
        </w:rPr>
        <w:t> </w:t>
      </w:r>
      <w:r>
        <w:rPr/>
        <w:t>remedy</w:t>
      </w:r>
      <w:r>
        <w:rPr>
          <w:spacing w:val="-2"/>
        </w:rPr>
        <w:t> </w:t>
      </w:r>
      <w:r>
        <w:rPr/>
        <w:t>which</w:t>
      </w:r>
      <w:r>
        <w:rPr>
          <w:spacing w:val="-2"/>
        </w:rPr>
        <w:t> </w:t>
      </w:r>
      <w:r>
        <w:rPr/>
        <w:t>is</w:t>
      </w:r>
      <w:r>
        <w:rPr>
          <w:spacing w:val="-2"/>
        </w:rPr>
        <w:t> </w:t>
      </w:r>
      <w:r>
        <w:rPr/>
        <w:t>only</w:t>
      </w:r>
      <w:r>
        <w:rPr>
          <w:spacing w:val="-2"/>
        </w:rPr>
        <w:t> </w:t>
      </w:r>
      <w:r>
        <w:rPr/>
        <w:t>available</w:t>
      </w:r>
      <w:r>
        <w:rPr>
          <w:spacing w:val="-2"/>
        </w:rPr>
        <w:t> </w:t>
      </w:r>
      <w:r>
        <w:rPr/>
        <w:t>against</w:t>
      </w:r>
      <w:r>
        <w:rPr>
          <w:spacing w:val="-2"/>
        </w:rPr>
        <w:t> </w:t>
      </w:r>
      <w:r>
        <w:rPr/>
        <w:t>the</w:t>
      </w:r>
      <w:r>
        <w:rPr>
          <w:spacing w:val="-2"/>
        </w:rPr>
        <w:t> </w:t>
      </w:r>
      <w:r>
        <w:rPr/>
        <w:t>other</w:t>
      </w:r>
      <w:r>
        <w:rPr>
          <w:spacing w:val="-2"/>
        </w:rPr>
        <w:t> </w:t>
      </w:r>
      <w:r>
        <w:rPr/>
        <w:t>party</w:t>
      </w:r>
      <w:r>
        <w:rPr>
          <w:spacing w:val="-2"/>
        </w:rPr>
        <w:t> </w:t>
      </w:r>
      <w:r>
        <w:rPr/>
        <w:t>to the contract. In </w:t>
      </w:r>
      <w:r>
        <w:rPr>
          <w:rFonts w:ascii="Arial"/>
          <w:i/>
        </w:rPr>
        <w:t>Northern Bank Finance Corp Ltd v Charlton </w:t>
      </w:r>
      <w:r>
        <w:rPr>
          <w:color w:val="005DA1"/>
          <w:u w:val="single" w:color="005DA1"/>
          <w:vertAlign w:val="superscript"/>
        </w:rPr>
        <w:t>554</w:t>
      </w:r>
      <w:r>
        <w:rPr>
          <w:color w:val="005DA1"/>
          <w:vertAlign w:val="baseline"/>
        </w:rPr>
        <w:t> </w:t>
      </w:r>
      <w:r>
        <w:rPr>
          <w:vertAlign w:val="baseline"/>
        </w:rPr>
        <w:t>this principle was affirmed by a </w:t>
      </w:r>
      <w:r>
        <w:rPr>
          <w:vertAlign w:val="baseline"/>
        </w:rPr>
        <w:t>bare majority of the Supreme Court of Eire in a case in which the plaintiff had been induced by the fraud of a bank to pay various sums to the bank in order that these sums should be used by the bank to purchase various properties on behalf of the plaintiff. The properties were in fact so purchased from third parties. The plaintiff claimed rescission of the contracts of purchase but the majority of the court held that rescission was not available as against the bank since the properties were not bought from the bank itself. Rescission would in fact have amounted to a sort of compulsory subrogation under which the bank would have taken over the properties and refunded the purchase price to the plaintiff.</w:t>
      </w:r>
    </w:p>
    <w:p>
      <w:pPr>
        <w:pStyle w:val="BodyText"/>
      </w:pPr>
    </w:p>
    <w:p>
      <w:pPr>
        <w:pStyle w:val="BodyText"/>
        <w:spacing w:before="35"/>
      </w:pPr>
    </w:p>
    <w:p>
      <w:pPr>
        <w:spacing w:before="1"/>
        <w:ind w:left="165" w:right="0" w:firstLine="0"/>
        <w:jc w:val="left"/>
        <w:rPr>
          <w:rFonts w:ascii="Arial"/>
          <w:b/>
          <w:sz w:val="18"/>
        </w:rPr>
      </w:pPr>
      <w:r>
        <w:rPr>
          <w:rFonts w:ascii="Arial"/>
          <w:b/>
          <w:sz w:val="18"/>
        </w:rPr>
        <w:t>Misrepresentation inducing consent </w:t>
      </w:r>
      <w:r>
        <w:rPr>
          <w:rFonts w:ascii="Arial"/>
          <w:b/>
          <w:spacing w:val="-2"/>
          <w:sz w:val="18"/>
        </w:rPr>
        <w:t>order</w:t>
      </w:r>
    </w:p>
    <w:p>
      <w:pPr>
        <w:pStyle w:val="BodyText"/>
        <w:spacing w:before="41"/>
        <w:rPr>
          <w:rFonts w:ascii="Arial"/>
          <w:b/>
          <w:sz w:val="18"/>
        </w:rPr>
      </w:pPr>
    </w:p>
    <w:p>
      <w:pPr>
        <w:pStyle w:val="Heading2"/>
      </w:pPr>
      <w:r>
        <w:rPr/>
        <w:t>7-</w:t>
      </w:r>
      <w:r>
        <w:rPr>
          <w:spacing w:val="-5"/>
        </w:rPr>
        <w:t>121</w:t>
      </w:r>
    </w:p>
    <w:p>
      <w:pPr>
        <w:pStyle w:val="BodyText"/>
        <w:spacing w:line="235" w:lineRule="auto" w:before="202"/>
        <w:ind w:left="165" w:right="167"/>
        <w:jc w:val="both"/>
      </w:pPr>
      <w:r>
        <w:rPr/>
        <w:t>Where proceedings are compromised by agreement, and the compromise is made the subject of </w:t>
      </w:r>
      <w:r>
        <w:rPr/>
        <w:t>a </w:t>
      </w:r>
      <w:bookmarkStart w:name="_bookmark1023" w:id="1025"/>
      <w:bookmarkEnd w:id="1025"/>
      <w:r>
        <w:rPr/>
        <w:t>consent</w:t>
      </w:r>
      <w:r>
        <w:rPr/>
        <w:t> order, the court may set aside the consent order if it is shown to have been based on an agreement induced by misrepresentation. </w:t>
      </w:r>
      <w:r>
        <w:rPr>
          <w:color w:val="005DA1"/>
          <w:u w:val="single" w:color="005DA1"/>
          <w:vertAlign w:val="superscript"/>
        </w:rPr>
        <w:t>555</w:t>
      </w:r>
    </w:p>
    <w:p>
      <w:pPr>
        <w:pStyle w:val="BodyText"/>
      </w:pPr>
    </w:p>
    <w:p>
      <w:pPr>
        <w:pStyle w:val="BodyText"/>
        <w:spacing w:before="38"/>
      </w:pPr>
    </w:p>
    <w:p>
      <w:pPr>
        <w:spacing w:before="0"/>
        <w:ind w:left="165" w:right="0" w:firstLine="0"/>
        <w:jc w:val="left"/>
        <w:rPr>
          <w:rFonts w:ascii="Arial"/>
          <w:b/>
          <w:sz w:val="18"/>
        </w:rPr>
      </w:pPr>
      <w:r>
        <w:rPr>
          <w:rFonts w:ascii="Arial"/>
          <w:b/>
          <w:sz w:val="18"/>
        </w:rPr>
        <w:t>Effect of </w:t>
      </w:r>
      <w:r>
        <w:rPr>
          <w:rFonts w:ascii="Arial"/>
          <w:b/>
          <w:spacing w:val="-2"/>
          <w:sz w:val="18"/>
        </w:rPr>
        <w:t>rescission</w:t>
      </w:r>
    </w:p>
    <w:p>
      <w:pPr>
        <w:pStyle w:val="BodyText"/>
        <w:spacing w:before="41"/>
        <w:rPr>
          <w:rFonts w:ascii="Arial"/>
          <w:b/>
          <w:sz w:val="18"/>
        </w:rPr>
      </w:pPr>
    </w:p>
    <w:p>
      <w:pPr>
        <w:pStyle w:val="Heading2"/>
      </w:pPr>
      <w:r>
        <w:rPr/>
        <w:t>7-</w:t>
      </w:r>
      <w:r>
        <w:rPr>
          <w:spacing w:val="-5"/>
        </w:rPr>
        <w:t>122</w:t>
      </w:r>
    </w:p>
    <w:p>
      <w:pPr>
        <w:pStyle w:val="BodyText"/>
        <w:spacing w:line="235" w:lineRule="auto" w:before="203"/>
        <w:ind w:left="164" w:right="167"/>
        <w:jc w:val="both"/>
      </w:pPr>
      <w:bookmarkStart w:name="_bookmark1024" w:id="1026"/>
      <w:bookmarkEnd w:id="1026"/>
      <w:r>
        <w:rPr/>
      </w:r>
      <w:r>
        <w:rPr/>
        <w:t>When a contract is rescinded it has the effect of revesting any property transferred in the transferor,</w:t>
      </w:r>
      <w:r>
        <w:rPr>
          <w:spacing w:val="40"/>
        </w:rPr>
        <w:t> </w:t>
      </w:r>
      <w:bookmarkStart w:name="_bookmark1025" w:id="1027"/>
      <w:bookmarkEnd w:id="1027"/>
      <w:r>
        <w:rPr/>
        <w:t>so</w:t>
      </w:r>
      <w:r>
        <w:rPr/>
        <w:t> far as no formal steps are required for the retransfer. </w:t>
      </w:r>
      <w:r>
        <w:rPr>
          <w:color w:val="005DA1"/>
          <w:u w:val="single" w:color="005DA1"/>
          <w:vertAlign w:val="superscript"/>
        </w:rPr>
        <w:t>556</w:t>
      </w:r>
      <w:r>
        <w:rPr>
          <w:color w:val="005DA1"/>
          <w:vertAlign w:val="baseline"/>
        </w:rPr>
        <w:t> </w:t>
      </w:r>
      <w:r>
        <w:rPr>
          <w:vertAlign w:val="baseline"/>
        </w:rPr>
        <w:t>Thus property in goods will revest in </w:t>
      </w:r>
      <w:r>
        <w:rPr>
          <w:vertAlign w:val="baseline"/>
        </w:rPr>
        <w:t>the </w:t>
      </w:r>
      <w:bookmarkStart w:name="_bookmark1026" w:id="1028"/>
      <w:bookmarkEnd w:id="1028"/>
      <w:r>
        <w:rPr>
          <w:vertAlign w:val="baseline"/>
        </w:rPr>
        <w:t>victim</w:t>
      </w:r>
      <w:r>
        <w:rPr>
          <w:vertAlign w:val="baseline"/>
        </w:rPr>
        <w:t> of fraud without more. </w:t>
      </w:r>
      <w:r>
        <w:rPr>
          <w:color w:val="005DA1"/>
          <w:u w:val="single" w:color="005DA1"/>
          <w:vertAlign w:val="superscript"/>
        </w:rPr>
        <w:t>557</w:t>
      </w:r>
      <w:r>
        <w:rPr>
          <w:color w:val="005DA1"/>
          <w:vertAlign w:val="baseline"/>
        </w:rPr>
        <w:t> </w:t>
      </w:r>
      <w:r>
        <w:rPr>
          <w:vertAlign w:val="baseline"/>
        </w:rPr>
        <w:t>If land has been conveyed, rescission will have the effect that the representor holds the title on constructive trust for the representee. </w:t>
      </w:r>
      <w:r>
        <w:rPr>
          <w:color w:val="005DA1"/>
          <w:u w:val="single" w:color="005DA1"/>
          <w:vertAlign w:val="superscript"/>
        </w:rPr>
        <w:t>558</w:t>
      </w:r>
      <w:r>
        <w:rPr>
          <w:color w:val="005DA1"/>
          <w:vertAlign w:val="baseline"/>
        </w:rPr>
        <w:t> </w:t>
      </w:r>
      <w:r>
        <w:rPr>
          <w:vertAlign w:val="baseline"/>
        </w:rPr>
        <w:t>Although the contract is avoided retrospectively, some clauses that are regarded as “separable” may continue to have effect. </w:t>
      </w:r>
      <w:bookmarkStart w:name="_bookmark1027" w:id="1029"/>
      <w:bookmarkEnd w:id="1029"/>
      <w:r>
        <w:rPr>
          <w:vertAlign w:val="baseline"/>
        </w:rPr>
        <w:t>Thus</w:t>
      </w:r>
      <w:r>
        <w:rPr>
          <w:vertAlign w:val="baseline"/>
        </w:rPr>
        <w:t> unless otherwise agreed an arbitration agreement is unaffected by the invalidity of the </w:t>
      </w:r>
      <w:bookmarkStart w:name="_bookmark1028" w:id="1030"/>
      <w:bookmarkEnd w:id="1030"/>
      <w:r>
        <w:rPr>
          <w:vertAlign w:val="baseline"/>
        </w:rPr>
        <w:t>substantive</w:t>
      </w:r>
      <w:r>
        <w:rPr>
          <w:vertAlign w:val="baseline"/>
        </w:rPr>
        <w:t> contract of which it forms part </w:t>
      </w:r>
      <w:r>
        <w:rPr>
          <w:color w:val="005DA1"/>
          <w:u w:val="single" w:color="005DA1"/>
          <w:vertAlign w:val="superscript"/>
        </w:rPr>
        <w:t>559</w:t>
      </w:r>
      <w:r>
        <w:rPr>
          <w:vertAlign w:val="baseline"/>
        </w:rPr>
        <w:t>; and an exclusive jurisdiction clause will survive rescission. </w:t>
      </w:r>
      <w:r>
        <w:rPr>
          <w:color w:val="005DA1"/>
          <w:u w:val="single" w:color="005DA1"/>
          <w:vertAlign w:val="superscript"/>
        </w:rPr>
        <w:t>560</w:t>
      </w:r>
    </w:p>
    <w:p>
      <w:pPr>
        <w:pStyle w:val="BodyText"/>
      </w:pPr>
    </w:p>
    <w:p>
      <w:pPr>
        <w:pStyle w:val="BodyText"/>
        <w:spacing w:before="37"/>
      </w:pPr>
      <w:r>
        <w:rPr/>
        <mc:AlternateContent>
          <mc:Choice Requires="wps">
            <w:drawing>
              <wp:anchor distT="0" distB="0" distL="0" distR="0" allowOverlap="1" layoutInCell="1" locked="0" behindDoc="1" simplePos="0" relativeHeight="487632384">
                <wp:simplePos x="0" y="0"/>
                <wp:positionH relativeFrom="page">
                  <wp:posOffset>914400</wp:posOffset>
                </wp:positionH>
                <wp:positionV relativeFrom="paragraph">
                  <wp:posOffset>184788</wp:posOffset>
                </wp:positionV>
                <wp:extent cx="5724525" cy="1270"/>
                <wp:effectExtent l="0" t="0" r="0" b="0"/>
                <wp:wrapTopAndBottom/>
                <wp:docPr id="186" name="Graphic 186"/>
                <wp:cNvGraphicFramePr>
                  <a:graphicFrameLocks/>
                </wp:cNvGraphicFramePr>
                <a:graphic>
                  <a:graphicData uri="http://schemas.microsoft.com/office/word/2010/wordprocessingShape">
                    <wps:wsp>
                      <wps:cNvPr id="186" name="Graphic 18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50258pt;width:450.75pt;height:.1pt;mso-position-horizontal-relative:page;mso-position-vertical-relative:paragraph;z-index:-15684096;mso-wrap-distance-left:0;mso-wrap-distance-right:0" id="docshape18"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3907584">
                <wp:simplePos x="0" y="0"/>
                <wp:positionH relativeFrom="page">
                  <wp:posOffset>914400</wp:posOffset>
                </wp:positionH>
                <wp:positionV relativeFrom="paragraph">
                  <wp:posOffset>94576</wp:posOffset>
                </wp:positionV>
                <wp:extent cx="49530"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08896" from="72pt,7.446977pt" to="75.892pt,7.446977pt" stroked="true" strokeweight=".5pt" strokecolor="#005da1">
                <v:stroke dashstyle="solid"/>
                <w10:wrap type="none"/>
              </v:line>
            </w:pict>
          </mc:Fallback>
        </mc:AlternateContent>
      </w:r>
      <w:hyperlink w:history="true" w:anchor="_bookmark1576">
        <w:r>
          <w:rPr>
            <w:color w:val="005DA1"/>
            <w:spacing w:val="-6"/>
            <w:position w:val="5"/>
            <w:sz w:val="14"/>
          </w:rPr>
          <w:t>1</w:t>
        </w:r>
      </w:hyperlink>
      <w:r>
        <w:rPr>
          <w:spacing w:val="-6"/>
          <w:position w:val="5"/>
          <w:sz w:val="14"/>
        </w:rPr>
        <w:t>.</w:t>
      </w:r>
      <w:r>
        <w:rPr>
          <w:position w:val="5"/>
          <w:sz w:val="14"/>
        </w:rPr>
        <w:tab/>
      </w:r>
      <w:r>
        <w:rPr>
          <w:sz w:val="20"/>
        </w:rPr>
        <w:t>See Allen, </w:t>
      </w:r>
      <w:r>
        <w:rPr>
          <w:rFonts w:ascii="Arial"/>
          <w:i/>
          <w:sz w:val="20"/>
        </w:rPr>
        <w:t>Misrepresentation </w:t>
      </w:r>
      <w:r>
        <w:rPr>
          <w:sz w:val="20"/>
        </w:rPr>
        <w:t>(1988); Cartwright, </w:t>
      </w:r>
      <w:r>
        <w:rPr>
          <w:rFonts w:ascii="Arial"/>
          <w:i/>
          <w:sz w:val="20"/>
        </w:rPr>
        <w:t>Unequal Bargaining </w:t>
      </w:r>
      <w:r>
        <w:rPr>
          <w:sz w:val="20"/>
        </w:rPr>
        <w:t>(1991), Ch.3; </w:t>
      </w:r>
      <w:r>
        <w:rPr>
          <w:sz w:val="20"/>
        </w:rPr>
        <w:t>Cartwright, Misrepresentation, Mistake and Non-disclosure, 4th edn (2016); Spencer Bower and Handley, </w:t>
      </w:r>
      <w:r>
        <w:rPr>
          <w:rFonts w:ascii="Arial"/>
          <w:i/>
          <w:sz w:val="20"/>
        </w:rPr>
        <w:t>Actionable Misrepresentation</w:t>
      </w:r>
      <w:r>
        <w:rPr>
          <w:sz w:val="20"/>
        </w:rPr>
        <w:t>, 5th edn (2014).</w:t>
      </w:r>
    </w:p>
    <w:p>
      <w:pPr>
        <w:pStyle w:val="BodyText"/>
        <w:spacing w:before="5"/>
      </w:pPr>
    </w:p>
    <w:p>
      <w:pPr>
        <w:tabs>
          <w:tab w:pos="705" w:val="left" w:leader="none"/>
        </w:tabs>
        <w:spacing w:before="0"/>
        <w:ind w:left="165" w:right="0" w:firstLine="0"/>
        <w:jc w:val="left"/>
        <w:rPr>
          <w:sz w:val="20"/>
        </w:rPr>
      </w:pPr>
      <w:bookmarkStart w:name="_bookmark1029" w:id="1031"/>
      <w:bookmarkEnd w:id="1031"/>
      <w:r>
        <w:rPr/>
      </w:r>
      <w:hyperlink w:history="true" w:anchor="_bookmark993">
        <w:r>
          <w:rPr>
            <w:color w:val="005DA1"/>
            <w:spacing w:val="-4"/>
            <w:position w:val="5"/>
            <w:sz w:val="14"/>
            <w:u w:val="single" w:color="005DA1"/>
          </w:rPr>
          <w:t>524</w:t>
        </w:r>
      </w:hyperlink>
      <w:r>
        <w:rPr>
          <w:spacing w:val="-4"/>
          <w:position w:val="5"/>
          <w:sz w:val="14"/>
        </w:rPr>
        <w:t>.</w:t>
      </w:r>
      <w:r>
        <w:rPr>
          <w:position w:val="5"/>
          <w:sz w:val="14"/>
        </w:rPr>
        <w:tab/>
      </w:r>
      <w:r>
        <w:rPr>
          <w:rFonts w:ascii="Arial"/>
          <w:i/>
          <w:sz w:val="20"/>
        </w:rPr>
        <w:t>Kennedy v Panama, etc., Royal Mail Co Ltd (1867) L.R. 2 Q.B. </w:t>
      </w:r>
      <w:r>
        <w:rPr>
          <w:rFonts w:ascii="Arial"/>
          <w:i/>
          <w:spacing w:val="-4"/>
          <w:sz w:val="20"/>
        </w:rPr>
        <w:t>580</w:t>
      </w:r>
      <w:r>
        <w:rPr>
          <w:spacing w:val="-4"/>
          <w:sz w:val="20"/>
        </w:rPr>
        <w:t>.</w:t>
      </w:r>
    </w:p>
    <w:p>
      <w:pPr>
        <w:pStyle w:val="BodyText"/>
        <w:spacing w:before="9"/>
      </w:pPr>
    </w:p>
    <w:p>
      <w:pPr>
        <w:spacing w:line="235" w:lineRule="auto" w:before="0"/>
        <w:ind w:left="705" w:right="168" w:hanging="541"/>
        <w:jc w:val="both"/>
        <w:rPr>
          <w:sz w:val="20"/>
        </w:rPr>
      </w:pPr>
      <w:bookmarkStart w:name="_bookmark1030" w:id="1032"/>
      <w:bookmarkEnd w:id="1032"/>
      <w:r>
        <w:rPr/>
      </w:r>
      <w:hyperlink w:history="true" w:anchor="_bookmark994">
        <w:r>
          <w:rPr>
            <w:color w:val="005DA1"/>
            <w:position w:val="5"/>
            <w:sz w:val="14"/>
            <w:u w:val="single" w:color="005DA1"/>
          </w:rPr>
          <w:t>525</w:t>
        </w:r>
      </w:hyperlink>
      <w:r>
        <w:rPr>
          <w:position w:val="5"/>
          <w:sz w:val="14"/>
        </w:rPr>
        <w:t>.</w:t>
      </w:r>
      <w:r>
        <w:rPr>
          <w:spacing w:val="80"/>
          <w:position w:val="5"/>
          <w:sz w:val="14"/>
        </w:rPr>
        <w:t>  </w:t>
      </w:r>
      <w:r>
        <w:rPr>
          <w:rFonts w:ascii="Arial"/>
          <w:i/>
          <w:sz w:val="20"/>
        </w:rPr>
        <w:t>Lamare</w:t>
      </w:r>
      <w:r>
        <w:rPr>
          <w:rFonts w:ascii="Arial"/>
          <w:i/>
          <w:spacing w:val="40"/>
          <w:sz w:val="20"/>
        </w:rPr>
        <w:t> </w:t>
      </w:r>
      <w:r>
        <w:rPr>
          <w:rFonts w:ascii="Arial"/>
          <w:i/>
          <w:sz w:val="20"/>
        </w:rPr>
        <w:t>v</w:t>
      </w:r>
      <w:r>
        <w:rPr>
          <w:rFonts w:ascii="Arial"/>
          <w:i/>
          <w:spacing w:val="40"/>
          <w:sz w:val="20"/>
        </w:rPr>
        <w:t> </w:t>
      </w:r>
      <w:r>
        <w:rPr>
          <w:rFonts w:ascii="Arial"/>
          <w:i/>
          <w:sz w:val="20"/>
        </w:rPr>
        <w:t>Dixon</w:t>
      </w:r>
      <w:r>
        <w:rPr>
          <w:rFonts w:ascii="Arial"/>
          <w:i/>
          <w:spacing w:val="40"/>
          <w:sz w:val="20"/>
        </w:rPr>
        <w:t> </w:t>
      </w:r>
      <w:r>
        <w:rPr>
          <w:rFonts w:ascii="Arial"/>
          <w:i/>
          <w:sz w:val="20"/>
        </w:rPr>
        <w:t>(1873)</w:t>
      </w:r>
      <w:r>
        <w:rPr>
          <w:rFonts w:ascii="Arial"/>
          <w:i/>
          <w:spacing w:val="40"/>
          <w:sz w:val="20"/>
        </w:rPr>
        <w:t> </w:t>
      </w:r>
      <w:r>
        <w:rPr>
          <w:rFonts w:ascii="Arial"/>
          <w:i/>
          <w:sz w:val="20"/>
        </w:rPr>
        <w:t>L.R.</w:t>
      </w:r>
      <w:r>
        <w:rPr>
          <w:rFonts w:ascii="Arial"/>
          <w:i/>
          <w:spacing w:val="40"/>
          <w:sz w:val="20"/>
        </w:rPr>
        <w:t> </w:t>
      </w:r>
      <w:r>
        <w:rPr>
          <w:rFonts w:ascii="Arial"/>
          <w:i/>
          <w:sz w:val="20"/>
        </w:rPr>
        <w:t>6</w:t>
      </w:r>
      <w:r>
        <w:rPr>
          <w:rFonts w:ascii="Arial"/>
          <w:i/>
          <w:spacing w:val="40"/>
          <w:sz w:val="20"/>
        </w:rPr>
        <w:t> </w:t>
      </w:r>
      <w:r>
        <w:rPr>
          <w:rFonts w:ascii="Arial"/>
          <w:i/>
          <w:sz w:val="20"/>
        </w:rPr>
        <w:t>H.L.</w:t>
      </w:r>
      <w:r>
        <w:rPr>
          <w:rFonts w:ascii="Arial"/>
          <w:i/>
          <w:spacing w:val="40"/>
          <w:sz w:val="20"/>
        </w:rPr>
        <w:t> </w:t>
      </w:r>
      <w:r>
        <w:rPr>
          <w:rFonts w:ascii="Arial"/>
          <w:i/>
          <w:sz w:val="20"/>
        </w:rPr>
        <w:t>414</w:t>
      </w:r>
      <w:r>
        <w:rPr>
          <w:sz w:val="20"/>
        </w:rPr>
        <w:t>.</w:t>
      </w:r>
      <w:r>
        <w:rPr>
          <w:spacing w:val="40"/>
          <w:sz w:val="20"/>
        </w:rPr>
        <w:t> </w:t>
      </w:r>
      <w:r>
        <w:rPr>
          <w:sz w:val="20"/>
        </w:rPr>
        <w:t>The</w:t>
      </w:r>
      <w:r>
        <w:rPr>
          <w:spacing w:val="40"/>
          <w:sz w:val="20"/>
        </w:rPr>
        <w:t> </w:t>
      </w:r>
      <w:r>
        <w:rPr>
          <w:sz w:val="20"/>
        </w:rPr>
        <w:t>generalisation</w:t>
      </w:r>
      <w:r>
        <w:rPr>
          <w:spacing w:val="40"/>
          <w:sz w:val="20"/>
        </w:rPr>
        <w:t> </w:t>
      </w:r>
      <w:r>
        <w:rPr>
          <w:sz w:val="20"/>
        </w:rPr>
        <w:t>of</w:t>
      </w:r>
      <w:r>
        <w:rPr>
          <w:spacing w:val="40"/>
          <w:sz w:val="20"/>
        </w:rPr>
        <w:t> </w:t>
      </w:r>
      <w:r>
        <w:rPr>
          <w:sz w:val="20"/>
        </w:rPr>
        <w:t>this</w:t>
      </w:r>
      <w:r>
        <w:rPr>
          <w:spacing w:val="40"/>
          <w:sz w:val="20"/>
        </w:rPr>
        <w:t> </w:t>
      </w:r>
      <w:r>
        <w:rPr>
          <w:sz w:val="20"/>
        </w:rPr>
        <w:t>remedy</w:t>
      </w:r>
      <w:r>
        <w:rPr>
          <w:spacing w:val="40"/>
          <w:sz w:val="20"/>
        </w:rPr>
        <w:t> </w:t>
      </w:r>
      <w:r>
        <w:rPr>
          <w:sz w:val="20"/>
        </w:rPr>
        <w:t>was</w:t>
      </w:r>
      <w:r>
        <w:rPr>
          <w:spacing w:val="40"/>
          <w:sz w:val="20"/>
        </w:rPr>
        <w:t> </w:t>
      </w:r>
      <w:r>
        <w:rPr>
          <w:sz w:val="20"/>
        </w:rPr>
        <w:t>largely</w:t>
      </w:r>
      <w:r>
        <w:rPr>
          <w:spacing w:val="40"/>
          <w:sz w:val="20"/>
        </w:rPr>
        <w:t> </w:t>
      </w:r>
      <w:r>
        <w:rPr>
          <w:sz w:val="20"/>
        </w:rPr>
        <w:t>a post-Judicature Act development, stemming principally from </w:t>
      </w:r>
      <w:r>
        <w:rPr>
          <w:rFonts w:ascii="Arial"/>
          <w:i/>
          <w:sz w:val="20"/>
        </w:rPr>
        <w:t>Redgrave v Hurd (1881) 20 Ch. D. 1 </w:t>
      </w:r>
      <w:r>
        <w:rPr>
          <w:sz w:val="20"/>
        </w:rPr>
        <w:t>and </w:t>
      </w:r>
      <w:r>
        <w:rPr>
          <w:rFonts w:ascii="Arial"/>
          <w:i/>
          <w:sz w:val="20"/>
        </w:rPr>
        <w:t>Adam v Newbigging (1888) 13 App. Cas. 308</w:t>
      </w:r>
      <w:r>
        <w:rPr>
          <w:sz w:val="20"/>
        </w:rPr>
        <w:t>.</w:t>
      </w:r>
    </w:p>
    <w:p>
      <w:pPr>
        <w:pStyle w:val="BodyText"/>
        <w:spacing w:before="5"/>
      </w:pPr>
    </w:p>
    <w:p>
      <w:pPr>
        <w:pStyle w:val="BodyText"/>
        <w:tabs>
          <w:tab w:pos="705" w:val="left" w:leader="none"/>
        </w:tabs>
        <w:ind w:left="165"/>
      </w:pPr>
      <w:bookmarkStart w:name="_bookmark1031" w:id="1033"/>
      <w:bookmarkEnd w:id="1033"/>
      <w:r>
        <w:rPr/>
      </w:r>
      <w:hyperlink w:history="true" w:anchor="_bookmark995">
        <w:r>
          <w:rPr>
            <w:color w:val="005DA1"/>
            <w:spacing w:val="-4"/>
            <w:position w:val="5"/>
            <w:sz w:val="14"/>
            <w:u w:val="single" w:color="005DA1"/>
          </w:rPr>
          <w:t>526</w:t>
        </w:r>
      </w:hyperlink>
      <w:r>
        <w:rPr>
          <w:spacing w:val="-4"/>
          <w:position w:val="5"/>
          <w:sz w:val="14"/>
        </w:rPr>
        <w:t>.</w:t>
      </w:r>
      <w:r>
        <w:rPr>
          <w:position w:val="5"/>
          <w:sz w:val="14"/>
        </w:rPr>
        <w:tab/>
      </w:r>
      <w:r>
        <w:rPr/>
        <w:t>Above,</w:t>
      </w:r>
      <w:r>
        <w:rPr>
          <w:spacing w:val="-2"/>
        </w:rPr>
        <w:t> </w:t>
      </w:r>
      <w:r>
        <w:rPr/>
        <w:t>paras 7-104 et </w:t>
      </w:r>
      <w:r>
        <w:rPr>
          <w:spacing w:val="-4"/>
        </w:rPr>
        <w:t>seq.</w:t>
      </w:r>
    </w:p>
    <w:p>
      <w:pPr>
        <w:pStyle w:val="BodyText"/>
        <w:spacing w:before="5"/>
      </w:pPr>
    </w:p>
    <w:p>
      <w:pPr>
        <w:pStyle w:val="BodyText"/>
        <w:tabs>
          <w:tab w:pos="705" w:val="left" w:leader="none"/>
        </w:tabs>
        <w:ind w:left="165"/>
      </w:pPr>
      <w:bookmarkStart w:name="_bookmark1032" w:id="1034"/>
      <w:bookmarkEnd w:id="1034"/>
      <w:r>
        <w:rPr/>
      </w:r>
      <w:hyperlink w:history="true" w:anchor="_bookmark996">
        <w:r>
          <w:rPr>
            <w:color w:val="005DA1"/>
            <w:spacing w:val="-4"/>
            <w:position w:val="5"/>
            <w:sz w:val="14"/>
            <w:u w:val="single" w:color="005DA1"/>
          </w:rPr>
          <w:t>527</w:t>
        </w:r>
      </w:hyperlink>
      <w:r>
        <w:rPr>
          <w:spacing w:val="-4"/>
          <w:position w:val="5"/>
          <w:sz w:val="14"/>
        </w:rPr>
        <w:t>.</w:t>
      </w:r>
      <w:r>
        <w:rPr>
          <w:position w:val="5"/>
          <w:sz w:val="14"/>
        </w:rPr>
        <w:tab/>
      </w:r>
      <w:r>
        <w:rPr/>
        <w:t>Below,</w:t>
      </w:r>
      <w:r>
        <w:rPr>
          <w:spacing w:val="-2"/>
        </w:rPr>
        <w:t> </w:t>
      </w:r>
      <w:r>
        <w:rPr/>
        <w:t>paras 7-123—7-</w:t>
      </w:r>
      <w:r>
        <w:rPr>
          <w:spacing w:val="-4"/>
        </w:rPr>
        <w:t>142.</w:t>
      </w:r>
    </w:p>
    <w:p>
      <w:pPr>
        <w:pStyle w:val="BodyText"/>
        <w:spacing w:before="9"/>
      </w:pPr>
    </w:p>
    <w:p>
      <w:pPr>
        <w:tabs>
          <w:tab w:pos="705" w:val="left" w:leader="none"/>
        </w:tabs>
        <w:spacing w:line="235" w:lineRule="auto" w:before="0"/>
        <w:ind w:left="705" w:right="168" w:hanging="541"/>
        <w:jc w:val="left"/>
        <w:rPr>
          <w:sz w:val="20"/>
        </w:rPr>
      </w:pPr>
      <w:bookmarkStart w:name="_bookmark1033" w:id="1035"/>
      <w:bookmarkEnd w:id="1035"/>
      <w:r>
        <w:rPr/>
      </w:r>
      <w:hyperlink w:history="true" w:anchor="_bookmark997">
        <w:r>
          <w:rPr>
            <w:color w:val="005DA1"/>
            <w:spacing w:val="-4"/>
            <w:position w:val="5"/>
            <w:sz w:val="14"/>
            <w:u w:val="single" w:color="005DA1"/>
          </w:rPr>
          <w:t>528</w:t>
        </w:r>
      </w:hyperlink>
      <w:r>
        <w:rPr>
          <w:spacing w:val="-4"/>
          <w:position w:val="5"/>
          <w:sz w:val="14"/>
        </w:rPr>
        <w:t>.</w:t>
      </w:r>
      <w:r>
        <w:rPr>
          <w:position w:val="5"/>
          <w:sz w:val="14"/>
        </w:rPr>
        <w:tab/>
      </w:r>
      <w:r>
        <w:rPr>
          <w:sz w:val="20"/>
        </w:rPr>
        <w:t>This</w:t>
      </w:r>
      <w:r>
        <w:rPr>
          <w:spacing w:val="34"/>
          <w:sz w:val="20"/>
        </w:rPr>
        <w:t> </w:t>
      </w:r>
      <w:r>
        <w:rPr>
          <w:sz w:val="20"/>
        </w:rPr>
        <w:t>sentence</w:t>
      </w:r>
      <w:r>
        <w:rPr>
          <w:spacing w:val="34"/>
          <w:sz w:val="20"/>
        </w:rPr>
        <w:t> </w:t>
      </w:r>
      <w:r>
        <w:rPr>
          <w:sz w:val="20"/>
        </w:rPr>
        <w:t>was</w:t>
      </w:r>
      <w:r>
        <w:rPr>
          <w:spacing w:val="34"/>
          <w:sz w:val="20"/>
        </w:rPr>
        <w:t> </w:t>
      </w:r>
      <w:r>
        <w:rPr>
          <w:sz w:val="20"/>
        </w:rPr>
        <w:t>cited</w:t>
      </w:r>
      <w:r>
        <w:rPr>
          <w:spacing w:val="34"/>
          <w:sz w:val="20"/>
        </w:rPr>
        <w:t> </w:t>
      </w:r>
      <w:r>
        <w:rPr>
          <w:sz w:val="20"/>
        </w:rPr>
        <w:t>with</w:t>
      </w:r>
      <w:r>
        <w:rPr>
          <w:spacing w:val="34"/>
          <w:sz w:val="20"/>
        </w:rPr>
        <w:t> </w:t>
      </w:r>
      <w:r>
        <w:rPr>
          <w:sz w:val="20"/>
        </w:rPr>
        <w:t>approval</w:t>
      </w:r>
      <w:r>
        <w:rPr>
          <w:spacing w:val="34"/>
          <w:sz w:val="20"/>
        </w:rPr>
        <w:t> </w:t>
      </w:r>
      <w:r>
        <w:rPr>
          <w:sz w:val="20"/>
        </w:rPr>
        <w:t>by</w:t>
      </w:r>
      <w:r>
        <w:rPr>
          <w:spacing w:val="34"/>
          <w:sz w:val="20"/>
        </w:rPr>
        <w:t> </w:t>
      </w:r>
      <w:r>
        <w:rPr>
          <w:sz w:val="20"/>
        </w:rPr>
        <w:t>Longmore</w:t>
      </w:r>
      <w:r>
        <w:rPr>
          <w:spacing w:val="34"/>
          <w:sz w:val="20"/>
        </w:rPr>
        <w:t> </w:t>
      </w:r>
      <w:r>
        <w:rPr>
          <w:sz w:val="20"/>
        </w:rPr>
        <w:t>L.J.</w:t>
      </w:r>
      <w:r>
        <w:rPr>
          <w:spacing w:val="34"/>
          <w:sz w:val="20"/>
        </w:rPr>
        <w:t> </w:t>
      </w:r>
      <w:r>
        <w:rPr>
          <w:sz w:val="20"/>
        </w:rPr>
        <w:t>in</w:t>
      </w:r>
      <w:r>
        <w:rPr>
          <w:spacing w:val="34"/>
          <w:sz w:val="20"/>
        </w:rPr>
        <w:t> </w:t>
      </w:r>
      <w:r>
        <w:rPr>
          <w:rFonts w:ascii="Arial"/>
          <w:i/>
          <w:sz w:val="20"/>
        </w:rPr>
        <w:t>Salt</w:t>
      </w:r>
      <w:r>
        <w:rPr>
          <w:rFonts w:ascii="Arial"/>
          <w:i/>
          <w:spacing w:val="34"/>
          <w:sz w:val="20"/>
        </w:rPr>
        <w:t> </w:t>
      </w:r>
      <w:r>
        <w:rPr>
          <w:rFonts w:ascii="Arial"/>
          <w:i/>
          <w:sz w:val="20"/>
        </w:rPr>
        <w:t>v</w:t>
      </w:r>
      <w:r>
        <w:rPr>
          <w:rFonts w:ascii="Arial"/>
          <w:i/>
          <w:spacing w:val="34"/>
          <w:sz w:val="20"/>
        </w:rPr>
        <w:t> </w:t>
      </w:r>
      <w:r>
        <w:rPr>
          <w:rFonts w:ascii="Arial"/>
          <w:i/>
          <w:sz w:val="20"/>
        </w:rPr>
        <w:t>Stratstone</w:t>
      </w:r>
      <w:r>
        <w:rPr>
          <w:rFonts w:ascii="Arial"/>
          <w:i/>
          <w:spacing w:val="34"/>
          <w:sz w:val="20"/>
        </w:rPr>
        <w:t> </w:t>
      </w:r>
      <w:r>
        <w:rPr>
          <w:rFonts w:ascii="Arial"/>
          <w:i/>
          <w:sz w:val="20"/>
        </w:rPr>
        <w:t>Specialist</w:t>
      </w:r>
      <w:r>
        <w:rPr>
          <w:rFonts w:ascii="Arial"/>
          <w:i/>
          <w:spacing w:val="34"/>
          <w:sz w:val="20"/>
        </w:rPr>
        <w:t> </w:t>
      </w:r>
      <w:r>
        <w:rPr>
          <w:rFonts w:ascii="Arial"/>
          <w:i/>
          <w:sz w:val="20"/>
        </w:rPr>
        <w:t>Ltd [2015] EWCA Civ 745 </w:t>
      </w:r>
      <w:r>
        <w:rPr>
          <w:sz w:val="20"/>
        </w:rPr>
        <w:t>at [24]: see above, para.7-110, text at n.476a.</w:t>
      </w:r>
    </w:p>
    <w:p>
      <w:pPr>
        <w:pStyle w:val="BodyText"/>
        <w:spacing w:before="9"/>
      </w:pPr>
    </w:p>
    <w:p>
      <w:pPr>
        <w:tabs>
          <w:tab w:pos="705" w:val="left" w:leader="none"/>
        </w:tabs>
        <w:spacing w:line="235" w:lineRule="auto" w:before="0"/>
        <w:ind w:left="705" w:right="168" w:hanging="541"/>
        <w:jc w:val="left"/>
        <w:rPr>
          <w:rFonts w:ascii="Arial" w:hAnsi="Arial"/>
          <w:i/>
          <w:sz w:val="20"/>
        </w:rPr>
      </w:pPr>
      <w:bookmarkStart w:name="_bookmark1034" w:id="1036"/>
      <w:bookmarkEnd w:id="1036"/>
      <w:r>
        <w:rPr/>
      </w:r>
      <w:hyperlink w:history="true" w:anchor="_bookmark998">
        <w:r>
          <w:rPr>
            <w:color w:val="005DA1"/>
            <w:spacing w:val="-4"/>
            <w:position w:val="5"/>
            <w:sz w:val="14"/>
            <w:u w:val="single" w:color="005DA1"/>
          </w:rPr>
          <w:t>529</w:t>
        </w:r>
      </w:hyperlink>
      <w:r>
        <w:rPr>
          <w:spacing w:val="-4"/>
          <w:position w:val="5"/>
          <w:sz w:val="14"/>
        </w:rPr>
        <w:t>.</w:t>
      </w:r>
      <w:r>
        <w:rPr>
          <w:position w:val="5"/>
          <w:sz w:val="14"/>
        </w:rPr>
        <w:tab/>
      </w:r>
      <w:r>
        <w:rPr>
          <w:rFonts w:ascii="Arial" w:hAnsi="Arial"/>
          <w:i/>
          <w:sz w:val="20"/>
        </w:rPr>
        <w:t>Pennsylvania Shipping Co v Compagnie Nationale de Navigation [1936] 2 All E.R. 1167, 1171</w:t>
      </w:r>
      <w:r>
        <w:rPr>
          <w:sz w:val="20"/>
        </w:rPr>
        <w:t>; </w:t>
      </w:r>
      <w:r>
        <w:rPr>
          <w:rFonts w:ascii="Arial" w:hAnsi="Arial"/>
          <w:i/>
          <w:sz w:val="20"/>
        </w:rPr>
        <w:t>Leaf</w:t>
      </w:r>
      <w:r>
        <w:rPr>
          <w:rFonts w:ascii="Arial" w:hAnsi="Arial"/>
          <w:i/>
          <w:spacing w:val="23"/>
          <w:sz w:val="20"/>
        </w:rPr>
        <w:t> </w:t>
      </w:r>
      <w:r>
        <w:rPr>
          <w:rFonts w:ascii="Arial" w:hAnsi="Arial"/>
          <w:i/>
          <w:sz w:val="20"/>
        </w:rPr>
        <w:t>v</w:t>
      </w:r>
      <w:r>
        <w:rPr>
          <w:rFonts w:ascii="Arial" w:hAnsi="Arial"/>
          <w:i/>
          <w:spacing w:val="24"/>
          <w:sz w:val="20"/>
        </w:rPr>
        <w:t> </w:t>
      </w:r>
      <w:r>
        <w:rPr>
          <w:rFonts w:ascii="Arial" w:hAnsi="Arial"/>
          <w:i/>
          <w:sz w:val="20"/>
        </w:rPr>
        <w:t>International</w:t>
      </w:r>
      <w:r>
        <w:rPr>
          <w:rFonts w:ascii="Arial" w:hAnsi="Arial"/>
          <w:i/>
          <w:spacing w:val="24"/>
          <w:sz w:val="20"/>
        </w:rPr>
        <w:t> </w:t>
      </w:r>
      <w:r>
        <w:rPr>
          <w:rFonts w:ascii="Arial" w:hAnsi="Arial"/>
          <w:i/>
          <w:sz w:val="20"/>
        </w:rPr>
        <w:t>Galleries</w:t>
      </w:r>
      <w:r>
        <w:rPr>
          <w:rFonts w:ascii="Arial" w:hAnsi="Arial"/>
          <w:i/>
          <w:spacing w:val="24"/>
          <w:sz w:val="20"/>
        </w:rPr>
        <w:t> </w:t>
      </w:r>
      <w:r>
        <w:rPr>
          <w:rFonts w:ascii="Arial" w:hAnsi="Arial"/>
          <w:i/>
          <w:sz w:val="20"/>
        </w:rPr>
        <w:t>[1950]</w:t>
      </w:r>
      <w:r>
        <w:rPr>
          <w:rFonts w:ascii="Arial" w:hAnsi="Arial"/>
          <w:i/>
          <w:spacing w:val="24"/>
          <w:sz w:val="20"/>
        </w:rPr>
        <w:t> </w:t>
      </w:r>
      <w:r>
        <w:rPr>
          <w:rFonts w:ascii="Arial" w:hAnsi="Arial"/>
          <w:i/>
          <w:sz w:val="20"/>
        </w:rPr>
        <w:t>2</w:t>
      </w:r>
      <w:r>
        <w:rPr>
          <w:rFonts w:ascii="Arial" w:hAnsi="Arial"/>
          <w:i/>
          <w:spacing w:val="24"/>
          <w:sz w:val="20"/>
        </w:rPr>
        <w:t> </w:t>
      </w:r>
      <w:r>
        <w:rPr>
          <w:rFonts w:ascii="Arial" w:hAnsi="Arial"/>
          <w:i/>
          <w:sz w:val="20"/>
        </w:rPr>
        <w:t>K.B.</w:t>
      </w:r>
      <w:r>
        <w:rPr>
          <w:rFonts w:ascii="Arial" w:hAnsi="Arial"/>
          <w:i/>
          <w:spacing w:val="24"/>
          <w:sz w:val="20"/>
        </w:rPr>
        <w:t> </w:t>
      </w:r>
      <w:r>
        <w:rPr>
          <w:rFonts w:ascii="Arial" w:hAnsi="Arial"/>
          <w:i/>
          <w:sz w:val="20"/>
        </w:rPr>
        <w:t>86</w:t>
      </w:r>
      <w:r>
        <w:rPr>
          <w:sz w:val="20"/>
        </w:rPr>
        <w:t>;</w:t>
      </w:r>
      <w:r>
        <w:rPr>
          <w:spacing w:val="24"/>
          <w:sz w:val="20"/>
        </w:rPr>
        <w:t> </w:t>
      </w:r>
      <w:r>
        <w:rPr>
          <w:sz w:val="20"/>
        </w:rPr>
        <w:t>cf.</w:t>
      </w:r>
      <w:r>
        <w:rPr>
          <w:spacing w:val="24"/>
          <w:sz w:val="20"/>
        </w:rPr>
        <w:t> </w:t>
      </w:r>
      <w:r>
        <w:rPr>
          <w:rFonts w:ascii="Arial" w:hAnsi="Arial"/>
          <w:i/>
          <w:sz w:val="20"/>
        </w:rPr>
        <w:t>Compagnie</w:t>
      </w:r>
      <w:r>
        <w:rPr>
          <w:rFonts w:ascii="Arial" w:hAnsi="Arial"/>
          <w:i/>
          <w:spacing w:val="24"/>
          <w:sz w:val="20"/>
        </w:rPr>
        <w:t> </w:t>
      </w:r>
      <w:r>
        <w:rPr>
          <w:rFonts w:ascii="Arial" w:hAnsi="Arial"/>
          <w:i/>
          <w:sz w:val="20"/>
        </w:rPr>
        <w:t>Française</w:t>
      </w:r>
      <w:r>
        <w:rPr>
          <w:rFonts w:ascii="Arial" w:hAnsi="Arial"/>
          <w:i/>
          <w:spacing w:val="24"/>
          <w:sz w:val="20"/>
        </w:rPr>
        <w:t> </w:t>
      </w:r>
      <w:r>
        <w:rPr>
          <w:rFonts w:ascii="Arial" w:hAnsi="Arial"/>
          <w:i/>
          <w:sz w:val="20"/>
        </w:rPr>
        <w:t>de</w:t>
      </w:r>
      <w:r>
        <w:rPr>
          <w:rFonts w:ascii="Arial" w:hAnsi="Arial"/>
          <w:i/>
          <w:spacing w:val="24"/>
          <w:sz w:val="20"/>
        </w:rPr>
        <w:t> </w:t>
      </w:r>
      <w:r>
        <w:rPr>
          <w:rFonts w:ascii="Arial" w:hAnsi="Arial"/>
          <w:i/>
          <w:sz w:val="20"/>
        </w:rPr>
        <w:t>Chemins</w:t>
      </w:r>
      <w:r>
        <w:rPr>
          <w:rFonts w:ascii="Arial" w:hAnsi="Arial"/>
          <w:i/>
          <w:spacing w:val="24"/>
          <w:sz w:val="20"/>
        </w:rPr>
        <w:t> </w:t>
      </w:r>
      <w:r>
        <w:rPr>
          <w:rFonts w:ascii="Arial" w:hAnsi="Arial"/>
          <w:i/>
          <w:sz w:val="20"/>
        </w:rPr>
        <w:t>de</w:t>
      </w:r>
      <w:r>
        <w:rPr>
          <w:rFonts w:ascii="Arial" w:hAnsi="Arial"/>
          <w:i/>
          <w:spacing w:val="24"/>
          <w:sz w:val="20"/>
        </w:rPr>
        <w:t> </w:t>
      </w:r>
      <w:r>
        <w:rPr>
          <w:rFonts w:ascii="Arial" w:hAnsi="Arial"/>
          <w:i/>
          <w:spacing w:val="-5"/>
          <w:sz w:val="20"/>
        </w:rPr>
        <w:t>Fer</w:t>
      </w:r>
    </w:p>
    <w:p>
      <w:pPr>
        <w:spacing w:after="0" w:line="235" w:lineRule="auto"/>
        <w:jc w:val="left"/>
        <w:rPr>
          <w:rFonts w:ascii="Arial" w:hAnsi="Arial"/>
          <w:i/>
          <w:sz w:val="20"/>
        </w:rPr>
        <w:sectPr>
          <w:pgSz w:w="11900" w:h="16840"/>
          <w:pgMar w:header="971" w:footer="0" w:top="1160" w:bottom="280" w:left="1275" w:right="1275"/>
        </w:sectPr>
      </w:pPr>
    </w:p>
    <w:p>
      <w:pPr>
        <w:pStyle w:val="BodyText"/>
        <w:spacing w:before="21"/>
        <w:rPr>
          <w:rFonts w:ascii="Arial"/>
          <w:i/>
        </w:rPr>
      </w:pPr>
    </w:p>
    <w:p>
      <w:pPr>
        <w:spacing w:before="0"/>
        <w:ind w:left="705" w:right="0" w:firstLine="0"/>
        <w:jc w:val="left"/>
        <w:rPr>
          <w:sz w:val="20"/>
        </w:rPr>
      </w:pPr>
      <w:r>
        <w:rPr>
          <w:rFonts w:ascii="Arial" w:hAnsi="Arial"/>
          <w:i/>
          <w:sz w:val="20"/>
        </w:rPr>
        <w:t>Paris-Orleans</w:t>
      </w:r>
      <w:r>
        <w:rPr>
          <w:rFonts w:ascii="Arial" w:hAnsi="Arial"/>
          <w:i/>
          <w:spacing w:val="-2"/>
          <w:sz w:val="20"/>
        </w:rPr>
        <w:t> </w:t>
      </w:r>
      <w:r>
        <w:rPr>
          <w:rFonts w:ascii="Arial" w:hAnsi="Arial"/>
          <w:i/>
          <w:sz w:val="20"/>
        </w:rPr>
        <w:t>v Leeston Shipping Co Ltd (1919) 1 Ll.L. Rep. 235, </w:t>
      </w:r>
      <w:r>
        <w:rPr>
          <w:rFonts w:ascii="Arial" w:hAnsi="Arial"/>
          <w:i/>
          <w:spacing w:val="-2"/>
          <w:sz w:val="20"/>
        </w:rPr>
        <w:t>237–238</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035" w:id="1037"/>
      <w:bookmarkEnd w:id="1037"/>
      <w:r>
        <w:rPr/>
      </w:r>
      <w:hyperlink w:history="true" w:anchor="_bookmark999">
        <w:r>
          <w:rPr>
            <w:color w:val="005DA1"/>
            <w:spacing w:val="-4"/>
            <w:position w:val="5"/>
            <w:sz w:val="14"/>
            <w:u w:val="single" w:color="005DA1"/>
          </w:rPr>
          <w:t>530</w:t>
        </w:r>
      </w:hyperlink>
      <w:r>
        <w:rPr>
          <w:spacing w:val="-4"/>
          <w:position w:val="5"/>
          <w:sz w:val="14"/>
        </w:rPr>
        <w:t>.</w:t>
      </w:r>
      <w:r>
        <w:rPr>
          <w:position w:val="5"/>
          <w:sz w:val="14"/>
        </w:rPr>
        <w:tab/>
      </w:r>
      <w:r>
        <w:rPr>
          <w:sz w:val="20"/>
        </w:rPr>
        <w:t>See</w:t>
      </w:r>
      <w:r>
        <w:rPr>
          <w:spacing w:val="-1"/>
          <w:sz w:val="20"/>
        </w:rPr>
        <w:t> </w:t>
      </w:r>
      <w:r>
        <w:rPr>
          <w:rFonts w:ascii="Arial"/>
          <w:i/>
          <w:sz w:val="20"/>
        </w:rPr>
        <w:t>Johnson v Agnew [1980] A.C. </w:t>
      </w:r>
      <w:r>
        <w:rPr>
          <w:rFonts w:ascii="Arial"/>
          <w:i/>
          <w:spacing w:val="-4"/>
          <w:sz w:val="20"/>
        </w:rPr>
        <w:t>367</w:t>
      </w:r>
      <w:r>
        <w:rPr>
          <w:spacing w:val="-4"/>
          <w:sz w:val="20"/>
        </w:rPr>
        <w:t>.</w:t>
      </w:r>
    </w:p>
    <w:p>
      <w:pPr>
        <w:pStyle w:val="BodyText"/>
        <w:spacing w:before="5"/>
      </w:pPr>
    </w:p>
    <w:p>
      <w:pPr>
        <w:pStyle w:val="BodyText"/>
        <w:tabs>
          <w:tab w:pos="705" w:val="left" w:leader="none"/>
        </w:tabs>
        <w:ind w:left="165"/>
      </w:pPr>
      <w:bookmarkStart w:name="_bookmark1036" w:id="1038"/>
      <w:bookmarkEnd w:id="1038"/>
      <w:r>
        <w:rPr/>
      </w:r>
      <w:hyperlink w:history="true" w:anchor="_bookmark1000">
        <w:r>
          <w:rPr>
            <w:color w:val="005DA1"/>
            <w:spacing w:val="-4"/>
            <w:position w:val="5"/>
            <w:sz w:val="14"/>
            <w:u w:val="single" w:color="005DA1"/>
          </w:rPr>
          <w:t>531</w:t>
        </w:r>
      </w:hyperlink>
      <w:r>
        <w:rPr>
          <w:spacing w:val="-4"/>
          <w:position w:val="5"/>
          <w:sz w:val="14"/>
        </w:rPr>
        <w:t>.</w:t>
      </w:r>
      <w:r>
        <w:rPr>
          <w:position w:val="5"/>
          <w:sz w:val="14"/>
        </w:rPr>
        <w:tab/>
      </w:r>
      <w:r>
        <w:rPr/>
        <w:t>See below, paras 13-031—13-</w:t>
      </w:r>
      <w:r>
        <w:rPr>
          <w:spacing w:val="-4"/>
        </w:rPr>
        <w:t>032.</w:t>
      </w:r>
    </w:p>
    <w:p>
      <w:pPr>
        <w:pStyle w:val="BodyText"/>
        <w:spacing w:before="9"/>
      </w:pPr>
    </w:p>
    <w:p>
      <w:pPr>
        <w:spacing w:line="235" w:lineRule="auto" w:before="0"/>
        <w:ind w:left="705" w:right="168" w:hanging="541"/>
        <w:jc w:val="both"/>
        <w:rPr>
          <w:sz w:val="20"/>
        </w:rPr>
      </w:pPr>
      <w:bookmarkStart w:name="_bookmark1037" w:id="1039"/>
      <w:bookmarkEnd w:id="1039"/>
      <w:r>
        <w:rPr/>
      </w:r>
      <w:hyperlink w:history="true" w:anchor="_bookmark1001">
        <w:r>
          <w:rPr>
            <w:color w:val="005DA1"/>
            <w:position w:val="5"/>
            <w:sz w:val="14"/>
            <w:u w:val="single" w:color="005DA1"/>
          </w:rPr>
          <w:t>532</w:t>
        </w:r>
      </w:hyperlink>
      <w:r>
        <w:rPr>
          <w:position w:val="5"/>
          <w:sz w:val="14"/>
        </w:rPr>
        <w:t>.</w:t>
      </w:r>
      <w:r>
        <w:rPr>
          <w:spacing w:val="40"/>
          <w:position w:val="5"/>
          <w:sz w:val="14"/>
        </w:rPr>
        <w:t>  </w:t>
      </w:r>
      <w:r>
        <w:rPr>
          <w:sz w:val="20"/>
        </w:rPr>
        <w:t>However, this “somewhat strange result” was held not to be law in </w:t>
      </w:r>
      <w:r>
        <w:rPr>
          <w:rFonts w:ascii="Arial" w:hAnsi="Arial"/>
          <w:i/>
          <w:sz w:val="20"/>
        </w:rPr>
        <w:t>Academy of Health and Fitness Pty Ltd v Power [1973] V.R. 254</w:t>
      </w:r>
      <w:r>
        <w:rPr>
          <w:sz w:val="20"/>
        </w:rPr>
        <w:t>, a case arising in a jurisdiction not governed by the Misrepresentation Act 1967.</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74208">
            <wp:simplePos x="0" y="0"/>
            <wp:positionH relativeFrom="page">
              <wp:posOffset>1257846</wp:posOffset>
            </wp:positionH>
            <wp:positionV relativeFrom="paragraph">
              <wp:posOffset>160159</wp:posOffset>
            </wp:positionV>
            <wp:extent cx="107988" cy="107988"/>
            <wp:effectExtent l="0" t="0" r="0" b="0"/>
            <wp:wrapNone/>
            <wp:docPr id="188" name="Image 188"/>
            <wp:cNvGraphicFramePr>
              <a:graphicFrameLocks/>
            </wp:cNvGraphicFramePr>
            <a:graphic>
              <a:graphicData uri="http://schemas.openxmlformats.org/drawingml/2006/picture">
                <pic:pic>
                  <pic:nvPicPr>
                    <pic:cNvPr id="188" name="Image 18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38" w:id="1040"/>
      <w:bookmarkEnd w:id="1040"/>
      <w:r>
        <w:rPr/>
      </w:r>
      <w:hyperlink w:history="true" w:anchor="_bookmark1002">
        <w:r>
          <w:rPr>
            <w:color w:val="005DA1"/>
            <w:spacing w:val="-4"/>
            <w:sz w:val="14"/>
            <w:u w:val="single" w:color="005DA1"/>
          </w:rPr>
          <w:t>533</w:t>
        </w:r>
      </w:hyperlink>
      <w:r>
        <w:rPr>
          <w:spacing w:val="-4"/>
          <w:sz w:val="14"/>
        </w:rPr>
        <w:t>.</w:t>
      </w:r>
    </w:p>
    <w:p>
      <w:pPr>
        <w:pStyle w:val="BodyText"/>
        <w:spacing w:line="235" w:lineRule="auto" w:before="212"/>
        <w:ind w:left="165" w:right="167" w:firstLine="170"/>
        <w:jc w:val="both"/>
      </w:pPr>
      <w:r>
        <w:rPr/>
        <w:br w:type="column"/>
      </w:r>
      <w:r>
        <w:rPr/>
        <w:t>If the representee did not know of the representation before the contract was made (as, </w:t>
      </w:r>
      <w:r>
        <w:rPr/>
        <w:t>e.g. where he simply signed a written agreement) it would not in any event be an effective misrepresentation, above, para.7-035. There has been some disagreement over whether there is</w:t>
      </w:r>
      <w:r>
        <w:rPr>
          <w:spacing w:val="-2"/>
        </w:rPr>
        <w:t> </w:t>
      </w:r>
      <w:r>
        <w:rPr/>
        <w:t>a</w:t>
      </w:r>
      <w:r>
        <w:rPr>
          <w:spacing w:val="-2"/>
        </w:rPr>
        <w:t> </w:t>
      </w:r>
      <w:r>
        <w:rPr/>
        <w:t>representation</w:t>
      </w:r>
      <w:r>
        <w:rPr>
          <w:spacing w:val="-2"/>
        </w:rPr>
        <w:t> </w:t>
      </w:r>
      <w:r>
        <w:rPr/>
        <w:t>when</w:t>
      </w:r>
      <w:r>
        <w:rPr>
          <w:spacing w:val="-2"/>
        </w:rPr>
        <w:t> </w:t>
      </w:r>
      <w:r>
        <w:rPr/>
        <w:t>one</w:t>
      </w:r>
      <w:r>
        <w:rPr>
          <w:spacing w:val="-2"/>
        </w:rPr>
        <w:t> </w:t>
      </w:r>
      <w:r>
        <w:rPr/>
        <w:t>party</w:t>
      </w:r>
      <w:r>
        <w:rPr>
          <w:spacing w:val="-2"/>
        </w:rPr>
        <w:t> </w:t>
      </w:r>
      <w:r>
        <w:rPr/>
        <w:t>simply</w:t>
      </w:r>
      <w:r>
        <w:rPr>
          <w:spacing w:val="-2"/>
        </w:rPr>
        <w:t> </w:t>
      </w:r>
      <w:r>
        <w:rPr/>
        <w:t>gives</w:t>
      </w:r>
      <w:r>
        <w:rPr>
          <w:spacing w:val="-2"/>
        </w:rPr>
        <w:t> </w:t>
      </w:r>
      <w:r>
        <w:rPr/>
        <w:t>a</w:t>
      </w:r>
      <w:r>
        <w:rPr>
          <w:spacing w:val="-2"/>
        </w:rPr>
        <w:t> </w:t>
      </w:r>
      <w:r>
        <w:rPr/>
        <w:t>warranty</w:t>
      </w:r>
      <w:r>
        <w:rPr>
          <w:spacing w:val="-2"/>
        </w:rPr>
        <w:t> </w:t>
      </w:r>
      <w:r>
        <w:rPr/>
        <w:t>that</w:t>
      </w:r>
      <w:r>
        <w:rPr>
          <w:spacing w:val="-2"/>
        </w:rPr>
        <w:t> </w:t>
      </w:r>
      <w:r>
        <w:rPr/>
        <w:t>certain</w:t>
      </w:r>
      <w:r>
        <w:rPr>
          <w:spacing w:val="-2"/>
        </w:rPr>
        <w:t> </w:t>
      </w:r>
      <w:r>
        <w:rPr/>
        <w:t>facts</w:t>
      </w:r>
      <w:r>
        <w:rPr>
          <w:spacing w:val="-2"/>
        </w:rPr>
        <w:t> </w:t>
      </w:r>
      <w:r>
        <w:rPr/>
        <w:t>are</w:t>
      </w:r>
      <w:r>
        <w:rPr>
          <w:spacing w:val="-2"/>
        </w:rPr>
        <w:t> </w:t>
      </w:r>
      <w:r>
        <w:rPr/>
        <w:t>rue.</w:t>
      </w:r>
      <w:r>
        <w:rPr>
          <w:spacing w:val="-2"/>
        </w:rPr>
        <w:t> </w:t>
      </w:r>
      <w:r>
        <w:rPr/>
        <w:t>In</w:t>
      </w:r>
      <w:r>
        <w:rPr>
          <w:spacing w:val="-3"/>
        </w:rPr>
        <w:t> </w:t>
      </w:r>
      <w:r>
        <w:rPr>
          <w:rFonts w:ascii="Arial" w:hAnsi="Arial"/>
          <w:i/>
        </w:rPr>
        <w:t>Invertec Ltd</w:t>
      </w:r>
      <w:r>
        <w:rPr>
          <w:rFonts w:ascii="Arial" w:hAnsi="Arial"/>
          <w:i/>
          <w:spacing w:val="-2"/>
        </w:rPr>
        <w:t> </w:t>
      </w:r>
      <w:r>
        <w:rPr>
          <w:rFonts w:ascii="Arial" w:hAnsi="Arial"/>
          <w:i/>
        </w:rPr>
        <w:t>v</w:t>
      </w:r>
      <w:r>
        <w:rPr>
          <w:rFonts w:ascii="Arial" w:hAnsi="Arial"/>
          <w:i/>
          <w:spacing w:val="-2"/>
        </w:rPr>
        <w:t> </w:t>
      </w:r>
      <w:r>
        <w:rPr>
          <w:rFonts w:ascii="Arial" w:hAnsi="Arial"/>
          <w:i/>
        </w:rPr>
        <w:t>De</w:t>
      </w:r>
      <w:r>
        <w:rPr>
          <w:rFonts w:ascii="Arial" w:hAnsi="Arial"/>
          <w:i/>
          <w:spacing w:val="-2"/>
        </w:rPr>
        <w:t> </w:t>
      </w:r>
      <w:r>
        <w:rPr>
          <w:rFonts w:ascii="Arial" w:hAnsi="Arial"/>
          <w:i/>
        </w:rPr>
        <w:t>Mol</w:t>
      </w:r>
      <w:r>
        <w:rPr>
          <w:rFonts w:ascii="Arial" w:hAnsi="Arial"/>
          <w:i/>
          <w:spacing w:val="-2"/>
        </w:rPr>
        <w:t> </w:t>
      </w:r>
      <w:r>
        <w:rPr>
          <w:rFonts w:ascii="Arial" w:hAnsi="Arial"/>
          <w:i/>
        </w:rPr>
        <w:t>Holding</w:t>
      </w:r>
      <w:r>
        <w:rPr>
          <w:rFonts w:ascii="Arial" w:hAnsi="Arial"/>
          <w:i/>
          <w:spacing w:val="-2"/>
        </w:rPr>
        <w:t> </w:t>
      </w:r>
      <w:r>
        <w:rPr>
          <w:rFonts w:ascii="Arial" w:hAnsi="Arial"/>
          <w:i/>
        </w:rPr>
        <w:t>BV</w:t>
      </w:r>
      <w:r>
        <w:rPr>
          <w:rFonts w:ascii="Arial" w:hAnsi="Arial"/>
          <w:i/>
          <w:spacing w:val="-2"/>
        </w:rPr>
        <w:t> </w:t>
      </w:r>
      <w:r>
        <w:rPr>
          <w:rFonts w:ascii="Arial" w:hAnsi="Arial"/>
          <w:i/>
        </w:rPr>
        <w:t>[2009]</w:t>
      </w:r>
      <w:r>
        <w:rPr>
          <w:rFonts w:ascii="Arial" w:hAnsi="Arial"/>
          <w:i/>
          <w:spacing w:val="-2"/>
        </w:rPr>
        <w:t> </w:t>
      </w:r>
      <w:r>
        <w:rPr>
          <w:rFonts w:ascii="Arial" w:hAnsi="Arial"/>
          <w:i/>
        </w:rPr>
        <w:t>EWHC</w:t>
      </w:r>
      <w:r>
        <w:rPr>
          <w:rFonts w:ascii="Arial" w:hAnsi="Arial"/>
          <w:i/>
          <w:spacing w:val="-2"/>
        </w:rPr>
        <w:t> </w:t>
      </w:r>
      <w:r>
        <w:rPr>
          <w:rFonts w:ascii="Arial" w:hAnsi="Arial"/>
          <w:i/>
        </w:rPr>
        <w:t>2471</w:t>
      </w:r>
      <w:r>
        <w:rPr>
          <w:rFonts w:ascii="Arial" w:hAnsi="Arial"/>
          <w:i/>
          <w:spacing w:val="-2"/>
        </w:rPr>
        <w:t> </w:t>
      </w:r>
      <w:r>
        <w:rPr>
          <w:rFonts w:ascii="Arial" w:hAnsi="Arial"/>
          <w:i/>
        </w:rPr>
        <w:t>(Ch)</w:t>
      </w:r>
      <w:r>
        <w:rPr>
          <w:rFonts w:ascii="Arial" w:hAnsi="Arial"/>
          <w:i/>
          <w:spacing w:val="-2"/>
        </w:rPr>
        <w:t> </w:t>
      </w:r>
      <w:r>
        <w:rPr/>
        <w:t>Arnold</w:t>
      </w:r>
      <w:r>
        <w:rPr>
          <w:spacing w:val="-2"/>
        </w:rPr>
        <w:t> </w:t>
      </w:r>
      <w:r>
        <w:rPr/>
        <w:t>J.</w:t>
      </w:r>
      <w:r>
        <w:rPr>
          <w:spacing w:val="-2"/>
        </w:rPr>
        <w:t> </w:t>
      </w:r>
      <w:r>
        <w:rPr/>
        <w:t>held</w:t>
      </w:r>
      <w:r>
        <w:rPr>
          <w:spacing w:val="-2"/>
        </w:rPr>
        <w:t> </w:t>
      </w:r>
      <w:r>
        <w:rPr/>
        <w:t>that</w:t>
      </w:r>
      <w:r>
        <w:rPr>
          <w:spacing w:val="-2"/>
        </w:rPr>
        <w:t> </w:t>
      </w:r>
      <w:r>
        <w:rPr/>
        <w:t>the</w:t>
      </w:r>
      <w:r>
        <w:rPr>
          <w:spacing w:val="-2"/>
        </w:rPr>
        <w:t> </w:t>
      </w:r>
      <w:r>
        <w:rPr/>
        <w:t>warranties</w:t>
      </w:r>
      <w:r>
        <w:rPr>
          <w:spacing w:val="-2"/>
        </w:rPr>
        <w:t> </w:t>
      </w:r>
      <w:r>
        <w:rPr/>
        <w:t>in</w:t>
      </w:r>
      <w:r>
        <w:rPr>
          <w:spacing w:val="-2"/>
        </w:rPr>
        <w:t> </w:t>
      </w:r>
      <w:r>
        <w:rPr/>
        <w:t>that</w:t>
      </w:r>
      <w:r>
        <w:rPr>
          <w:spacing w:val="-2"/>
        </w:rPr>
        <w:t> </w:t>
      </w:r>
      <w:r>
        <w:rPr/>
        <w:t>case also</w:t>
      </w:r>
      <w:r>
        <w:rPr>
          <w:spacing w:val="-2"/>
        </w:rPr>
        <w:t> </w:t>
      </w:r>
      <w:r>
        <w:rPr/>
        <w:t>amounted</w:t>
      </w:r>
      <w:r>
        <w:rPr>
          <w:spacing w:val="-2"/>
        </w:rPr>
        <w:t> </w:t>
      </w:r>
      <w:r>
        <w:rPr/>
        <w:t>to</w:t>
      </w:r>
      <w:r>
        <w:rPr>
          <w:spacing w:val="-2"/>
        </w:rPr>
        <w:t> </w:t>
      </w:r>
      <w:r>
        <w:rPr/>
        <w:t>representations</w:t>
      </w:r>
      <w:r>
        <w:rPr>
          <w:spacing w:val="-2"/>
        </w:rPr>
        <w:t> </w:t>
      </w:r>
      <w:r>
        <w:rPr/>
        <w:t>(at</w:t>
      </w:r>
      <w:r>
        <w:rPr>
          <w:spacing w:val="-2"/>
        </w:rPr>
        <w:t> </w:t>
      </w:r>
      <w:r>
        <w:rPr/>
        <w:t>[362]–[363]).</w:t>
      </w:r>
      <w:r>
        <w:rPr>
          <w:spacing w:val="-2"/>
        </w:rPr>
        <w:t> </w:t>
      </w:r>
      <w:r>
        <w:rPr/>
        <w:t>In</w:t>
      </w:r>
      <w:r>
        <w:rPr>
          <w:spacing w:val="-3"/>
        </w:rPr>
        <w:t> </w:t>
      </w:r>
      <w:r>
        <w:rPr>
          <w:rFonts w:ascii="Arial" w:hAnsi="Arial"/>
          <w:i/>
        </w:rPr>
        <w:t>Sycamore</w:t>
      </w:r>
      <w:r>
        <w:rPr>
          <w:rFonts w:ascii="Arial" w:hAnsi="Arial"/>
          <w:i/>
          <w:spacing w:val="-2"/>
        </w:rPr>
        <w:t> </w:t>
      </w:r>
      <w:r>
        <w:rPr>
          <w:rFonts w:ascii="Arial" w:hAnsi="Arial"/>
          <w:i/>
        </w:rPr>
        <w:t>Bidco</w:t>
      </w:r>
      <w:r>
        <w:rPr>
          <w:rFonts w:ascii="Arial" w:hAnsi="Arial"/>
          <w:i/>
          <w:spacing w:val="-2"/>
        </w:rPr>
        <w:t> </w:t>
      </w:r>
      <w:r>
        <w:rPr>
          <w:rFonts w:ascii="Arial" w:hAnsi="Arial"/>
          <w:i/>
        </w:rPr>
        <w:t>Ltd</w:t>
      </w:r>
      <w:r>
        <w:rPr>
          <w:rFonts w:ascii="Arial" w:hAnsi="Arial"/>
          <w:i/>
          <w:spacing w:val="-2"/>
        </w:rPr>
        <w:t> </w:t>
      </w:r>
      <w:r>
        <w:rPr>
          <w:rFonts w:ascii="Arial" w:hAnsi="Arial"/>
          <w:i/>
        </w:rPr>
        <w:t>v</w:t>
      </w:r>
      <w:r>
        <w:rPr>
          <w:rFonts w:ascii="Arial" w:hAnsi="Arial"/>
          <w:i/>
          <w:spacing w:val="-2"/>
        </w:rPr>
        <w:t> </w:t>
      </w:r>
      <w:r>
        <w:rPr>
          <w:rFonts w:ascii="Arial" w:hAnsi="Arial"/>
          <w:i/>
        </w:rPr>
        <w:t>Sean</w:t>
      </w:r>
      <w:r>
        <w:rPr>
          <w:rFonts w:ascii="Arial" w:hAnsi="Arial"/>
          <w:i/>
          <w:spacing w:val="-2"/>
        </w:rPr>
        <w:t> </w:t>
      </w:r>
      <w:r>
        <w:rPr>
          <w:rFonts w:ascii="Arial" w:hAnsi="Arial"/>
          <w:i/>
        </w:rPr>
        <w:t>Breslin</w:t>
      </w:r>
      <w:r>
        <w:rPr>
          <w:rFonts w:ascii="Arial" w:hAnsi="Arial"/>
          <w:i/>
          <w:spacing w:val="-2"/>
        </w:rPr>
        <w:t> </w:t>
      </w:r>
      <w:r>
        <w:rPr>
          <w:rFonts w:ascii="Arial" w:hAnsi="Arial"/>
          <w:i/>
        </w:rPr>
        <w:t>[2012] EWHC 3443 (Ch)</w:t>
      </w:r>
      <w:r>
        <w:rPr/>
        <w:t>, at [209]–[210] Mann J. held that the warranties in the case before him were simply warranties and “there was nothing more to make them into representations”. Thus there was</w:t>
      </w:r>
      <w:r>
        <w:rPr>
          <w:spacing w:val="-1"/>
        </w:rPr>
        <w:t> </w:t>
      </w:r>
      <w:r>
        <w:rPr/>
        <w:t>no</w:t>
      </w:r>
      <w:r>
        <w:rPr>
          <w:spacing w:val="-1"/>
        </w:rPr>
        <w:t> </w:t>
      </w:r>
      <w:r>
        <w:rPr/>
        <w:t>claim</w:t>
      </w:r>
      <w:r>
        <w:rPr>
          <w:spacing w:val="-1"/>
        </w:rPr>
        <w:t> </w:t>
      </w:r>
      <w:r>
        <w:rPr/>
        <w:t>for</w:t>
      </w:r>
      <w:r>
        <w:rPr>
          <w:spacing w:val="-1"/>
        </w:rPr>
        <w:t> </w:t>
      </w:r>
      <w:r>
        <w:rPr/>
        <w:t>damages</w:t>
      </w:r>
      <w:r>
        <w:rPr>
          <w:spacing w:val="-1"/>
        </w:rPr>
        <w:t> </w:t>
      </w:r>
      <w:r>
        <w:rPr/>
        <w:t>under</w:t>
      </w:r>
      <w:r>
        <w:rPr>
          <w:spacing w:val="-1"/>
        </w:rPr>
        <w:t> </w:t>
      </w:r>
      <w:r>
        <w:rPr/>
        <w:t>Misrepresentation</w:t>
      </w:r>
      <w:r>
        <w:rPr>
          <w:spacing w:val="-1"/>
        </w:rPr>
        <w:t> </w:t>
      </w:r>
      <w:r>
        <w:rPr/>
        <w:t>Act</w:t>
      </w:r>
      <w:r>
        <w:rPr>
          <w:spacing w:val="-1"/>
        </w:rPr>
        <w:t> </w:t>
      </w:r>
      <w:r>
        <w:rPr/>
        <w:t>1967</w:t>
      </w:r>
      <w:r>
        <w:rPr>
          <w:spacing w:val="-1"/>
        </w:rPr>
        <w:t> </w:t>
      </w:r>
      <w:r>
        <w:rPr/>
        <w:t>s.2(1),</w:t>
      </w:r>
      <w:r>
        <w:rPr>
          <w:spacing w:val="-1"/>
        </w:rPr>
        <w:t> </w:t>
      </w:r>
      <w:r>
        <w:rPr/>
        <w:t>and</w:t>
      </w:r>
      <w:r>
        <w:rPr>
          <w:spacing w:val="-1"/>
        </w:rPr>
        <w:t> </w:t>
      </w:r>
      <w:r>
        <w:rPr/>
        <w:t>s.3</w:t>
      </w:r>
      <w:r>
        <w:rPr>
          <w:spacing w:val="-1"/>
        </w:rPr>
        <w:t> </w:t>
      </w:r>
      <w:r>
        <w:rPr/>
        <w:t>was</w:t>
      </w:r>
      <w:r>
        <w:rPr>
          <w:spacing w:val="-1"/>
        </w:rPr>
        <w:t> </w:t>
      </w:r>
      <w:r>
        <w:rPr/>
        <w:t>not</w:t>
      </w:r>
      <w:r>
        <w:rPr>
          <w:spacing w:val="-1"/>
        </w:rPr>
        <w:t> </w:t>
      </w:r>
      <w:r>
        <w:rPr/>
        <w:t>relevant</w:t>
      </w:r>
      <w:r>
        <w:rPr>
          <w:spacing w:val="-1"/>
        </w:rPr>
        <w:t> </w:t>
      </w:r>
      <w:r>
        <w:rPr/>
        <w:t>to the limitation of liability in the contract. It seems that in the</w:t>
      </w:r>
      <w:r>
        <w:rPr>
          <w:spacing w:val="-1"/>
        </w:rPr>
        <w:t> </w:t>
      </w:r>
      <w:r>
        <w:rPr>
          <w:rFonts w:ascii="Arial" w:hAnsi="Arial"/>
          <w:i/>
        </w:rPr>
        <w:t>Sycamore </w:t>
      </w:r>
      <w:r>
        <w:rPr/>
        <w:t>case the claimants did not rely on any pre-contract representations, but only on the warranties “as both warranties and representations”: at [202]. See also </w:t>
      </w:r>
      <w:r>
        <w:rPr>
          <w:rFonts w:ascii="Arial" w:hAnsi="Arial"/>
          <w:i/>
        </w:rPr>
        <w:t>Idemitsu Kosan Co Ltd v Sumitomo Corp [2016] EWHC 1909 (Comm) </w:t>
      </w:r>
      <w:r>
        <w:rPr/>
        <w:t>(above, para.7-009). Thus the question depends on the facts and interpretation</w:t>
      </w:r>
      <w:r>
        <w:rPr>
          <w:spacing w:val="40"/>
        </w:rPr>
        <w:t> </w:t>
      </w:r>
      <w:r>
        <w:rPr/>
        <w:t>of</w:t>
      </w:r>
      <w:r>
        <w:rPr>
          <w:spacing w:val="-1"/>
        </w:rPr>
        <w:t> </w:t>
      </w:r>
      <w:r>
        <w:rPr/>
        <w:t>the</w:t>
      </w:r>
      <w:r>
        <w:rPr>
          <w:spacing w:val="-1"/>
        </w:rPr>
        <w:t> </w:t>
      </w:r>
      <w:r>
        <w:rPr/>
        <w:t>agreement:</w:t>
      </w:r>
      <w:r>
        <w:rPr>
          <w:spacing w:val="-1"/>
        </w:rPr>
        <w:t> </w:t>
      </w:r>
      <w:r>
        <w:rPr>
          <w:rFonts w:ascii="Arial" w:hAnsi="Arial"/>
          <w:i/>
        </w:rPr>
        <w:t>Ticket2final</w:t>
      </w:r>
      <w:r>
        <w:rPr>
          <w:rFonts w:ascii="Arial" w:hAnsi="Arial"/>
          <w:i/>
          <w:spacing w:val="-1"/>
        </w:rPr>
        <w:t> </w:t>
      </w:r>
      <w:r>
        <w:rPr>
          <w:rFonts w:ascii="Arial" w:hAnsi="Arial"/>
          <w:i/>
        </w:rPr>
        <w:t>OU</w:t>
      </w:r>
      <w:r>
        <w:rPr>
          <w:rFonts w:ascii="Arial" w:hAnsi="Arial"/>
          <w:i/>
          <w:spacing w:val="-1"/>
        </w:rPr>
        <w:t> </w:t>
      </w:r>
      <w:r>
        <w:rPr>
          <w:rFonts w:ascii="Arial" w:hAnsi="Arial"/>
          <w:i/>
        </w:rPr>
        <w:t>v</w:t>
      </w:r>
      <w:r>
        <w:rPr>
          <w:rFonts w:ascii="Arial" w:hAnsi="Arial"/>
          <w:i/>
          <w:spacing w:val="-1"/>
        </w:rPr>
        <w:t> </w:t>
      </w:r>
      <w:r>
        <w:rPr>
          <w:rFonts w:ascii="Arial" w:hAnsi="Arial"/>
          <w:i/>
        </w:rPr>
        <w:t>Wigan</w:t>
      </w:r>
      <w:r>
        <w:rPr>
          <w:rFonts w:ascii="Arial" w:hAnsi="Arial"/>
          <w:i/>
          <w:spacing w:val="-1"/>
        </w:rPr>
        <w:t> </w:t>
      </w:r>
      <w:r>
        <w:rPr>
          <w:rFonts w:ascii="Arial" w:hAnsi="Arial"/>
          <w:i/>
        </w:rPr>
        <w:t>Athletic</w:t>
      </w:r>
      <w:r>
        <w:rPr>
          <w:rFonts w:ascii="Arial" w:hAnsi="Arial"/>
          <w:i/>
          <w:spacing w:val="-1"/>
        </w:rPr>
        <w:t> </w:t>
      </w:r>
      <w:r>
        <w:rPr>
          <w:rFonts w:ascii="Arial" w:hAnsi="Arial"/>
          <w:i/>
        </w:rPr>
        <w:t>AFC</w:t>
      </w:r>
      <w:r>
        <w:rPr>
          <w:rFonts w:ascii="Arial" w:hAnsi="Arial"/>
          <w:i/>
          <w:spacing w:val="-1"/>
        </w:rPr>
        <w:t> </w:t>
      </w:r>
      <w:r>
        <w:rPr>
          <w:rFonts w:ascii="Arial" w:hAnsi="Arial"/>
          <w:i/>
        </w:rPr>
        <w:t>Ltd</w:t>
      </w:r>
      <w:r>
        <w:rPr>
          <w:rFonts w:ascii="Arial" w:hAnsi="Arial"/>
          <w:i/>
          <w:spacing w:val="-1"/>
        </w:rPr>
        <w:t> </w:t>
      </w:r>
      <w:r>
        <w:rPr>
          <w:rFonts w:ascii="Arial" w:hAnsi="Arial"/>
          <w:i/>
        </w:rPr>
        <w:t>Unreported</w:t>
      </w:r>
      <w:r>
        <w:rPr>
          <w:rFonts w:ascii="Arial" w:hAnsi="Arial"/>
          <w:i/>
          <w:spacing w:val="-1"/>
        </w:rPr>
        <w:t> </w:t>
      </w:r>
      <w:r>
        <w:rPr>
          <w:rFonts w:ascii="Arial" w:hAnsi="Arial"/>
          <w:i/>
        </w:rPr>
        <w:t>January</w:t>
      </w:r>
      <w:r>
        <w:rPr>
          <w:rFonts w:ascii="Arial" w:hAnsi="Arial"/>
          <w:i/>
          <w:spacing w:val="-1"/>
        </w:rPr>
        <w:t> </w:t>
      </w:r>
      <w:r>
        <w:rPr>
          <w:rFonts w:ascii="Arial" w:hAnsi="Arial"/>
          <w:i/>
        </w:rPr>
        <w:t>22,</w:t>
      </w:r>
      <w:r>
        <w:rPr>
          <w:rFonts w:ascii="Arial" w:hAnsi="Arial"/>
          <w:i/>
          <w:spacing w:val="-1"/>
        </w:rPr>
        <w:t> </w:t>
      </w:r>
      <w:r>
        <w:rPr>
          <w:rFonts w:ascii="Arial" w:hAnsi="Arial"/>
          <w:i/>
        </w:rPr>
        <w:t>2015</w:t>
      </w:r>
      <w:r>
        <w:rPr>
          <w:rFonts w:ascii="Arial" w:hAnsi="Arial"/>
          <w:i/>
          <w:spacing w:val="-1"/>
        </w:rPr>
        <w:t> </w:t>
      </w:r>
      <w:r>
        <w:rPr>
          <w:rFonts w:ascii="Arial" w:hAnsi="Arial"/>
          <w:i/>
        </w:rPr>
        <w:t>Ch</w:t>
      </w:r>
      <w:r>
        <w:rPr>
          <w:rFonts w:ascii="Arial" w:hAnsi="Arial"/>
          <w:i/>
          <w:spacing w:val="-1"/>
        </w:rPr>
        <w:t> </w:t>
      </w:r>
      <w:r>
        <w:rPr>
          <w:rFonts w:ascii="Arial" w:hAnsi="Arial"/>
          <w:i/>
        </w:rPr>
        <w:t>D </w:t>
      </w:r>
      <w:r>
        <w:rPr/>
        <w:t>at [26]. Usually a party giving a warranty will have stated what it believed to be the facts before the contract was made and therefore there will have been a representation as well as a warranty. However, it is possible that even then the other party will be relying on the warranty and not on the representation. It is also possible, though in practice unlikely, for a person to warrant</w:t>
      </w:r>
      <w:r>
        <w:rPr>
          <w:spacing w:val="-3"/>
        </w:rPr>
        <w:t> </w:t>
      </w:r>
      <w:r>
        <w:rPr/>
        <w:t>the</w:t>
      </w:r>
      <w:r>
        <w:rPr>
          <w:spacing w:val="-3"/>
        </w:rPr>
        <w:t> </w:t>
      </w:r>
      <w:r>
        <w:rPr/>
        <w:t>truth</w:t>
      </w:r>
      <w:r>
        <w:rPr>
          <w:spacing w:val="-3"/>
        </w:rPr>
        <w:t> </w:t>
      </w:r>
      <w:r>
        <w:rPr/>
        <w:t>of</w:t>
      </w:r>
      <w:r>
        <w:rPr>
          <w:spacing w:val="-3"/>
        </w:rPr>
        <w:t> </w:t>
      </w:r>
      <w:r>
        <w:rPr/>
        <w:t>a</w:t>
      </w:r>
      <w:r>
        <w:rPr>
          <w:spacing w:val="-3"/>
        </w:rPr>
        <w:t> </w:t>
      </w:r>
      <w:r>
        <w:rPr/>
        <w:t>fact</w:t>
      </w:r>
      <w:r>
        <w:rPr>
          <w:spacing w:val="-3"/>
        </w:rPr>
        <w:t> </w:t>
      </w:r>
      <w:r>
        <w:rPr/>
        <w:t>without</w:t>
      </w:r>
      <w:r>
        <w:rPr>
          <w:spacing w:val="-3"/>
        </w:rPr>
        <w:t> </w:t>
      </w:r>
      <w:r>
        <w:rPr/>
        <w:t>making</w:t>
      </w:r>
      <w:r>
        <w:rPr>
          <w:spacing w:val="-3"/>
        </w:rPr>
        <w:t> </w:t>
      </w:r>
      <w:r>
        <w:rPr/>
        <w:t>any</w:t>
      </w:r>
      <w:r>
        <w:rPr>
          <w:spacing w:val="-3"/>
        </w:rPr>
        <w:t> </w:t>
      </w:r>
      <w:r>
        <w:rPr/>
        <w:t>representation</w:t>
      </w:r>
      <w:r>
        <w:rPr>
          <w:spacing w:val="-3"/>
        </w:rPr>
        <w:t> </w:t>
      </w:r>
      <w:r>
        <w:rPr/>
        <w:t>at</w:t>
      </w:r>
      <w:r>
        <w:rPr>
          <w:spacing w:val="-3"/>
        </w:rPr>
        <w:t> </w:t>
      </w:r>
      <w:r>
        <w:rPr/>
        <w:t>all</w:t>
      </w:r>
      <w:r>
        <w:rPr>
          <w:spacing w:val="-3"/>
        </w:rPr>
        <w:t> </w:t>
      </w:r>
      <w:r>
        <w:rPr/>
        <w:t>where</w:t>
      </w:r>
      <w:r>
        <w:rPr>
          <w:spacing w:val="-3"/>
        </w:rPr>
        <w:t> </w:t>
      </w:r>
      <w:r>
        <w:rPr/>
        <w:t>he</w:t>
      </w:r>
      <w:r>
        <w:rPr>
          <w:spacing w:val="-3"/>
        </w:rPr>
        <w:t> </w:t>
      </w:r>
      <w:r>
        <w:rPr/>
        <w:t>expressly</w:t>
      </w:r>
      <w:r>
        <w:rPr>
          <w:spacing w:val="-3"/>
        </w:rPr>
        <w:t> </w:t>
      </w:r>
      <w:r>
        <w:rPr/>
        <w:t>agrees</w:t>
      </w:r>
      <w:r>
        <w:rPr>
          <w:spacing w:val="-3"/>
        </w:rPr>
        <w:t> </w:t>
      </w:r>
      <w:r>
        <w:rPr/>
        <w:t>to take the risk, however the facts may turn out.</w:t>
      </w:r>
    </w:p>
    <w:p>
      <w:pPr>
        <w:pStyle w:val="BodyText"/>
        <w:spacing w:after="0" w:line="235" w:lineRule="auto"/>
        <w:jc w:val="both"/>
        <w:sectPr>
          <w:type w:val="continuous"/>
          <w:pgSz w:w="11900" w:h="16840"/>
          <w:pgMar w:header="971" w:footer="0" w:top="1160" w:bottom="280" w:left="1275" w:right="1275"/>
          <w:cols w:num="2" w:equalWidth="0">
            <w:col w:w="478" w:space="63"/>
            <w:col w:w="8809"/>
          </w:cols>
        </w:sectPr>
      </w:pPr>
    </w:p>
    <w:p>
      <w:pPr>
        <w:tabs>
          <w:tab w:pos="705" w:val="left" w:leader="none"/>
        </w:tabs>
        <w:spacing w:before="228"/>
        <w:ind w:left="165" w:right="0" w:firstLine="0"/>
        <w:jc w:val="left"/>
        <w:rPr>
          <w:sz w:val="20"/>
        </w:rPr>
      </w:pPr>
      <w:bookmarkStart w:name="_bookmark1039" w:id="1041"/>
      <w:bookmarkEnd w:id="1041"/>
      <w:r>
        <w:rPr/>
      </w:r>
      <w:hyperlink w:history="true" w:anchor="_bookmark1003">
        <w:r>
          <w:rPr>
            <w:color w:val="005DA1"/>
            <w:spacing w:val="-4"/>
            <w:position w:val="5"/>
            <w:sz w:val="14"/>
            <w:u w:val="single" w:color="005DA1"/>
          </w:rPr>
          <w:t>534</w:t>
        </w:r>
      </w:hyperlink>
      <w:r>
        <w:rPr>
          <w:spacing w:val="-4"/>
          <w:position w:val="5"/>
          <w:sz w:val="14"/>
        </w:rPr>
        <w:t>.</w:t>
      </w:r>
      <w:r>
        <w:rPr>
          <w:position w:val="5"/>
          <w:sz w:val="14"/>
        </w:rPr>
        <w:tab/>
      </w:r>
      <w:r>
        <w:rPr>
          <w:rFonts w:ascii="Arial"/>
          <w:i/>
          <w:sz w:val="20"/>
        </w:rPr>
        <w:t>[1980]</w:t>
      </w:r>
      <w:r>
        <w:rPr>
          <w:rFonts w:ascii="Arial"/>
          <w:i/>
          <w:spacing w:val="-2"/>
          <w:sz w:val="20"/>
        </w:rPr>
        <w:t> </w:t>
      </w:r>
      <w:r>
        <w:rPr>
          <w:rFonts w:ascii="Arial"/>
          <w:i/>
          <w:sz w:val="20"/>
        </w:rPr>
        <w:t>A.C. </w:t>
      </w:r>
      <w:r>
        <w:rPr>
          <w:rFonts w:ascii="Arial"/>
          <w:i/>
          <w:spacing w:val="-4"/>
          <w:sz w:val="20"/>
        </w:rPr>
        <w:t>367</w:t>
      </w:r>
      <w:r>
        <w:rPr>
          <w:spacing w:val="-4"/>
          <w:sz w:val="20"/>
        </w:rPr>
        <w:t>.</w:t>
      </w:r>
    </w:p>
    <w:p>
      <w:pPr>
        <w:pStyle w:val="BodyText"/>
        <w:spacing w:before="5"/>
      </w:pPr>
    </w:p>
    <w:p>
      <w:pPr>
        <w:pStyle w:val="BodyText"/>
        <w:tabs>
          <w:tab w:pos="705" w:val="left" w:leader="none"/>
        </w:tabs>
        <w:ind w:left="165"/>
      </w:pPr>
      <w:bookmarkStart w:name="_bookmark1040" w:id="1042"/>
      <w:bookmarkEnd w:id="1042"/>
      <w:r>
        <w:rPr/>
      </w:r>
      <w:hyperlink w:history="true" w:anchor="_bookmark1004">
        <w:r>
          <w:rPr>
            <w:color w:val="005DA1"/>
            <w:spacing w:val="-4"/>
            <w:position w:val="5"/>
            <w:sz w:val="14"/>
            <w:u w:val="single" w:color="005DA1"/>
          </w:rPr>
          <w:t>535</w:t>
        </w:r>
      </w:hyperlink>
      <w:r>
        <w:rPr>
          <w:spacing w:val="-4"/>
          <w:position w:val="5"/>
          <w:sz w:val="14"/>
        </w:rPr>
        <w:t>.</w:t>
      </w:r>
      <w:r>
        <w:rPr>
          <w:position w:val="5"/>
          <w:sz w:val="14"/>
        </w:rPr>
        <w:tab/>
      </w:r>
      <w:r>
        <w:rPr/>
        <w:t>See</w:t>
      </w:r>
      <w:r>
        <w:rPr>
          <w:spacing w:val="-2"/>
        </w:rPr>
        <w:t> </w:t>
      </w:r>
      <w:r>
        <w:rPr/>
        <w:t>above, para.7-</w:t>
      </w:r>
      <w:r>
        <w:rPr>
          <w:spacing w:val="-4"/>
        </w:rPr>
        <w:t>080.</w:t>
      </w:r>
    </w:p>
    <w:p>
      <w:pPr>
        <w:pStyle w:val="BodyText"/>
        <w:spacing w:before="5"/>
      </w:pPr>
    </w:p>
    <w:p>
      <w:pPr>
        <w:tabs>
          <w:tab w:pos="705" w:val="left" w:leader="none"/>
        </w:tabs>
        <w:spacing w:before="0"/>
        <w:ind w:left="165" w:right="0" w:firstLine="0"/>
        <w:jc w:val="left"/>
        <w:rPr>
          <w:sz w:val="20"/>
        </w:rPr>
      </w:pPr>
      <w:bookmarkStart w:name="_bookmark1041" w:id="1043"/>
      <w:bookmarkEnd w:id="1043"/>
      <w:r>
        <w:rPr/>
      </w:r>
      <w:hyperlink w:history="true" w:anchor="_bookmark1005">
        <w:r>
          <w:rPr>
            <w:color w:val="005DA1"/>
            <w:spacing w:val="-4"/>
            <w:position w:val="5"/>
            <w:sz w:val="14"/>
            <w:u w:val="single" w:color="005DA1"/>
          </w:rPr>
          <w:t>536</w:t>
        </w:r>
      </w:hyperlink>
      <w:r>
        <w:rPr>
          <w:spacing w:val="-4"/>
          <w:position w:val="5"/>
          <w:sz w:val="14"/>
        </w:rPr>
        <w:t>.</w:t>
      </w:r>
      <w:r>
        <w:rPr>
          <w:position w:val="5"/>
          <w:sz w:val="14"/>
        </w:rPr>
        <w:tab/>
      </w:r>
      <w:r>
        <w:rPr>
          <w:rFonts w:ascii="Arial" w:hAnsi="Arial"/>
          <w:i/>
          <w:sz w:val="20"/>
        </w:rPr>
        <w:t>Occidental Worldwide Investment Corp v Skibs A/S Avanti [1976] 1 Lloyd’s Rep. </w:t>
      </w:r>
      <w:r>
        <w:rPr>
          <w:rFonts w:ascii="Arial" w:hAnsi="Arial"/>
          <w:i/>
          <w:spacing w:val="-4"/>
          <w:sz w:val="20"/>
        </w:rPr>
        <w:t>293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42" w:id="1044"/>
      <w:bookmarkEnd w:id="1044"/>
      <w:r>
        <w:rPr/>
      </w:r>
      <w:hyperlink w:history="true" w:anchor="_bookmark1006">
        <w:r>
          <w:rPr>
            <w:color w:val="005DA1"/>
            <w:spacing w:val="-4"/>
            <w:position w:val="5"/>
            <w:sz w:val="14"/>
            <w:u w:val="single" w:color="005DA1"/>
          </w:rPr>
          <w:t>537</w:t>
        </w:r>
      </w:hyperlink>
      <w:r>
        <w:rPr>
          <w:spacing w:val="-4"/>
          <w:position w:val="5"/>
          <w:sz w:val="14"/>
        </w:rPr>
        <w:t>.</w:t>
      </w:r>
      <w:r>
        <w:rPr>
          <w:position w:val="5"/>
          <w:sz w:val="14"/>
        </w:rPr>
        <w:tab/>
      </w:r>
      <w:r>
        <w:rPr>
          <w:sz w:val="20"/>
        </w:rPr>
        <w:t>Above, para.7-</w:t>
      </w:r>
      <w:r>
        <w:rPr>
          <w:spacing w:val="-4"/>
          <w:sz w:val="20"/>
        </w:rPr>
        <w:t>104.</w:t>
      </w:r>
    </w:p>
    <w:p>
      <w:pPr>
        <w:pStyle w:val="BodyText"/>
        <w:spacing w:before="5"/>
      </w:pPr>
    </w:p>
    <w:p>
      <w:pPr>
        <w:tabs>
          <w:tab w:pos="705" w:val="left" w:leader="none"/>
        </w:tabs>
        <w:spacing w:before="0"/>
        <w:ind w:left="165" w:right="0" w:firstLine="0"/>
        <w:jc w:val="left"/>
        <w:rPr>
          <w:sz w:val="20"/>
        </w:rPr>
      </w:pPr>
      <w:bookmarkStart w:name="_bookmark1043" w:id="1045"/>
      <w:bookmarkEnd w:id="1045"/>
      <w:r>
        <w:rPr/>
      </w:r>
      <w:hyperlink w:history="true" w:anchor="_bookmark1007">
        <w:r>
          <w:rPr>
            <w:color w:val="005DA1"/>
            <w:spacing w:val="-4"/>
            <w:position w:val="5"/>
            <w:sz w:val="14"/>
            <w:u w:val="single" w:color="005DA1"/>
          </w:rPr>
          <w:t>538</w:t>
        </w:r>
      </w:hyperlink>
      <w:r>
        <w:rPr>
          <w:spacing w:val="-4"/>
          <w:position w:val="5"/>
          <w:sz w:val="14"/>
        </w:rPr>
        <w:t>.</w:t>
      </w:r>
      <w:r>
        <w:rPr>
          <w:position w:val="5"/>
          <w:sz w:val="14"/>
        </w:rPr>
        <w:tab/>
      </w:r>
      <w:r>
        <w:rPr>
          <w:sz w:val="20"/>
        </w:rPr>
        <w:t>Above, para.7-</w:t>
      </w:r>
      <w:r>
        <w:rPr>
          <w:spacing w:val="-4"/>
          <w:sz w:val="20"/>
        </w:rPr>
        <w:t>110.</w:t>
      </w:r>
    </w:p>
    <w:p>
      <w:pPr>
        <w:pStyle w:val="BodyText"/>
        <w:spacing w:before="9"/>
      </w:pPr>
    </w:p>
    <w:p>
      <w:pPr>
        <w:pStyle w:val="BodyText"/>
        <w:spacing w:line="235" w:lineRule="auto"/>
        <w:ind w:left="705" w:right="167" w:hanging="541"/>
        <w:jc w:val="both"/>
      </w:pPr>
      <w:bookmarkStart w:name="_bookmark1044" w:id="1046"/>
      <w:bookmarkEnd w:id="1046"/>
      <w:r>
        <w:rPr/>
      </w:r>
      <w:hyperlink w:history="true" w:anchor="_bookmark1008">
        <w:r>
          <w:rPr>
            <w:color w:val="005DA1"/>
            <w:position w:val="5"/>
            <w:sz w:val="14"/>
            <w:u w:val="single" w:color="005DA1"/>
          </w:rPr>
          <w:t>539</w:t>
        </w:r>
      </w:hyperlink>
      <w:r>
        <w:rPr>
          <w:position w:val="5"/>
          <w:sz w:val="14"/>
        </w:rPr>
        <w:t>.</w:t>
      </w:r>
      <w:r>
        <w:rPr>
          <w:spacing w:val="80"/>
          <w:position w:val="5"/>
          <w:sz w:val="14"/>
        </w:rPr>
        <w:t>  </w:t>
      </w:r>
      <w:r>
        <w:rPr/>
        <w:t>See, e.g. </w:t>
      </w:r>
      <w:r>
        <w:rPr>
          <w:rFonts w:ascii="Arial"/>
          <w:i/>
        </w:rPr>
        <w:t>Re Moore &amp; Co Ltd and Landauer Co [1921] 2 K.B. 519 </w:t>
      </w:r>
      <w:r>
        <w:rPr/>
        <w:t>(although the term here may well have been a promise rather than a statement of fact). This argument is also applicable </w:t>
      </w:r>
      <w:r>
        <w:rPr/>
        <w:t>to insurance contracts in which the insured may warrant some fact which is untrue, but the fact in question may have no bearing on the risk which occurs. Hitherto, it has always been clear that the insurer may repudiate liability in these circumstances, below, para.7-166.</w:t>
      </w:r>
    </w:p>
    <w:p>
      <w:pPr>
        <w:pStyle w:val="BodyText"/>
        <w:spacing w:before="4"/>
      </w:pPr>
    </w:p>
    <w:p>
      <w:pPr>
        <w:pStyle w:val="BodyText"/>
        <w:tabs>
          <w:tab w:pos="705" w:val="left" w:leader="none"/>
        </w:tabs>
        <w:spacing w:before="1"/>
        <w:ind w:left="165"/>
      </w:pPr>
      <w:bookmarkStart w:name="_bookmark1045" w:id="1047"/>
      <w:bookmarkEnd w:id="1047"/>
      <w:r>
        <w:rPr/>
      </w:r>
      <w:hyperlink w:history="true" w:anchor="_bookmark1009">
        <w:r>
          <w:rPr>
            <w:color w:val="005DA1"/>
            <w:spacing w:val="-4"/>
            <w:position w:val="5"/>
            <w:sz w:val="14"/>
            <w:u w:val="single" w:color="005DA1"/>
          </w:rPr>
          <w:t>540</w:t>
        </w:r>
      </w:hyperlink>
      <w:r>
        <w:rPr>
          <w:spacing w:val="-4"/>
          <w:position w:val="5"/>
          <w:sz w:val="14"/>
        </w:rPr>
        <w:t>.</w:t>
      </w:r>
      <w:r>
        <w:rPr>
          <w:position w:val="5"/>
          <w:sz w:val="14"/>
        </w:rPr>
        <w:tab/>
      </w:r>
      <w:r>
        <w:rPr/>
        <w:t>See</w:t>
      </w:r>
      <w:r>
        <w:rPr>
          <w:spacing w:val="-2"/>
        </w:rPr>
        <w:t> </w:t>
      </w:r>
      <w:r>
        <w:rPr/>
        <w:t>above, para.7-</w:t>
      </w:r>
      <w:r>
        <w:rPr>
          <w:spacing w:val="-4"/>
        </w:rPr>
        <w:t>114.</w:t>
      </w:r>
    </w:p>
    <w:p>
      <w:pPr>
        <w:pStyle w:val="BodyText"/>
        <w:spacing w:before="8"/>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bookmarkStart w:name="_bookmark1046" w:id="1048"/>
      <w:bookmarkEnd w:id="1048"/>
      <w:r>
        <w:rPr/>
      </w:r>
      <w:hyperlink w:history="true" w:anchor="_bookmark1010">
        <w:r>
          <w:rPr>
            <w:color w:val="005DA1"/>
            <w:spacing w:val="-4"/>
            <w:sz w:val="14"/>
            <w:u w:val="single" w:color="005DA1"/>
          </w:rPr>
          <w:t>541</w:t>
        </w:r>
      </w:hyperlink>
      <w:r>
        <w:rPr>
          <w:spacing w:val="-4"/>
          <w:sz w:val="14"/>
        </w:rPr>
        <w:t>.</w:t>
      </w:r>
    </w:p>
    <w:p>
      <w:pPr>
        <w:spacing w:before="209"/>
        <w:ind w:left="335" w:right="0" w:firstLine="0"/>
        <w:jc w:val="left"/>
        <w:rPr>
          <w:sz w:val="20"/>
        </w:rPr>
      </w:pPr>
      <w:r>
        <w:rPr/>
        <w:br w:type="column"/>
      </w:r>
      <w:r>
        <w:rPr>
          <w:sz w:val="20"/>
        </w:rPr>
        <w:t>Peel,</w:t>
      </w:r>
      <w:r>
        <w:rPr>
          <w:spacing w:val="-2"/>
          <w:sz w:val="20"/>
        </w:rPr>
        <w:t> </w:t>
      </w:r>
      <w:r>
        <w:rPr>
          <w:rFonts w:ascii="Arial"/>
          <w:i/>
          <w:sz w:val="20"/>
        </w:rPr>
        <w:t>Treitel on The Law of Contract</w:t>
      </w:r>
      <w:r>
        <w:rPr>
          <w:sz w:val="20"/>
        </w:rPr>
        <w:t>, 14th edn (2015), para.9-</w:t>
      </w:r>
      <w:r>
        <w:rPr>
          <w:spacing w:val="-4"/>
          <w:sz w:val="20"/>
        </w:rPr>
        <w:t>088.</w:t>
      </w:r>
    </w:p>
    <w:p>
      <w:pPr>
        <w:spacing w:after="0"/>
        <w:jc w:val="left"/>
        <w:rPr>
          <w:sz w:val="20"/>
        </w:rPr>
        <w:sectPr>
          <w:type w:val="continuous"/>
          <w:pgSz w:w="11900" w:h="16840"/>
          <w:pgMar w:header="971" w:footer="0" w:top="1160" w:bottom="280" w:left="1275" w:right="1275"/>
          <w:cols w:num="2" w:equalWidth="0">
            <w:col w:w="478" w:space="63"/>
            <w:col w:w="8809"/>
          </w:cols>
        </w:sectPr>
      </w:pPr>
    </w:p>
    <w:p>
      <w:pPr>
        <w:pStyle w:val="BodyText"/>
        <w:spacing w:before="8"/>
      </w:pPr>
    </w:p>
    <w:p>
      <w:pPr>
        <w:spacing w:line="235" w:lineRule="auto" w:before="0"/>
        <w:ind w:left="705" w:right="167" w:hanging="541"/>
        <w:jc w:val="both"/>
        <w:rPr>
          <w:sz w:val="20"/>
        </w:rPr>
      </w:pPr>
      <w:r>
        <w:rPr>
          <w:sz w:val="20"/>
        </w:rPr>
        <w:drawing>
          <wp:anchor distT="0" distB="0" distL="0" distR="0" allowOverlap="1" layoutInCell="1" locked="0" behindDoc="0" simplePos="0" relativeHeight="15774720">
            <wp:simplePos x="0" y="0"/>
            <wp:positionH relativeFrom="page">
              <wp:posOffset>1257846</wp:posOffset>
            </wp:positionH>
            <wp:positionV relativeFrom="paragraph">
              <wp:posOffset>-269250</wp:posOffset>
            </wp:positionV>
            <wp:extent cx="107988" cy="107988"/>
            <wp:effectExtent l="0" t="0" r="0" b="0"/>
            <wp:wrapNone/>
            <wp:docPr id="189" name="Image 189"/>
            <wp:cNvGraphicFramePr>
              <a:graphicFrameLocks/>
            </wp:cNvGraphicFramePr>
            <a:graphic>
              <a:graphicData uri="http://schemas.openxmlformats.org/drawingml/2006/picture">
                <pic:pic>
                  <pic:nvPicPr>
                    <pic:cNvPr id="189" name="Image 18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47" w:id="1049"/>
      <w:bookmarkEnd w:id="1049"/>
      <w:r>
        <w:rPr/>
      </w:r>
      <w:hyperlink w:history="true" w:anchor="_bookmark1011">
        <w:r>
          <w:rPr>
            <w:color w:val="005DA1"/>
            <w:position w:val="5"/>
            <w:sz w:val="14"/>
            <w:u w:val="single" w:color="005DA1"/>
          </w:rPr>
          <w:t>542</w:t>
        </w:r>
      </w:hyperlink>
      <w:r>
        <w:rPr>
          <w:position w:val="5"/>
          <w:sz w:val="14"/>
        </w:rPr>
        <w:t>.</w:t>
      </w:r>
      <w:r>
        <w:rPr>
          <w:spacing w:val="40"/>
          <w:position w:val="5"/>
          <w:sz w:val="14"/>
        </w:rPr>
        <w:t>  </w:t>
      </w:r>
      <w:r>
        <w:rPr>
          <w:sz w:val="20"/>
        </w:rPr>
        <w:t>Treitel points to the rule that an insurer who uses fraud as a defence may repudiate liability </w:t>
      </w:r>
      <w:r>
        <w:rPr>
          <w:sz w:val="20"/>
        </w:rPr>
        <w:t>and keep the premiums: see below, Vol.II, para.42-076. Further, he suggests that in cases of criminal fraud a representee who sets the fraud up by way of defence need not return money received under the contract (</w:t>
      </w:r>
      <w:r>
        <w:rPr>
          <w:rFonts w:ascii="Arial"/>
          <w:i/>
          <w:sz w:val="20"/>
        </w:rPr>
        <w:t>Berg v Sadler &amp; Moore [1937] 2 K.B. 158</w:t>
      </w:r>
      <w:r>
        <w:rPr>
          <w:sz w:val="20"/>
        </w:rPr>
        <w:t>), whereas if he sues for rescission he must do so (</w:t>
      </w:r>
      <w:r>
        <w:rPr>
          <w:rFonts w:ascii="Arial"/>
          <w:i/>
          <w:sz w:val="20"/>
        </w:rPr>
        <w:t>Spence v Crawford [1939] 3 All E.R. 271</w:t>
      </w:r>
      <w:r>
        <w:rPr>
          <w:sz w:val="20"/>
        </w:rPr>
        <w:t>). </w:t>
      </w:r>
      <w:r>
        <w:rPr>
          <w:rFonts w:ascii="Arial"/>
          <w:i/>
          <w:sz w:val="20"/>
        </w:rPr>
        <w:t>Berg v Sadler Moore </w:t>
      </w:r>
      <w:r>
        <w:rPr>
          <w:sz w:val="20"/>
        </w:rPr>
        <w:t>is contrary to dicta of the Exchequer Chamber in </w:t>
      </w:r>
      <w:r>
        <w:rPr>
          <w:rFonts w:ascii="Arial"/>
          <w:i/>
          <w:sz w:val="20"/>
        </w:rPr>
        <w:t>Clough v L. &amp; N.W. Ry (1871) L.R. 7 Ex. 26, 37 </w:t>
      </w:r>
      <w:r>
        <w:rPr>
          <w:sz w:val="20"/>
        </w:rPr>
        <w:t>which do not seem to have been cited, and the refusal of the claim for return of the money may be better explained on the basis of illegality: see below, para.16-194.</w:t>
      </w:r>
    </w:p>
    <w:p>
      <w:pPr>
        <w:spacing w:after="0" w:line="235" w:lineRule="auto"/>
        <w:jc w:val="both"/>
        <w:rPr>
          <w:sz w:val="20"/>
        </w:rPr>
        <w:sectPr>
          <w:type w:val="continuous"/>
          <w:pgSz w:w="11900" w:h="16840"/>
          <w:pgMar w:header="971" w:footer="0" w:top="1160" w:bottom="280" w:left="1275" w:right="1275"/>
        </w:sectPr>
      </w:pPr>
    </w:p>
    <w:p>
      <w:pPr>
        <w:pStyle w:val="BodyText"/>
        <w:spacing w:before="84"/>
      </w:pPr>
    </w:p>
    <w:p>
      <w:pPr>
        <w:tabs>
          <w:tab w:pos="705" w:val="left" w:leader="none"/>
        </w:tabs>
        <w:spacing w:line="235" w:lineRule="auto" w:before="1"/>
        <w:ind w:left="705" w:right="168" w:hanging="541"/>
        <w:jc w:val="left"/>
        <w:rPr>
          <w:sz w:val="20"/>
        </w:rPr>
      </w:pPr>
      <w:hyperlink w:history="true" w:anchor="_bookmark1012">
        <w:r>
          <w:rPr>
            <w:color w:val="005DA1"/>
            <w:spacing w:val="-4"/>
            <w:position w:val="5"/>
            <w:sz w:val="14"/>
            <w:u w:val="single" w:color="005DA1"/>
          </w:rPr>
          <w:t>543</w:t>
        </w:r>
      </w:hyperlink>
      <w:r>
        <w:rPr>
          <w:spacing w:val="-4"/>
          <w:position w:val="5"/>
          <w:sz w:val="14"/>
        </w:rPr>
        <w:t>.</w:t>
      </w:r>
      <w:r>
        <w:rPr>
          <w:position w:val="5"/>
          <w:sz w:val="14"/>
        </w:rPr>
        <w:tab/>
      </w:r>
      <w:r>
        <w:rPr>
          <w:rFonts w:ascii="Arial"/>
          <w:i/>
          <w:sz w:val="20"/>
        </w:rPr>
        <w:t>Clough v L. &amp; N.W. Ry (1871) L.R. 7 Ex. 26</w:t>
      </w:r>
      <w:r>
        <w:rPr>
          <w:sz w:val="20"/>
        </w:rPr>
        <w:t>; </w:t>
      </w:r>
      <w:r>
        <w:rPr>
          <w:rFonts w:ascii="Arial"/>
          <w:i/>
          <w:sz w:val="20"/>
        </w:rPr>
        <w:t>Academy of Health and Fitness Pty Ltd v Power</w:t>
      </w:r>
      <w:r>
        <w:rPr>
          <w:rFonts w:ascii="Arial"/>
          <w:i/>
          <w:spacing w:val="80"/>
          <w:sz w:val="20"/>
        </w:rPr>
        <w:t> </w:t>
      </w:r>
      <w:r>
        <w:rPr>
          <w:rFonts w:ascii="Arial"/>
          <w:i/>
          <w:sz w:val="20"/>
        </w:rPr>
        <w:t>[1973] V.R. 254</w:t>
      </w:r>
      <w:r>
        <w:rPr>
          <w:sz w:val="20"/>
        </w:rPr>
        <w:t>.</w:t>
      </w:r>
    </w:p>
    <w:p>
      <w:pPr>
        <w:pStyle w:val="BodyText"/>
        <w:spacing w:before="5"/>
      </w:pPr>
    </w:p>
    <w:p>
      <w:pPr>
        <w:pStyle w:val="BodyText"/>
        <w:tabs>
          <w:tab w:pos="705" w:val="left" w:leader="none"/>
        </w:tabs>
        <w:ind w:left="165"/>
      </w:pPr>
      <w:bookmarkStart w:name="_bookmark1048" w:id="1050"/>
      <w:bookmarkEnd w:id="1050"/>
      <w:r>
        <w:rPr/>
      </w:r>
      <w:hyperlink w:history="true" w:anchor="_bookmark1013">
        <w:r>
          <w:rPr>
            <w:color w:val="005DA1"/>
            <w:spacing w:val="-4"/>
            <w:position w:val="5"/>
            <w:sz w:val="14"/>
            <w:u w:val="single" w:color="005DA1"/>
          </w:rPr>
          <w:t>544</w:t>
        </w:r>
      </w:hyperlink>
      <w:r>
        <w:rPr>
          <w:spacing w:val="-4"/>
          <w:position w:val="5"/>
          <w:sz w:val="14"/>
        </w:rPr>
        <w:t>.</w:t>
      </w:r>
      <w:r>
        <w:rPr>
          <w:position w:val="5"/>
          <w:sz w:val="14"/>
        </w:rPr>
        <w:tab/>
      </w:r>
      <w:r>
        <w:rPr/>
        <w:t>See</w:t>
      </w:r>
      <w:r>
        <w:rPr>
          <w:spacing w:val="-2"/>
        </w:rPr>
        <w:t> </w:t>
      </w:r>
      <w:r>
        <w:rPr/>
        <w:t>below, para.27-</w:t>
      </w:r>
      <w:r>
        <w:rPr>
          <w:spacing w:val="-4"/>
        </w:rPr>
        <w:t>034.</w:t>
      </w:r>
    </w:p>
    <w:p>
      <w:pPr>
        <w:pStyle w:val="BodyText"/>
        <w:spacing w:before="5"/>
      </w:pPr>
    </w:p>
    <w:p>
      <w:pPr>
        <w:tabs>
          <w:tab w:pos="705" w:val="left" w:leader="none"/>
        </w:tabs>
        <w:spacing w:before="0"/>
        <w:ind w:left="165" w:right="0" w:firstLine="0"/>
        <w:jc w:val="left"/>
        <w:rPr>
          <w:sz w:val="20"/>
        </w:rPr>
      </w:pPr>
      <w:bookmarkStart w:name="_bookmark1049" w:id="1051"/>
      <w:bookmarkEnd w:id="1051"/>
      <w:r>
        <w:rPr/>
      </w:r>
      <w:hyperlink w:history="true" w:anchor="_bookmark1014">
        <w:r>
          <w:rPr>
            <w:color w:val="005DA1"/>
            <w:spacing w:val="-4"/>
            <w:position w:val="5"/>
            <w:sz w:val="14"/>
            <w:u w:val="single" w:color="005DA1"/>
          </w:rPr>
          <w:t>545</w:t>
        </w:r>
      </w:hyperlink>
      <w:r>
        <w:rPr>
          <w:spacing w:val="-4"/>
          <w:position w:val="5"/>
          <w:sz w:val="14"/>
        </w:rPr>
        <w:t>.</w:t>
      </w:r>
      <w:r>
        <w:rPr>
          <w:position w:val="5"/>
          <w:sz w:val="14"/>
        </w:rPr>
        <w:tab/>
      </w:r>
      <w:r>
        <w:rPr>
          <w:rFonts w:ascii="Arial"/>
          <w:i/>
          <w:sz w:val="20"/>
        </w:rPr>
        <w:t>Geest Plc v Fyffes Plc [1999] 1 All E.R. (Comm) 627, 694</w:t>
      </w:r>
      <w:r>
        <w:rPr>
          <w:rFonts w:ascii="Arial"/>
          <w:i/>
          <w:spacing w:val="-1"/>
          <w:sz w:val="20"/>
        </w:rPr>
        <w:t> </w:t>
      </w:r>
      <w:r>
        <w:rPr>
          <w:sz w:val="20"/>
        </w:rPr>
        <w:t>et </w:t>
      </w:r>
      <w:r>
        <w:rPr>
          <w:spacing w:val="-4"/>
          <w:sz w:val="20"/>
        </w:rPr>
        <w:t>seq.</w:t>
      </w:r>
    </w:p>
    <w:p>
      <w:pPr>
        <w:pStyle w:val="BodyText"/>
        <w:spacing w:before="9"/>
      </w:pPr>
    </w:p>
    <w:p>
      <w:pPr>
        <w:pStyle w:val="BodyText"/>
        <w:spacing w:line="235" w:lineRule="auto"/>
        <w:ind w:left="705" w:right="167" w:hanging="541"/>
        <w:jc w:val="both"/>
      </w:pPr>
      <w:bookmarkStart w:name="_bookmark1050" w:id="1052"/>
      <w:bookmarkEnd w:id="1052"/>
      <w:r>
        <w:rPr/>
      </w:r>
      <w:hyperlink w:history="true" w:anchor="_bookmark1015">
        <w:r>
          <w:rPr>
            <w:color w:val="005DA1"/>
            <w:position w:val="5"/>
            <w:sz w:val="14"/>
            <w:u w:val="single" w:color="005DA1"/>
          </w:rPr>
          <w:t>546</w:t>
        </w:r>
      </w:hyperlink>
      <w:r>
        <w:rPr>
          <w:position w:val="5"/>
          <w:sz w:val="14"/>
        </w:rPr>
        <w:t>.</w:t>
      </w:r>
      <w:r>
        <w:rPr>
          <w:spacing w:val="80"/>
          <w:w w:val="150"/>
          <w:position w:val="5"/>
          <w:sz w:val="14"/>
        </w:rPr>
        <w:t> </w:t>
      </w:r>
      <w:r>
        <w:rPr>
          <w:rFonts w:ascii="Arial"/>
          <w:i/>
        </w:rPr>
        <w:t>Geest Plc v Fyffes Plc [1999] 1 All E.R. (Comm) 627</w:t>
      </w:r>
      <w:r>
        <w:rPr/>
        <w:t>. On the facts of the case, restitutio was impossible. To refuse specific performance altogether of the undertaking to provide security for an indemnity that the defendant had given the plaintiff would expose the plaintiff to </w:t>
      </w:r>
      <w:r>
        <w:rPr/>
        <w:t>very</w:t>
      </w:r>
      <w:r>
        <w:rPr>
          <w:spacing w:val="40"/>
        </w:rPr>
        <w:t> </w:t>
      </w:r>
      <w:r>
        <w:rPr/>
        <w:t>different risks. Specific performance would be granted but limited to the excess of the claim</w:t>
      </w:r>
      <w:r>
        <w:rPr>
          <w:spacing w:val="40"/>
        </w:rPr>
        <w:t> </w:t>
      </w:r>
      <w:r>
        <w:rPr/>
        <w:t>over any counterclaim for damages.</w:t>
      </w:r>
    </w:p>
    <w:p>
      <w:pPr>
        <w:pStyle w:val="BodyText"/>
        <w:spacing w:before="8"/>
      </w:pPr>
    </w:p>
    <w:p>
      <w:pPr>
        <w:spacing w:line="235" w:lineRule="auto" w:before="0"/>
        <w:ind w:left="705" w:right="167" w:hanging="541"/>
        <w:jc w:val="both"/>
        <w:rPr>
          <w:sz w:val="20"/>
        </w:rPr>
      </w:pPr>
      <w:bookmarkStart w:name="_bookmark1051" w:id="1053"/>
      <w:bookmarkEnd w:id="1053"/>
      <w:r>
        <w:rPr/>
      </w:r>
      <w:hyperlink w:history="true" w:anchor="_bookmark1016">
        <w:r>
          <w:rPr>
            <w:color w:val="005DA1"/>
            <w:position w:val="5"/>
            <w:sz w:val="14"/>
            <w:u w:val="single" w:color="005DA1"/>
          </w:rPr>
          <w:t>547</w:t>
        </w:r>
      </w:hyperlink>
      <w:r>
        <w:rPr>
          <w:position w:val="5"/>
          <w:sz w:val="14"/>
        </w:rPr>
        <w:t>.</w:t>
      </w:r>
      <w:r>
        <w:rPr>
          <w:spacing w:val="80"/>
          <w:position w:val="5"/>
          <w:sz w:val="14"/>
        </w:rPr>
        <w:t> </w:t>
      </w:r>
      <w:r>
        <w:rPr>
          <w:rFonts w:ascii="Arial" w:hAnsi="Arial"/>
          <w:i/>
          <w:sz w:val="20"/>
        </w:rPr>
        <w:t>Car &amp; Universal Finance Co Ltd v Caldwell [1961] 1 Q.B. 525</w:t>
      </w:r>
      <w:r>
        <w:rPr>
          <w:sz w:val="20"/>
        </w:rPr>
        <w:t>. It was accepted that the misrepresentee could also rescind by retaking the goods, even without the </w:t>
      </w:r>
      <w:r>
        <w:rPr>
          <w:sz w:val="20"/>
        </w:rPr>
        <w:t>misrepresentor’s knowledge: 555, 558. There is no principle that rescission (in the case concerned, for</w:t>
      </w:r>
      <w:r>
        <w:rPr>
          <w:spacing w:val="40"/>
          <w:sz w:val="20"/>
        </w:rPr>
        <w:t> </w:t>
      </w:r>
      <w:r>
        <w:rPr>
          <w:sz w:val="20"/>
        </w:rPr>
        <w:t>repayment on the ground of mistake) is unavailable unless sought by a notice given before an action is brought: </w:t>
      </w:r>
      <w:r>
        <w:rPr>
          <w:rFonts w:ascii="Arial" w:hAnsi="Arial"/>
          <w:i/>
          <w:sz w:val="20"/>
        </w:rPr>
        <w:t>West Sussex Properties Ltd v Chichester DC [2000] N.P.C. 74 CA</w:t>
      </w:r>
      <w:r>
        <w:rPr>
          <w:sz w:val="20"/>
        </w:rPr>
        <w:t>, at [12].</w:t>
      </w:r>
    </w:p>
    <w:p>
      <w:pPr>
        <w:pStyle w:val="BodyText"/>
        <w:spacing w:before="4"/>
      </w:pPr>
    </w:p>
    <w:p>
      <w:pPr>
        <w:tabs>
          <w:tab w:pos="705" w:val="left" w:leader="none"/>
        </w:tabs>
        <w:spacing w:before="1"/>
        <w:ind w:left="165" w:right="0" w:firstLine="0"/>
        <w:jc w:val="left"/>
        <w:rPr>
          <w:sz w:val="20"/>
        </w:rPr>
      </w:pPr>
      <w:bookmarkStart w:name="_bookmark1052" w:id="1054"/>
      <w:bookmarkEnd w:id="1054"/>
      <w:r>
        <w:rPr/>
      </w:r>
      <w:hyperlink w:history="true" w:anchor="_bookmark1016">
        <w:r>
          <w:rPr>
            <w:color w:val="005DA1"/>
            <w:spacing w:val="-4"/>
            <w:position w:val="5"/>
            <w:sz w:val="14"/>
            <w:u w:val="single" w:color="005DA1"/>
          </w:rPr>
          <w:t>548</w:t>
        </w:r>
      </w:hyperlink>
      <w:r>
        <w:rPr>
          <w:spacing w:val="-4"/>
          <w:position w:val="5"/>
          <w:sz w:val="14"/>
        </w:rPr>
        <w:t>.</w:t>
      </w:r>
      <w:r>
        <w:rPr>
          <w:position w:val="5"/>
          <w:sz w:val="14"/>
        </w:rPr>
        <w:tab/>
      </w:r>
      <w:r>
        <w:rPr>
          <w:rFonts w:ascii="Arial"/>
          <w:i/>
          <w:sz w:val="20"/>
        </w:rPr>
        <w:t>[1961]</w:t>
      </w:r>
      <w:r>
        <w:rPr>
          <w:rFonts w:ascii="Arial"/>
          <w:i/>
          <w:spacing w:val="-1"/>
          <w:sz w:val="20"/>
        </w:rPr>
        <w:t> </w:t>
      </w:r>
      <w:r>
        <w:rPr>
          <w:rFonts w:ascii="Arial"/>
          <w:i/>
          <w:sz w:val="20"/>
        </w:rPr>
        <w:t>1 Q.B. 525</w:t>
      </w:r>
      <w:r>
        <w:rPr>
          <w:sz w:val="20"/>
        </w:rPr>
        <w:t>; see also</w:t>
      </w:r>
      <w:r>
        <w:rPr>
          <w:spacing w:val="-1"/>
          <w:sz w:val="20"/>
        </w:rPr>
        <w:t> </w:t>
      </w:r>
      <w:r>
        <w:rPr>
          <w:rFonts w:ascii="Arial"/>
          <w:i/>
          <w:sz w:val="20"/>
        </w:rPr>
        <w:t>Newtons of Wembley Ltd v Williams [1965] 1 Q.B. </w:t>
      </w:r>
      <w:r>
        <w:rPr>
          <w:rFonts w:ascii="Arial"/>
          <w:i/>
          <w:spacing w:val="-4"/>
          <w:sz w:val="20"/>
        </w:rPr>
        <w:t>560</w:t>
      </w:r>
      <w:r>
        <w:rPr>
          <w:spacing w:val="-4"/>
          <w:sz w:val="20"/>
        </w:rPr>
        <w:t>.</w:t>
      </w:r>
    </w:p>
    <w:p>
      <w:pPr>
        <w:pStyle w:val="BodyText"/>
        <w:spacing w:before="8"/>
      </w:pPr>
    </w:p>
    <w:p>
      <w:pPr>
        <w:spacing w:line="235" w:lineRule="auto" w:before="0"/>
        <w:ind w:left="705" w:right="167" w:hanging="541"/>
        <w:jc w:val="both"/>
        <w:rPr>
          <w:sz w:val="20"/>
        </w:rPr>
      </w:pPr>
      <w:bookmarkStart w:name="_bookmark1053" w:id="1055"/>
      <w:bookmarkEnd w:id="1055"/>
      <w:r>
        <w:rPr/>
      </w:r>
      <w:hyperlink w:history="true" w:anchor="_bookmark1017">
        <w:r>
          <w:rPr>
            <w:color w:val="005DA1"/>
            <w:position w:val="5"/>
            <w:sz w:val="14"/>
            <w:u w:val="single" w:color="005DA1"/>
          </w:rPr>
          <w:t>549</w:t>
        </w:r>
      </w:hyperlink>
      <w:r>
        <w:rPr>
          <w:position w:val="5"/>
          <w:sz w:val="14"/>
        </w:rPr>
        <w:t>.</w:t>
      </w:r>
      <w:r>
        <w:rPr>
          <w:spacing w:val="80"/>
          <w:position w:val="5"/>
          <w:sz w:val="14"/>
        </w:rPr>
        <w:t>  </w:t>
      </w:r>
      <w:r>
        <w:rPr>
          <w:rFonts w:ascii="Arial"/>
          <w:i/>
          <w:sz w:val="20"/>
        </w:rPr>
        <w:t>Abram</w:t>
      </w:r>
      <w:r>
        <w:rPr>
          <w:rFonts w:ascii="Arial"/>
          <w:i/>
          <w:spacing w:val="20"/>
          <w:sz w:val="20"/>
        </w:rPr>
        <w:t> </w:t>
      </w:r>
      <w:r>
        <w:rPr>
          <w:rFonts w:ascii="Arial"/>
          <w:i/>
          <w:sz w:val="20"/>
        </w:rPr>
        <w:t>S.S.</w:t>
      </w:r>
      <w:r>
        <w:rPr>
          <w:rFonts w:ascii="Arial"/>
          <w:i/>
          <w:spacing w:val="20"/>
          <w:sz w:val="20"/>
        </w:rPr>
        <w:t> </w:t>
      </w:r>
      <w:r>
        <w:rPr>
          <w:rFonts w:ascii="Arial"/>
          <w:i/>
          <w:sz w:val="20"/>
        </w:rPr>
        <w:t>Co</w:t>
      </w:r>
      <w:r>
        <w:rPr>
          <w:rFonts w:ascii="Arial"/>
          <w:i/>
          <w:spacing w:val="20"/>
          <w:sz w:val="20"/>
        </w:rPr>
        <w:t> </w:t>
      </w:r>
      <w:r>
        <w:rPr>
          <w:rFonts w:ascii="Arial"/>
          <w:i/>
          <w:sz w:val="20"/>
        </w:rPr>
        <w:t>Ltd</w:t>
      </w:r>
      <w:r>
        <w:rPr>
          <w:rFonts w:ascii="Arial"/>
          <w:i/>
          <w:spacing w:val="20"/>
          <w:sz w:val="20"/>
        </w:rPr>
        <w:t> </w:t>
      </w:r>
      <w:r>
        <w:rPr>
          <w:rFonts w:ascii="Arial"/>
          <w:i/>
          <w:sz w:val="20"/>
        </w:rPr>
        <w:t>v</w:t>
      </w:r>
      <w:r>
        <w:rPr>
          <w:rFonts w:ascii="Arial"/>
          <w:i/>
          <w:spacing w:val="20"/>
          <w:sz w:val="20"/>
        </w:rPr>
        <w:t> </w:t>
      </w:r>
      <w:r>
        <w:rPr>
          <w:rFonts w:ascii="Arial"/>
          <w:i/>
          <w:sz w:val="20"/>
        </w:rPr>
        <w:t>Westville</w:t>
      </w:r>
      <w:r>
        <w:rPr>
          <w:rFonts w:ascii="Arial"/>
          <w:i/>
          <w:spacing w:val="20"/>
          <w:sz w:val="20"/>
        </w:rPr>
        <w:t> </w:t>
      </w:r>
      <w:r>
        <w:rPr>
          <w:rFonts w:ascii="Arial"/>
          <w:i/>
          <w:sz w:val="20"/>
        </w:rPr>
        <w:t>Shipping</w:t>
      </w:r>
      <w:r>
        <w:rPr>
          <w:rFonts w:ascii="Arial"/>
          <w:i/>
          <w:spacing w:val="20"/>
          <w:sz w:val="20"/>
        </w:rPr>
        <w:t> </w:t>
      </w:r>
      <w:r>
        <w:rPr>
          <w:rFonts w:ascii="Arial"/>
          <w:i/>
          <w:sz w:val="20"/>
        </w:rPr>
        <w:t>Co</w:t>
      </w:r>
      <w:r>
        <w:rPr>
          <w:rFonts w:ascii="Arial"/>
          <w:i/>
          <w:spacing w:val="20"/>
          <w:sz w:val="20"/>
        </w:rPr>
        <w:t> </w:t>
      </w:r>
      <w:r>
        <w:rPr>
          <w:rFonts w:ascii="Arial"/>
          <w:i/>
          <w:sz w:val="20"/>
        </w:rPr>
        <w:t>Ltd</w:t>
      </w:r>
      <w:r>
        <w:rPr>
          <w:rFonts w:ascii="Arial"/>
          <w:i/>
          <w:spacing w:val="20"/>
          <w:sz w:val="20"/>
        </w:rPr>
        <w:t> </w:t>
      </w:r>
      <w:r>
        <w:rPr>
          <w:rFonts w:ascii="Arial"/>
          <w:i/>
          <w:sz w:val="20"/>
        </w:rPr>
        <w:t>[1923]</w:t>
      </w:r>
      <w:r>
        <w:rPr>
          <w:rFonts w:ascii="Arial"/>
          <w:i/>
          <w:spacing w:val="20"/>
          <w:sz w:val="20"/>
        </w:rPr>
        <w:t> </w:t>
      </w:r>
      <w:r>
        <w:rPr>
          <w:rFonts w:ascii="Arial"/>
          <w:i/>
          <w:sz w:val="20"/>
        </w:rPr>
        <w:t>A.C.</w:t>
      </w:r>
      <w:r>
        <w:rPr>
          <w:rFonts w:ascii="Arial"/>
          <w:i/>
          <w:spacing w:val="20"/>
          <w:sz w:val="20"/>
        </w:rPr>
        <w:t> </w:t>
      </w:r>
      <w:r>
        <w:rPr>
          <w:rFonts w:ascii="Arial"/>
          <w:i/>
          <w:sz w:val="20"/>
        </w:rPr>
        <w:t>773</w:t>
      </w:r>
      <w:r>
        <w:rPr>
          <w:sz w:val="20"/>
        </w:rPr>
        <w:t>.</w:t>
      </w:r>
      <w:r>
        <w:rPr>
          <w:spacing w:val="20"/>
          <w:sz w:val="20"/>
        </w:rPr>
        <w:t> </w:t>
      </w:r>
      <w:r>
        <w:rPr>
          <w:sz w:val="20"/>
        </w:rPr>
        <w:t>In</w:t>
      </w:r>
      <w:r>
        <w:rPr>
          <w:spacing w:val="20"/>
          <w:sz w:val="20"/>
        </w:rPr>
        <w:t> </w:t>
      </w:r>
      <w:r>
        <w:rPr>
          <w:sz w:val="20"/>
        </w:rPr>
        <w:t>Australia,</w:t>
      </w:r>
      <w:r>
        <w:rPr>
          <w:spacing w:val="20"/>
          <w:sz w:val="20"/>
        </w:rPr>
        <w:t> </w:t>
      </w:r>
      <w:r>
        <w:rPr>
          <w:sz w:val="20"/>
        </w:rPr>
        <w:t>the</w:t>
      </w:r>
      <w:r>
        <w:rPr>
          <w:spacing w:val="20"/>
          <w:sz w:val="20"/>
        </w:rPr>
        <w:t> </w:t>
      </w:r>
      <w:r>
        <w:rPr>
          <w:sz w:val="20"/>
        </w:rPr>
        <w:t>High</w:t>
      </w:r>
      <w:r>
        <w:rPr>
          <w:spacing w:val="20"/>
          <w:sz w:val="20"/>
        </w:rPr>
        <w:t> </w:t>
      </w:r>
      <w:r>
        <w:rPr>
          <w:sz w:val="20"/>
        </w:rPr>
        <w:t>Court has taken a different approach, holding that even in a case of fraud equity does more than recognise rescission effected by the action of the innocent party. It may impose terms to</w:t>
      </w:r>
      <w:r>
        <w:rPr>
          <w:spacing w:val="40"/>
          <w:sz w:val="20"/>
        </w:rPr>
        <w:t> </w:t>
      </w:r>
      <w:r>
        <w:rPr>
          <w:sz w:val="20"/>
        </w:rPr>
        <w:t>achieve observance of the requirements of good conscience and practical justice and this enables it to grant partial rescission. Thus it could set aside the part of a contract of </w:t>
      </w:r>
      <w:r>
        <w:rPr>
          <w:sz w:val="20"/>
        </w:rPr>
        <w:t>guarantee to which the fraud related (previous supplies) but leave the rest (as to future supplies) intact: </w:t>
      </w:r>
      <w:r>
        <w:rPr>
          <w:rFonts w:ascii="Arial"/>
          <w:i/>
          <w:sz w:val="20"/>
        </w:rPr>
        <w:t>Vadasz v Pioneer Concrete (SA) Pty Ltd (1995) 184 C.L.R. 102, noted (1997) 113 L.Q.R. 16</w:t>
      </w:r>
      <w:r>
        <w:rPr>
          <w:sz w:val="20"/>
        </w:rPr>
        <w:t>; Proksch [1996] R.L.R. 71. On the </w:t>
      </w:r>
      <w:r>
        <w:rPr>
          <w:rFonts w:ascii="Arial"/>
          <w:i/>
          <w:sz w:val="20"/>
        </w:rPr>
        <w:t>Vadasz </w:t>
      </w:r>
      <w:r>
        <w:rPr>
          <w:sz w:val="20"/>
        </w:rPr>
        <w:t>case see further below, para.7-126.</w:t>
      </w:r>
    </w:p>
    <w:p>
      <w:pPr>
        <w:pStyle w:val="BodyText"/>
        <w:spacing w:before="7"/>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bookmarkStart w:name="_bookmark1054" w:id="1056"/>
      <w:bookmarkEnd w:id="1056"/>
      <w:r>
        <w:rPr/>
      </w:r>
      <w:hyperlink w:history="true" w:anchor="_bookmark1018">
        <w:r>
          <w:rPr>
            <w:color w:val="005DA1"/>
            <w:spacing w:val="-4"/>
            <w:sz w:val="14"/>
            <w:u w:val="single" w:color="005DA1"/>
          </w:rPr>
          <w:t>550</w:t>
        </w:r>
      </w:hyperlink>
      <w:r>
        <w:rPr>
          <w:spacing w:val="-4"/>
          <w:sz w:val="14"/>
        </w:rPr>
        <w:t>.</w:t>
      </w:r>
    </w:p>
    <w:p>
      <w:pPr>
        <w:pStyle w:val="BodyText"/>
        <w:spacing w:before="209"/>
        <w:ind w:left="335"/>
      </w:pPr>
      <w:r>
        <w:rPr/>
        <w:br w:type="column"/>
      </w:r>
      <w:r>
        <w:rPr/>
        <w:t>See, however, O’Sullivan [2000] C.L.J. 509. See also Turner (2016) 132 L.Q.R. </w:t>
      </w:r>
      <w:r>
        <w:rPr>
          <w:spacing w:val="-4"/>
        </w:rPr>
        <w:t>388.</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8"/>
      </w:pPr>
    </w:p>
    <w:p>
      <w:pPr>
        <w:spacing w:line="235" w:lineRule="auto" w:before="0"/>
        <w:ind w:left="705" w:right="167" w:hanging="541"/>
        <w:jc w:val="both"/>
        <w:rPr>
          <w:sz w:val="20"/>
        </w:rPr>
      </w:pPr>
      <w:r>
        <w:rPr>
          <w:sz w:val="20"/>
        </w:rPr>
        <w:drawing>
          <wp:anchor distT="0" distB="0" distL="0" distR="0" allowOverlap="1" layoutInCell="1" locked="0" behindDoc="0" simplePos="0" relativeHeight="15775232">
            <wp:simplePos x="0" y="0"/>
            <wp:positionH relativeFrom="page">
              <wp:posOffset>1257846</wp:posOffset>
            </wp:positionH>
            <wp:positionV relativeFrom="paragraph">
              <wp:posOffset>-269339</wp:posOffset>
            </wp:positionV>
            <wp:extent cx="107988" cy="107988"/>
            <wp:effectExtent l="0" t="0" r="0" b="0"/>
            <wp:wrapNone/>
            <wp:docPr id="190" name="Image 190"/>
            <wp:cNvGraphicFramePr>
              <a:graphicFrameLocks/>
            </wp:cNvGraphicFramePr>
            <a:graphic>
              <a:graphicData uri="http://schemas.openxmlformats.org/drawingml/2006/picture">
                <pic:pic>
                  <pic:nvPicPr>
                    <pic:cNvPr id="190" name="Image 19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55" w:id="1057"/>
      <w:bookmarkEnd w:id="1057"/>
      <w:r>
        <w:rPr/>
      </w:r>
      <w:hyperlink w:history="true" w:anchor="_bookmark1019">
        <w:r>
          <w:rPr>
            <w:color w:val="005DA1"/>
            <w:position w:val="5"/>
            <w:sz w:val="14"/>
            <w:u w:val="single" w:color="005DA1"/>
          </w:rPr>
          <w:t>551</w:t>
        </w:r>
      </w:hyperlink>
      <w:r>
        <w:rPr>
          <w:position w:val="5"/>
          <w:sz w:val="14"/>
        </w:rPr>
        <w:t>.</w:t>
      </w:r>
      <w:r>
        <w:rPr>
          <w:spacing w:val="40"/>
          <w:position w:val="5"/>
          <w:sz w:val="14"/>
        </w:rPr>
        <w:t>  </w:t>
      </w:r>
      <w:r>
        <w:rPr>
          <w:sz w:val="20"/>
        </w:rPr>
        <w:t>Thus the court may, in effect, annul a rescission previously effected by self-help: see </w:t>
      </w:r>
      <w:r>
        <w:rPr>
          <w:rFonts w:ascii="Arial" w:hAnsi="Arial"/>
          <w:i/>
          <w:sz w:val="20"/>
        </w:rPr>
        <w:t>Atlantic Lines &amp; Navigation Co Inc v Hallam Ltd [1983] 1 Lloyd’s Rep. 188, 202</w:t>
      </w:r>
      <w:r>
        <w:rPr>
          <w:sz w:val="20"/>
        </w:rPr>
        <w:t>. The conferral of a discretion on the court by s.2(2) has been said to imply that, apart from that section, there is </w:t>
      </w:r>
      <w:r>
        <w:rPr>
          <w:sz w:val="20"/>
        </w:rPr>
        <w:t>no power to declare the contract subsisting; the right to rescind is that of the representee, not that of the court, which merely has to decide whether the rescission was lawful: </w:t>
      </w:r>
      <w:r>
        <w:rPr>
          <w:rFonts w:ascii="Arial" w:hAnsi="Arial"/>
          <w:i/>
          <w:sz w:val="20"/>
        </w:rPr>
        <w:t>TSB Bank Plc v Camfield [1995] 1 W.L.R. 430, 439</w:t>
      </w:r>
      <w:r>
        <w:rPr>
          <w:sz w:val="20"/>
        </w:rPr>
        <w:t>.</w:t>
      </w:r>
    </w:p>
    <w:p>
      <w:pPr>
        <w:pStyle w:val="BodyText"/>
        <w:spacing w:before="8"/>
      </w:pPr>
    </w:p>
    <w:p>
      <w:pPr>
        <w:spacing w:line="235" w:lineRule="auto" w:before="0"/>
        <w:ind w:left="705" w:right="167" w:hanging="541"/>
        <w:jc w:val="both"/>
        <w:rPr>
          <w:sz w:val="20"/>
        </w:rPr>
      </w:pPr>
      <w:bookmarkStart w:name="_bookmark1056" w:id="1058"/>
      <w:bookmarkEnd w:id="1058"/>
      <w:r>
        <w:rPr/>
      </w:r>
      <w:hyperlink w:history="true" w:anchor="_bookmark1020">
        <w:r>
          <w:rPr>
            <w:color w:val="005DA1"/>
            <w:position w:val="5"/>
            <w:sz w:val="14"/>
            <w:u w:val="single" w:color="005DA1"/>
          </w:rPr>
          <w:t>552</w:t>
        </w:r>
      </w:hyperlink>
      <w:r>
        <w:rPr>
          <w:position w:val="5"/>
          <w:sz w:val="14"/>
        </w:rPr>
        <w:t>.</w:t>
      </w:r>
      <w:r>
        <w:rPr>
          <w:spacing w:val="80"/>
          <w:position w:val="5"/>
          <w:sz w:val="14"/>
        </w:rPr>
        <w:t>  </w:t>
      </w:r>
      <w:r>
        <w:rPr>
          <w:sz w:val="20"/>
        </w:rPr>
        <w:t>In </w:t>
      </w:r>
      <w:r>
        <w:rPr>
          <w:rFonts w:ascii="Arial" w:hAnsi="Arial"/>
          <w:i/>
          <w:sz w:val="20"/>
        </w:rPr>
        <w:t>Hughes v Clewley, The Siben (No.2) [1996] 1 Lloyd’s Rep. 35 </w:t>
      </w:r>
      <w:r>
        <w:rPr>
          <w:sz w:val="20"/>
        </w:rPr>
        <w:t>it was held that rescission </w:t>
      </w:r>
      <w:r>
        <w:rPr>
          <w:sz w:val="20"/>
        </w:rPr>
        <w:t>will not be ordered [sic] if the effect would be to transfer a business being used for unlawful purposes from one party to the other. The case was one of fraud, so there was no power to declare the contract subsisting under s.2(2).</w:t>
      </w:r>
    </w:p>
    <w:p>
      <w:pPr>
        <w:pStyle w:val="BodyText"/>
        <w:spacing w:before="8"/>
      </w:pPr>
    </w:p>
    <w:p>
      <w:pPr>
        <w:pStyle w:val="BodyText"/>
        <w:spacing w:line="235" w:lineRule="auto" w:before="1"/>
        <w:ind w:left="705" w:right="167" w:hanging="541"/>
        <w:jc w:val="both"/>
      </w:pPr>
      <w:bookmarkStart w:name="_bookmark1057" w:id="1059"/>
      <w:bookmarkEnd w:id="1059"/>
      <w:r>
        <w:rPr/>
      </w:r>
      <w:hyperlink w:history="true" w:anchor="_bookmark1021">
        <w:r>
          <w:rPr>
            <w:color w:val="005DA1"/>
            <w:position w:val="5"/>
            <w:sz w:val="14"/>
            <w:u w:val="single" w:color="005DA1"/>
          </w:rPr>
          <w:t>553</w:t>
        </w:r>
      </w:hyperlink>
      <w:r>
        <w:rPr>
          <w:position w:val="5"/>
          <w:sz w:val="14"/>
        </w:rPr>
        <w:t>.</w:t>
      </w:r>
      <w:r>
        <w:rPr>
          <w:spacing w:val="40"/>
          <w:position w:val="5"/>
          <w:sz w:val="14"/>
        </w:rPr>
        <w:t>  </w:t>
      </w:r>
      <w:r>
        <w:rPr>
          <w:rFonts w:ascii="Arial" w:hAnsi="Arial"/>
          <w:i/>
        </w:rPr>
        <w:t>Horsler v Zorro [1975] Ch. 302, 310</w:t>
      </w:r>
      <w:r>
        <w:rPr/>
        <w:t>. In </w:t>
      </w:r>
      <w:r>
        <w:rPr>
          <w:rFonts w:ascii="Arial" w:hAnsi="Arial"/>
          <w:i/>
        </w:rPr>
        <w:t>Islington London BC v UCKAC [2006] EWCA Civ </w:t>
      </w:r>
      <w:r>
        <w:rPr>
          <w:rFonts w:ascii="Arial" w:hAnsi="Arial"/>
          <w:i/>
        </w:rPr>
        <w:t>340, [2006] 1 W.L.R. 1303</w:t>
      </w:r>
      <w:r>
        <w:rPr/>
        <w:t>, it was held that a tenancy to which the Act applies can be brought to an end only on the grounds stated in the Act on which the landlord may obtain possession, which include a false statement made knowingly or recklessly by the tenant (s.84 and Sch.2, ground 5). In reaching this conclusion, Dyson L.J. adopted the opposing theory that a contract is only rescinded for misrepresentation by a court order (at [26]). But the court’s conclusion that, as Mummery L.J. put it: “[T]he relevant provisions of the 1985 Act provide a complete code for the termination of a secure tenancy, the private law remedy of rescission of the tenancy for fraudulent representation is not available to the council” (at [46]), can be supported as a matter of statutory construction without resorting to the notion that a court order is needed for </w:t>
      </w:r>
      <w:r>
        <w:rPr>
          <w:spacing w:val="-2"/>
        </w:rPr>
        <w:t>rescission.</w:t>
      </w:r>
    </w:p>
    <w:p>
      <w:pPr>
        <w:pStyle w:val="BodyText"/>
        <w:spacing w:before="1"/>
      </w:pPr>
    </w:p>
    <w:p>
      <w:pPr>
        <w:tabs>
          <w:tab w:pos="705" w:val="left" w:leader="none"/>
        </w:tabs>
        <w:spacing w:before="1"/>
        <w:ind w:left="165" w:right="0" w:firstLine="0"/>
        <w:jc w:val="left"/>
        <w:rPr>
          <w:sz w:val="20"/>
        </w:rPr>
      </w:pPr>
      <w:bookmarkStart w:name="_bookmark1058" w:id="1060"/>
      <w:bookmarkEnd w:id="1060"/>
      <w:r>
        <w:rPr/>
      </w:r>
      <w:hyperlink w:history="true" w:anchor="_bookmark1022">
        <w:r>
          <w:rPr>
            <w:color w:val="005DA1"/>
            <w:spacing w:val="-4"/>
            <w:position w:val="5"/>
            <w:sz w:val="14"/>
            <w:u w:val="single" w:color="005DA1"/>
          </w:rPr>
          <w:t>554</w:t>
        </w:r>
      </w:hyperlink>
      <w:r>
        <w:rPr>
          <w:spacing w:val="-4"/>
          <w:position w:val="5"/>
          <w:sz w:val="14"/>
        </w:rPr>
        <w:t>.</w:t>
      </w:r>
      <w:r>
        <w:rPr>
          <w:position w:val="5"/>
          <w:sz w:val="14"/>
        </w:rPr>
        <w:tab/>
      </w:r>
      <w:r>
        <w:rPr>
          <w:rFonts w:ascii="Arial"/>
          <w:i/>
          <w:sz w:val="20"/>
        </w:rPr>
        <w:t>[1979]</w:t>
      </w:r>
      <w:r>
        <w:rPr>
          <w:rFonts w:ascii="Arial"/>
          <w:i/>
          <w:spacing w:val="-2"/>
          <w:sz w:val="20"/>
        </w:rPr>
        <w:t> </w:t>
      </w:r>
      <w:r>
        <w:rPr>
          <w:rFonts w:ascii="Arial"/>
          <w:i/>
          <w:sz w:val="20"/>
        </w:rPr>
        <w:t>I.R. </w:t>
      </w:r>
      <w:r>
        <w:rPr>
          <w:rFonts w:ascii="Arial"/>
          <w:i/>
          <w:spacing w:val="-4"/>
          <w:sz w:val="20"/>
        </w:rPr>
        <w:t>149</w:t>
      </w:r>
      <w:r>
        <w:rPr>
          <w:spacing w:val="-4"/>
          <w:sz w:val="20"/>
        </w:rPr>
        <w:t>.</w:t>
      </w:r>
    </w:p>
    <w:p>
      <w:pPr>
        <w:pStyle w:val="BodyText"/>
        <w:spacing w:before="8"/>
      </w:pPr>
    </w:p>
    <w:p>
      <w:pPr>
        <w:tabs>
          <w:tab w:pos="705" w:val="left" w:leader="none"/>
        </w:tabs>
        <w:spacing w:line="235" w:lineRule="auto" w:before="0"/>
        <w:ind w:left="705" w:right="167" w:hanging="541"/>
        <w:jc w:val="left"/>
        <w:rPr>
          <w:sz w:val="20"/>
        </w:rPr>
      </w:pPr>
      <w:bookmarkStart w:name="_bookmark1059" w:id="1061"/>
      <w:bookmarkEnd w:id="1061"/>
      <w:r>
        <w:rPr/>
      </w:r>
      <w:hyperlink w:history="true" w:anchor="_bookmark1023">
        <w:r>
          <w:rPr>
            <w:color w:val="005DA1"/>
            <w:spacing w:val="-4"/>
            <w:position w:val="5"/>
            <w:sz w:val="14"/>
            <w:u w:val="single" w:color="005DA1"/>
          </w:rPr>
          <w:t>555</w:t>
        </w:r>
      </w:hyperlink>
      <w:r>
        <w:rPr>
          <w:spacing w:val="-4"/>
          <w:position w:val="5"/>
          <w:sz w:val="14"/>
        </w:rPr>
        <w:t>.</w:t>
      </w:r>
      <w:r>
        <w:rPr>
          <w:position w:val="5"/>
          <w:sz w:val="14"/>
        </w:rPr>
        <w:tab/>
      </w:r>
      <w:r>
        <w:rPr>
          <w:rFonts w:ascii="Arial"/>
          <w:i/>
          <w:sz w:val="20"/>
        </w:rPr>
        <w:t>Dietz v Lennig Chemicals Ltd [1969] 1 A.C. 170</w:t>
      </w:r>
      <w:r>
        <w:rPr>
          <w:sz w:val="20"/>
        </w:rPr>
        <w:t>. The consent order had not been drawn up </w:t>
      </w:r>
      <w:r>
        <w:rPr>
          <w:sz w:val="20"/>
        </w:rPr>
        <w:t>in this</w:t>
      </w:r>
      <w:r>
        <w:rPr>
          <w:spacing w:val="16"/>
          <w:sz w:val="20"/>
        </w:rPr>
        <w:t> </w:t>
      </w:r>
      <w:r>
        <w:rPr>
          <w:sz w:val="20"/>
        </w:rPr>
        <w:t>case,</w:t>
      </w:r>
      <w:r>
        <w:rPr>
          <w:spacing w:val="16"/>
          <w:sz w:val="20"/>
        </w:rPr>
        <w:t> </w:t>
      </w:r>
      <w:r>
        <w:rPr>
          <w:sz w:val="20"/>
        </w:rPr>
        <w:t>but</w:t>
      </w:r>
      <w:r>
        <w:rPr>
          <w:spacing w:val="16"/>
          <w:sz w:val="20"/>
        </w:rPr>
        <w:t> </w:t>
      </w:r>
      <w:r>
        <w:rPr>
          <w:sz w:val="20"/>
        </w:rPr>
        <w:t>that</w:t>
      </w:r>
      <w:r>
        <w:rPr>
          <w:spacing w:val="16"/>
          <w:sz w:val="20"/>
        </w:rPr>
        <w:t> </w:t>
      </w:r>
      <w:r>
        <w:rPr>
          <w:sz w:val="20"/>
        </w:rPr>
        <w:t>seems</w:t>
      </w:r>
      <w:r>
        <w:rPr>
          <w:spacing w:val="16"/>
          <w:sz w:val="20"/>
        </w:rPr>
        <w:t> </w:t>
      </w:r>
      <w:r>
        <w:rPr>
          <w:sz w:val="20"/>
        </w:rPr>
        <w:t>immaterial.</w:t>
      </w:r>
      <w:r>
        <w:rPr>
          <w:spacing w:val="16"/>
          <w:sz w:val="20"/>
        </w:rPr>
        <w:t> </w:t>
      </w:r>
      <w:r>
        <w:rPr>
          <w:sz w:val="20"/>
        </w:rPr>
        <w:t>Except</w:t>
      </w:r>
      <w:r>
        <w:rPr>
          <w:spacing w:val="16"/>
          <w:sz w:val="20"/>
        </w:rPr>
        <w:t> </w:t>
      </w:r>
      <w:r>
        <w:rPr>
          <w:sz w:val="20"/>
        </w:rPr>
        <w:t>in</w:t>
      </w:r>
      <w:r>
        <w:rPr>
          <w:spacing w:val="16"/>
          <w:sz w:val="20"/>
        </w:rPr>
        <w:t> </w:t>
      </w:r>
      <w:r>
        <w:rPr>
          <w:sz w:val="20"/>
        </w:rPr>
        <w:t>matrimonial</w:t>
      </w:r>
      <w:r>
        <w:rPr>
          <w:spacing w:val="16"/>
          <w:sz w:val="20"/>
        </w:rPr>
        <w:t> </w:t>
      </w:r>
      <w:r>
        <w:rPr>
          <w:sz w:val="20"/>
        </w:rPr>
        <w:t>cases,</w:t>
      </w:r>
      <w:r>
        <w:rPr>
          <w:spacing w:val="16"/>
          <w:sz w:val="20"/>
        </w:rPr>
        <w:t> </w:t>
      </w:r>
      <w:r>
        <w:rPr>
          <w:sz w:val="20"/>
        </w:rPr>
        <w:t>a</w:t>
      </w:r>
      <w:r>
        <w:rPr>
          <w:spacing w:val="16"/>
          <w:sz w:val="20"/>
        </w:rPr>
        <w:t> </w:t>
      </w:r>
      <w:r>
        <w:rPr>
          <w:sz w:val="20"/>
        </w:rPr>
        <w:t>consent</w:t>
      </w:r>
      <w:r>
        <w:rPr>
          <w:spacing w:val="16"/>
          <w:sz w:val="20"/>
        </w:rPr>
        <w:t> </w:t>
      </w:r>
      <w:r>
        <w:rPr>
          <w:sz w:val="20"/>
        </w:rPr>
        <w:t>order</w:t>
      </w:r>
      <w:r>
        <w:rPr>
          <w:spacing w:val="16"/>
          <w:sz w:val="20"/>
        </w:rPr>
        <w:t> </w:t>
      </w:r>
      <w:r>
        <w:rPr>
          <w:sz w:val="20"/>
        </w:rPr>
        <w:t>derives</w:t>
      </w:r>
      <w:r>
        <w:rPr>
          <w:spacing w:val="16"/>
          <w:sz w:val="20"/>
        </w:rPr>
        <w:t> </w:t>
      </w:r>
      <w:r>
        <w:rPr>
          <w:spacing w:val="-5"/>
          <w:sz w:val="20"/>
        </w:rPr>
        <w:t>its</w:t>
      </w:r>
    </w:p>
    <w:p>
      <w:pPr>
        <w:spacing w:after="0" w:line="235" w:lineRule="auto"/>
        <w:jc w:val="left"/>
        <w:rPr>
          <w:sz w:val="20"/>
        </w:rPr>
        <w:sectPr>
          <w:type w:val="continuous"/>
          <w:pgSz w:w="11900" w:h="16840"/>
          <w:pgMar w:header="971" w:footer="0" w:top="1160" w:bottom="280" w:left="1275" w:right="1275"/>
        </w:sectPr>
      </w:pPr>
    </w:p>
    <w:p>
      <w:pPr>
        <w:pStyle w:val="BodyText"/>
        <w:spacing w:before="24"/>
      </w:pPr>
    </w:p>
    <w:p>
      <w:pPr>
        <w:spacing w:line="235" w:lineRule="auto" w:before="1"/>
        <w:ind w:left="705" w:right="0" w:firstLine="0"/>
        <w:jc w:val="left"/>
        <w:rPr>
          <w:sz w:val="20"/>
        </w:rPr>
      </w:pPr>
      <w:r>
        <w:rPr>
          <w:sz w:val="20"/>
        </w:rPr>
        <w:t>force and effect from the contract underlying it, and if the contract can be set aside, so can the order: </w:t>
      </w:r>
      <w:r>
        <w:rPr>
          <w:rFonts w:ascii="Arial"/>
          <w:i/>
          <w:sz w:val="20"/>
        </w:rPr>
        <w:t>Purcell v F.C. Trigell Ltd [1971] 1 Q.B. 358</w:t>
      </w:r>
      <w:r>
        <w:rPr>
          <w:sz w:val="20"/>
        </w:rPr>
        <w:t>. See further above, para.6-060 n.276.</w:t>
      </w:r>
    </w:p>
    <w:p>
      <w:pPr>
        <w:pStyle w:val="BodyText"/>
        <w:spacing w:before="9"/>
      </w:pPr>
    </w:p>
    <w:p>
      <w:pPr>
        <w:pStyle w:val="BodyText"/>
        <w:tabs>
          <w:tab w:pos="705" w:val="left" w:leader="none"/>
        </w:tabs>
        <w:spacing w:line="235" w:lineRule="auto"/>
        <w:ind w:left="705" w:right="168" w:hanging="541"/>
      </w:pPr>
      <w:bookmarkStart w:name="_bookmark1060" w:id="1062"/>
      <w:bookmarkEnd w:id="1062"/>
      <w:r>
        <w:rPr/>
      </w:r>
      <w:hyperlink w:history="true" w:anchor="_bookmark1024">
        <w:r>
          <w:rPr>
            <w:color w:val="005DA1"/>
            <w:spacing w:val="-4"/>
            <w:position w:val="5"/>
            <w:sz w:val="14"/>
            <w:u w:val="single" w:color="005DA1"/>
          </w:rPr>
          <w:t>556</w:t>
        </w:r>
      </w:hyperlink>
      <w:r>
        <w:rPr>
          <w:spacing w:val="-4"/>
          <w:position w:val="5"/>
          <w:sz w:val="14"/>
        </w:rPr>
        <w:t>.</w:t>
      </w:r>
      <w:r>
        <w:rPr>
          <w:position w:val="5"/>
          <w:sz w:val="14"/>
        </w:rPr>
        <w:tab/>
      </w:r>
      <w:r>
        <w:rPr/>
        <w:t>Until the contract is rescinded, the accepted view is that the misrepresentee has no </w:t>
      </w:r>
      <w:r>
        <w:rPr/>
        <w:t>proprietary right in the property transferred but only a “mere equity”: below, para.7-139.</w:t>
      </w:r>
    </w:p>
    <w:p>
      <w:pPr>
        <w:pStyle w:val="BodyText"/>
        <w:spacing w:before="9"/>
      </w:pPr>
    </w:p>
    <w:p>
      <w:pPr>
        <w:spacing w:line="235" w:lineRule="auto" w:before="0"/>
        <w:ind w:left="705" w:right="167" w:hanging="541"/>
        <w:jc w:val="both"/>
        <w:rPr>
          <w:sz w:val="20"/>
        </w:rPr>
      </w:pPr>
      <w:bookmarkStart w:name="_bookmark1061" w:id="1063"/>
      <w:bookmarkEnd w:id="1063"/>
      <w:r>
        <w:rPr/>
      </w:r>
      <w:hyperlink w:history="true" w:anchor="_bookmark1025">
        <w:r>
          <w:rPr>
            <w:color w:val="005DA1"/>
            <w:position w:val="5"/>
            <w:sz w:val="14"/>
            <w:u w:val="single" w:color="005DA1"/>
          </w:rPr>
          <w:t>557</w:t>
        </w:r>
      </w:hyperlink>
      <w:r>
        <w:rPr>
          <w:position w:val="5"/>
          <w:sz w:val="14"/>
        </w:rPr>
        <w:t>.</w:t>
      </w:r>
      <w:r>
        <w:rPr>
          <w:spacing w:val="40"/>
          <w:position w:val="5"/>
          <w:sz w:val="14"/>
        </w:rPr>
        <w:t>  </w:t>
      </w:r>
      <w:r>
        <w:rPr>
          <w:rFonts w:ascii="Arial"/>
          <w:i/>
          <w:sz w:val="20"/>
        </w:rPr>
        <w:t>Car &amp; Universal Finance Co Ltd v Caldwell [1961] 1 Q.B. 525</w:t>
      </w:r>
      <w:r>
        <w:rPr>
          <w:sz w:val="20"/>
        </w:rPr>
        <w:t>. But note that the fact that the contract has been rescinded does not prevent Sale of Goods Act s.25 (sale by buyer </w:t>
      </w:r>
      <w:r>
        <w:rPr>
          <w:sz w:val="20"/>
        </w:rPr>
        <w:t>in possession) from applying. See below, Vol.II, para.44-219.</w:t>
      </w:r>
    </w:p>
    <w:p>
      <w:pPr>
        <w:pStyle w:val="BodyText"/>
        <w:spacing w:before="9"/>
      </w:pPr>
    </w:p>
    <w:p>
      <w:pPr>
        <w:pStyle w:val="BodyText"/>
        <w:spacing w:line="235" w:lineRule="auto"/>
        <w:ind w:left="705" w:right="167" w:hanging="541"/>
        <w:jc w:val="both"/>
      </w:pPr>
      <w:bookmarkStart w:name="_bookmark1062" w:id="1064"/>
      <w:bookmarkEnd w:id="1064"/>
      <w:r>
        <w:rPr/>
      </w:r>
      <w:hyperlink w:history="true" w:anchor="_bookmark1026">
        <w:r>
          <w:rPr>
            <w:color w:val="005DA1"/>
            <w:position w:val="5"/>
            <w:sz w:val="14"/>
            <w:u w:val="single" w:color="005DA1"/>
          </w:rPr>
          <w:t>558</w:t>
        </w:r>
      </w:hyperlink>
      <w:r>
        <w:rPr>
          <w:position w:val="5"/>
          <w:sz w:val="14"/>
        </w:rPr>
        <w:t>.</w:t>
      </w:r>
      <w:r>
        <w:rPr>
          <w:spacing w:val="80"/>
          <w:position w:val="5"/>
          <w:sz w:val="14"/>
        </w:rPr>
        <w:t>  </w:t>
      </w:r>
      <w:r>
        <w:rPr/>
        <w:t>Megarry</w:t>
      </w:r>
      <w:r>
        <w:rPr>
          <w:spacing w:val="-2"/>
        </w:rPr>
        <w:t> </w:t>
      </w:r>
      <w:r>
        <w:rPr/>
        <w:t>&amp;</w:t>
      </w:r>
      <w:r>
        <w:rPr>
          <w:spacing w:val="-2"/>
        </w:rPr>
        <w:t> </w:t>
      </w:r>
      <w:r>
        <w:rPr/>
        <w:t>Wade,</w:t>
      </w:r>
      <w:r>
        <w:rPr>
          <w:spacing w:val="-2"/>
        </w:rPr>
        <w:t> </w:t>
      </w:r>
      <w:r>
        <w:rPr>
          <w:rFonts w:ascii="Arial" w:hAnsi="Arial"/>
          <w:i/>
        </w:rPr>
        <w:t>The</w:t>
      </w:r>
      <w:r>
        <w:rPr>
          <w:rFonts w:ascii="Arial" w:hAnsi="Arial"/>
          <w:i/>
          <w:spacing w:val="-2"/>
        </w:rPr>
        <w:t> </w:t>
      </w:r>
      <w:r>
        <w:rPr>
          <w:rFonts w:ascii="Arial" w:hAnsi="Arial"/>
          <w:i/>
        </w:rPr>
        <w:t>Law</w:t>
      </w:r>
      <w:r>
        <w:rPr>
          <w:rFonts w:ascii="Arial" w:hAnsi="Arial"/>
          <w:i/>
          <w:spacing w:val="-2"/>
        </w:rPr>
        <w:t> </w:t>
      </w:r>
      <w:r>
        <w:rPr>
          <w:rFonts w:ascii="Arial" w:hAnsi="Arial"/>
          <w:i/>
        </w:rPr>
        <w:t>of</w:t>
      </w:r>
      <w:r>
        <w:rPr>
          <w:rFonts w:ascii="Arial" w:hAnsi="Arial"/>
          <w:i/>
          <w:spacing w:val="-2"/>
        </w:rPr>
        <w:t> </w:t>
      </w:r>
      <w:r>
        <w:rPr>
          <w:rFonts w:ascii="Arial" w:hAnsi="Arial"/>
          <w:i/>
        </w:rPr>
        <w:t>Real</w:t>
      </w:r>
      <w:r>
        <w:rPr>
          <w:rFonts w:ascii="Arial" w:hAnsi="Arial"/>
          <w:i/>
          <w:spacing w:val="-2"/>
        </w:rPr>
        <w:t> </w:t>
      </w:r>
      <w:r>
        <w:rPr>
          <w:rFonts w:ascii="Arial" w:hAnsi="Arial"/>
          <w:i/>
        </w:rPr>
        <w:t>Property</w:t>
      </w:r>
      <w:r>
        <w:rPr/>
        <w:t>,</w:t>
      </w:r>
      <w:r>
        <w:rPr>
          <w:spacing w:val="-2"/>
        </w:rPr>
        <w:t> </w:t>
      </w:r>
      <w:r>
        <w:rPr/>
        <w:t>8th</w:t>
      </w:r>
      <w:r>
        <w:rPr>
          <w:spacing w:val="-2"/>
        </w:rPr>
        <w:t> </w:t>
      </w:r>
      <w:r>
        <w:rPr/>
        <w:t>edn</w:t>
      </w:r>
      <w:r>
        <w:rPr>
          <w:spacing w:val="-2"/>
        </w:rPr>
        <w:t> </w:t>
      </w:r>
      <w:r>
        <w:rPr/>
        <w:t>(2012),</w:t>
      </w:r>
      <w:r>
        <w:rPr>
          <w:spacing w:val="-2"/>
        </w:rPr>
        <w:t> </w:t>
      </w:r>
      <w:r>
        <w:rPr/>
        <w:t>para.11–022.</w:t>
      </w:r>
      <w:r>
        <w:rPr>
          <w:spacing w:val="-2"/>
        </w:rPr>
        <w:t> </w:t>
      </w:r>
      <w:r>
        <w:rPr/>
        <w:t>Note</w:t>
      </w:r>
      <w:r>
        <w:rPr>
          <w:spacing w:val="-2"/>
        </w:rPr>
        <w:t> </w:t>
      </w:r>
      <w:r>
        <w:rPr/>
        <w:t>that</w:t>
      </w:r>
      <w:r>
        <w:rPr>
          <w:spacing w:val="-2"/>
        </w:rPr>
        <w:t> </w:t>
      </w:r>
      <w:r>
        <w:rPr/>
        <w:t>completion of the contract is no longer a bar to rescission: Misrepresentation Act 1967 s.1(b), below,</w:t>
      </w:r>
      <w:r>
        <w:rPr>
          <w:spacing w:val="40"/>
        </w:rPr>
        <w:t> </w:t>
      </w:r>
      <w:r>
        <w:rPr>
          <w:spacing w:val="-2"/>
        </w:rPr>
        <w:t>para.7-142.</w:t>
      </w:r>
    </w:p>
    <w:p>
      <w:pPr>
        <w:pStyle w:val="BodyText"/>
        <w:spacing w:before="5"/>
      </w:pPr>
    </w:p>
    <w:p>
      <w:pPr>
        <w:pStyle w:val="BodyText"/>
        <w:tabs>
          <w:tab w:pos="705" w:val="left" w:leader="none"/>
        </w:tabs>
        <w:ind w:left="165"/>
      </w:pPr>
      <w:bookmarkStart w:name="_bookmark1063" w:id="1065"/>
      <w:bookmarkEnd w:id="1065"/>
      <w:r>
        <w:rPr/>
      </w:r>
      <w:hyperlink w:history="true" w:anchor="_bookmark1027">
        <w:r>
          <w:rPr>
            <w:color w:val="005DA1"/>
            <w:spacing w:val="-4"/>
            <w:position w:val="5"/>
            <w:sz w:val="14"/>
            <w:u w:val="single" w:color="005DA1"/>
          </w:rPr>
          <w:t>559</w:t>
        </w:r>
      </w:hyperlink>
      <w:r>
        <w:rPr>
          <w:spacing w:val="-4"/>
          <w:position w:val="5"/>
          <w:sz w:val="14"/>
        </w:rPr>
        <w:t>.</w:t>
      </w:r>
      <w:r>
        <w:rPr>
          <w:position w:val="5"/>
          <w:sz w:val="14"/>
        </w:rPr>
        <w:tab/>
      </w:r>
      <w:r>
        <w:rPr/>
        <w:t>Arbitration Act 1996 s.7; Vol.II, para.32-</w:t>
      </w:r>
      <w:r>
        <w:rPr>
          <w:spacing w:val="-4"/>
        </w:rPr>
        <w:t>028.</w:t>
      </w:r>
    </w:p>
    <w:p>
      <w:pPr>
        <w:pStyle w:val="BodyText"/>
        <w:spacing w:before="9"/>
      </w:pPr>
    </w:p>
    <w:p>
      <w:pPr>
        <w:tabs>
          <w:tab w:pos="705" w:val="left" w:leader="none"/>
        </w:tabs>
        <w:spacing w:line="235" w:lineRule="auto" w:before="0"/>
        <w:ind w:left="705" w:right="168" w:hanging="541"/>
        <w:jc w:val="left"/>
        <w:rPr>
          <w:sz w:val="20"/>
        </w:rPr>
      </w:pPr>
      <w:bookmarkStart w:name="_bookmark1064" w:id="1066"/>
      <w:bookmarkEnd w:id="1066"/>
      <w:r>
        <w:rPr/>
      </w:r>
      <w:hyperlink w:history="true" w:anchor="_bookmark1028">
        <w:r>
          <w:rPr>
            <w:color w:val="005DA1"/>
            <w:spacing w:val="-4"/>
            <w:position w:val="5"/>
            <w:sz w:val="14"/>
            <w:u w:val="single" w:color="005DA1"/>
          </w:rPr>
          <w:t>560</w:t>
        </w:r>
      </w:hyperlink>
      <w:r>
        <w:rPr>
          <w:spacing w:val="-4"/>
          <w:position w:val="5"/>
          <w:sz w:val="14"/>
        </w:rPr>
        <w:t>.</w:t>
      </w:r>
      <w:r>
        <w:rPr>
          <w:position w:val="5"/>
          <w:sz w:val="14"/>
        </w:rPr>
        <w:tab/>
      </w:r>
      <w:r>
        <w:rPr>
          <w:rFonts w:ascii="Arial"/>
          <w:i/>
          <w:sz w:val="20"/>
        </w:rPr>
        <w:t>FAI</w:t>
      </w:r>
      <w:r>
        <w:rPr>
          <w:rFonts w:ascii="Arial"/>
          <w:i/>
          <w:spacing w:val="25"/>
          <w:sz w:val="20"/>
        </w:rPr>
        <w:t> </w:t>
      </w:r>
      <w:r>
        <w:rPr>
          <w:rFonts w:ascii="Arial"/>
          <w:i/>
          <w:sz w:val="20"/>
        </w:rPr>
        <w:t>General</w:t>
      </w:r>
      <w:r>
        <w:rPr>
          <w:rFonts w:ascii="Arial"/>
          <w:i/>
          <w:spacing w:val="25"/>
          <w:sz w:val="20"/>
        </w:rPr>
        <w:t> </w:t>
      </w:r>
      <w:r>
        <w:rPr>
          <w:rFonts w:ascii="Arial"/>
          <w:i/>
          <w:sz w:val="20"/>
        </w:rPr>
        <w:t>Insurance</w:t>
      </w:r>
      <w:r>
        <w:rPr>
          <w:rFonts w:ascii="Arial"/>
          <w:i/>
          <w:spacing w:val="25"/>
          <w:sz w:val="20"/>
        </w:rPr>
        <w:t> </w:t>
      </w:r>
      <w:r>
        <w:rPr>
          <w:rFonts w:ascii="Arial"/>
          <w:i/>
          <w:sz w:val="20"/>
        </w:rPr>
        <w:t>Co</w:t>
      </w:r>
      <w:r>
        <w:rPr>
          <w:rFonts w:ascii="Arial"/>
          <w:i/>
          <w:spacing w:val="25"/>
          <w:sz w:val="20"/>
        </w:rPr>
        <w:t> </w:t>
      </w:r>
      <w:r>
        <w:rPr>
          <w:rFonts w:ascii="Arial"/>
          <w:i/>
          <w:sz w:val="20"/>
        </w:rPr>
        <w:t>Ltd</w:t>
      </w:r>
      <w:r>
        <w:rPr>
          <w:rFonts w:ascii="Arial"/>
          <w:i/>
          <w:spacing w:val="25"/>
          <w:sz w:val="20"/>
        </w:rPr>
        <w:t> </w:t>
      </w:r>
      <w:r>
        <w:rPr>
          <w:rFonts w:ascii="Arial"/>
          <w:i/>
          <w:sz w:val="20"/>
        </w:rPr>
        <w:t>v</w:t>
      </w:r>
      <w:r>
        <w:rPr>
          <w:rFonts w:ascii="Arial"/>
          <w:i/>
          <w:spacing w:val="25"/>
          <w:sz w:val="20"/>
        </w:rPr>
        <w:t> </w:t>
      </w:r>
      <w:r>
        <w:rPr>
          <w:rFonts w:ascii="Arial"/>
          <w:i/>
          <w:sz w:val="20"/>
        </w:rPr>
        <w:t>Ocean</w:t>
      </w:r>
      <w:r>
        <w:rPr>
          <w:rFonts w:ascii="Arial"/>
          <w:i/>
          <w:spacing w:val="25"/>
          <w:sz w:val="20"/>
        </w:rPr>
        <w:t> </w:t>
      </w:r>
      <w:r>
        <w:rPr>
          <w:rFonts w:ascii="Arial"/>
          <w:i/>
          <w:sz w:val="20"/>
        </w:rPr>
        <w:t>Marine</w:t>
      </w:r>
      <w:r>
        <w:rPr>
          <w:rFonts w:ascii="Arial"/>
          <w:i/>
          <w:spacing w:val="25"/>
          <w:sz w:val="20"/>
        </w:rPr>
        <w:t> </w:t>
      </w:r>
      <w:r>
        <w:rPr>
          <w:rFonts w:ascii="Arial"/>
          <w:i/>
          <w:sz w:val="20"/>
        </w:rPr>
        <w:t>Mutual</w:t>
      </w:r>
      <w:r>
        <w:rPr>
          <w:rFonts w:ascii="Arial"/>
          <w:i/>
          <w:spacing w:val="25"/>
          <w:sz w:val="20"/>
        </w:rPr>
        <w:t> </w:t>
      </w:r>
      <w:r>
        <w:rPr>
          <w:rFonts w:ascii="Arial"/>
          <w:i/>
          <w:sz w:val="20"/>
        </w:rPr>
        <w:t>Protection</w:t>
      </w:r>
      <w:r>
        <w:rPr>
          <w:rFonts w:ascii="Arial"/>
          <w:i/>
          <w:spacing w:val="25"/>
          <w:sz w:val="20"/>
        </w:rPr>
        <w:t> </w:t>
      </w:r>
      <w:r>
        <w:rPr>
          <w:rFonts w:ascii="Arial"/>
          <w:i/>
          <w:sz w:val="20"/>
        </w:rPr>
        <w:t>and</w:t>
      </w:r>
      <w:r>
        <w:rPr>
          <w:rFonts w:ascii="Arial"/>
          <w:i/>
          <w:spacing w:val="25"/>
          <w:sz w:val="20"/>
        </w:rPr>
        <w:t> </w:t>
      </w:r>
      <w:r>
        <w:rPr>
          <w:rFonts w:ascii="Arial"/>
          <w:i/>
          <w:sz w:val="20"/>
        </w:rPr>
        <w:t>Indemnity</w:t>
      </w:r>
      <w:r>
        <w:rPr>
          <w:rFonts w:ascii="Arial"/>
          <w:i/>
          <w:spacing w:val="25"/>
          <w:sz w:val="20"/>
        </w:rPr>
        <w:t> </w:t>
      </w:r>
      <w:r>
        <w:rPr>
          <w:rFonts w:ascii="Arial"/>
          <w:i/>
          <w:sz w:val="20"/>
        </w:rPr>
        <w:t>Association [1998] L.R.L.R. 24, 28</w:t>
      </w:r>
      <w:r>
        <w:rPr>
          <w:sz w:val="20"/>
        </w:rPr>
        <w:t>; Vol.II, para.32-028.</w:t>
      </w:r>
    </w:p>
    <w:p>
      <w:pPr>
        <w:pStyle w:val="BodyText"/>
        <w:spacing w:before="193"/>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539" w:right="2543"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3909632">
                <wp:simplePos x="0" y="0"/>
                <wp:positionH relativeFrom="page">
                  <wp:posOffset>4851958</wp:posOffset>
                </wp:positionH>
                <wp:positionV relativeFrom="paragraph">
                  <wp:posOffset>377436</wp:posOffset>
                </wp:positionV>
                <wp:extent cx="42545"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06848" from="382.044006pt,29.719406pt" to="385.380006pt,29.719406pt" stroked="true" strokeweight=".428pt" strokecolor="#005da1">
                <v:stroke dashstyle="solid"/>
                <w10:wrap type="none"/>
              </v:line>
            </w:pict>
          </mc:Fallback>
        </mc:AlternateContent>
      </w:r>
      <w:r>
        <w:rPr>
          <w:rFonts w:ascii="Arial"/>
          <w:b/>
          <w:sz w:val="24"/>
        </w:rPr>
        <w:t>Part 2 - Formation of Contract Chapter 7 - Misrepresentation</w:t>
      </w:r>
      <w:r>
        <w:rPr>
          <w:rFonts w:ascii="Arial"/>
          <w:b/>
          <w:spacing w:val="-1"/>
          <w:sz w:val="24"/>
        </w:rPr>
        <w:t> </w:t>
      </w:r>
      <w:r>
        <w:rPr>
          <w:rFonts w:ascii="Arial"/>
          <w:b/>
          <w:color w:val="005DA1"/>
          <w:spacing w:val="-10"/>
          <w:position w:val="11"/>
          <w:sz w:val="12"/>
        </w:rPr>
        <w:t>1</w:t>
      </w:r>
    </w:p>
    <w:p>
      <w:pPr>
        <w:spacing w:before="2"/>
        <w:ind w:left="940" w:right="943" w:firstLine="0"/>
        <w:jc w:val="center"/>
        <w:rPr>
          <w:rFonts w:ascii="Arial"/>
          <w:b/>
          <w:sz w:val="24"/>
        </w:rPr>
      </w:pPr>
      <w:r>
        <w:rPr>
          <w:rFonts w:ascii="Arial"/>
          <w:b/>
          <w:sz w:val="24"/>
        </w:rPr>
        <w:t>Section 4. - Rescission for </w:t>
      </w:r>
      <w:r>
        <w:rPr>
          <w:rFonts w:ascii="Arial"/>
          <w:b/>
          <w:spacing w:val="-2"/>
          <w:sz w:val="24"/>
        </w:rPr>
        <w:t>Misrepresentation</w:t>
      </w:r>
    </w:p>
    <w:p>
      <w:pPr>
        <w:spacing w:before="194"/>
        <w:ind w:left="3172" w:right="0" w:firstLine="0"/>
        <w:jc w:val="left"/>
        <w:rPr>
          <w:rFonts w:ascii="Arial"/>
          <w:b/>
          <w:sz w:val="24"/>
        </w:rPr>
      </w:pPr>
      <w:r>
        <w:rPr>
          <w:rFonts w:ascii="Arial"/>
          <w:b/>
          <w:sz w:val="24"/>
        </w:rPr>
        <w:t>(b) - Restitutio in </w:t>
      </w:r>
      <w:r>
        <w:rPr>
          <w:rFonts w:ascii="Arial"/>
          <w:b/>
          <w:spacing w:val="-2"/>
          <w:sz w:val="24"/>
        </w:rPr>
        <w:t>Integrum</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Restitutio in </w:t>
      </w:r>
      <w:r>
        <w:rPr>
          <w:rFonts w:ascii="Arial"/>
          <w:b/>
          <w:spacing w:val="-2"/>
          <w:sz w:val="18"/>
        </w:rPr>
        <w:t>integrum</w:t>
      </w:r>
    </w:p>
    <w:p>
      <w:pPr>
        <w:pStyle w:val="BodyText"/>
        <w:spacing w:before="41"/>
        <w:rPr>
          <w:rFonts w:ascii="Arial"/>
          <w:b/>
          <w:sz w:val="18"/>
        </w:rPr>
      </w:pPr>
    </w:p>
    <w:p>
      <w:pPr>
        <w:pStyle w:val="Heading2"/>
        <w:ind w:left="164"/>
      </w:pPr>
      <w:r>
        <w:rPr/>
        <w:t>7-</w:t>
      </w:r>
      <w:r>
        <w:rPr>
          <w:spacing w:val="-5"/>
        </w:rPr>
        <w:t>123</w:t>
      </w:r>
    </w:p>
    <w:p>
      <w:pPr>
        <w:pStyle w:val="BodyText"/>
        <w:spacing w:line="235" w:lineRule="auto" w:before="203"/>
        <w:ind w:left="164" w:right="167"/>
        <w:jc w:val="both"/>
      </w:pPr>
      <w:bookmarkStart w:name="_bookmark1065" w:id="1067"/>
      <w:bookmarkEnd w:id="1067"/>
      <w:r>
        <w:rPr/>
      </w:r>
      <w:r>
        <w:rPr/>
        <w:t>The purpose of rescission is to restore the status quo ante, and it was said by Bowen L.J. </w:t>
      </w:r>
      <w:r>
        <w:rPr/>
        <w:t>in </w:t>
      </w:r>
      <w:r>
        <w:rPr>
          <w:rFonts w:ascii="Arial" w:hAnsi="Arial"/>
          <w:i/>
        </w:rPr>
        <w:t>Newbigging v Adam </w:t>
      </w:r>
      <w:r>
        <w:rPr>
          <w:color w:val="005DA1"/>
          <w:u w:val="single" w:color="005DA1"/>
          <w:vertAlign w:val="superscript"/>
        </w:rPr>
        <w:t>561</w:t>
      </w:r>
      <w:r>
        <w:rPr>
          <w:color w:val="005DA1"/>
          <w:vertAlign w:val="baseline"/>
        </w:rPr>
        <w:t> </w:t>
      </w:r>
      <w:r>
        <w:rPr>
          <w:vertAlign w:val="baseline"/>
        </w:rPr>
        <w:t>that “there ought … to be a giving back and a taking back on both sides”.</w:t>
      </w:r>
      <w:r>
        <w:rPr>
          <w:spacing w:val="40"/>
          <w:vertAlign w:val="baseline"/>
        </w:rPr>
        <w:t> </w:t>
      </w:r>
      <w:bookmarkStart w:name="_bookmark1066" w:id="1068"/>
      <w:bookmarkEnd w:id="1068"/>
      <w:r>
        <w:rPr>
          <w:vertAlign w:val="baseline"/>
        </w:rPr>
        <w:t>Thus</w:t>
      </w:r>
      <w:r>
        <w:rPr>
          <w:vertAlign w:val="baseline"/>
        </w:rPr>
        <w:t> the traditional view is that the remedy will not lie if the parties are not in a position to make restitutio in integrum. In </w:t>
      </w:r>
      <w:r>
        <w:rPr>
          <w:rFonts w:ascii="Arial" w:hAnsi="Arial"/>
          <w:i/>
          <w:vertAlign w:val="baseline"/>
        </w:rPr>
        <w:t>Clarke v Dickson </w:t>
      </w:r>
      <w:r>
        <w:rPr>
          <w:color w:val="005DA1"/>
          <w:u w:val="single" w:color="005DA1"/>
          <w:vertAlign w:val="superscript"/>
        </w:rPr>
        <w:t>562</w:t>
      </w:r>
      <w:r>
        <w:rPr>
          <w:color w:val="005DA1"/>
          <w:vertAlign w:val="baseline"/>
        </w:rPr>
        <w:t> </w:t>
      </w:r>
      <w:r>
        <w:rPr>
          <w:vertAlign w:val="baseline"/>
        </w:rPr>
        <w:t>Crompton J. said that when a party:</w:t>
      </w:r>
    </w:p>
    <w:p>
      <w:pPr>
        <w:pStyle w:val="BodyText"/>
      </w:pPr>
    </w:p>
    <w:p>
      <w:pPr>
        <w:pStyle w:val="BodyText"/>
        <w:spacing w:before="125"/>
      </w:pPr>
    </w:p>
    <w:p>
      <w:pPr>
        <w:pStyle w:val="BodyText"/>
        <w:spacing w:line="235" w:lineRule="auto"/>
        <w:ind w:left="1245" w:right="167"/>
        <w:jc w:val="both"/>
      </w:pPr>
      <w:r>
        <w:rPr/>
        <w:t>“…</w:t>
      </w:r>
      <w:r>
        <w:rPr>
          <w:spacing w:val="-1"/>
        </w:rPr>
        <w:t> </w:t>
      </w:r>
      <w:r>
        <w:rPr/>
        <w:t>exercises</w:t>
      </w:r>
      <w:r>
        <w:rPr>
          <w:spacing w:val="-1"/>
        </w:rPr>
        <w:t> </w:t>
      </w:r>
      <w:r>
        <w:rPr/>
        <w:t>his</w:t>
      </w:r>
      <w:r>
        <w:rPr>
          <w:spacing w:val="-1"/>
        </w:rPr>
        <w:t> </w:t>
      </w:r>
      <w:r>
        <w:rPr/>
        <w:t>option</w:t>
      </w:r>
      <w:r>
        <w:rPr>
          <w:spacing w:val="-1"/>
        </w:rPr>
        <w:t> </w:t>
      </w:r>
      <w:r>
        <w:rPr/>
        <w:t>to</w:t>
      </w:r>
      <w:r>
        <w:rPr>
          <w:spacing w:val="-1"/>
        </w:rPr>
        <w:t> </w:t>
      </w:r>
      <w:r>
        <w:rPr/>
        <w:t>rescind</w:t>
      </w:r>
      <w:r>
        <w:rPr>
          <w:spacing w:val="-1"/>
        </w:rPr>
        <w:t> </w:t>
      </w:r>
      <w:r>
        <w:rPr/>
        <w:t>the</w:t>
      </w:r>
      <w:r>
        <w:rPr>
          <w:spacing w:val="-1"/>
        </w:rPr>
        <w:t> </w:t>
      </w:r>
      <w:r>
        <w:rPr/>
        <w:t>contract,</w:t>
      </w:r>
      <w:r>
        <w:rPr>
          <w:spacing w:val="-1"/>
        </w:rPr>
        <w:t> </w:t>
      </w:r>
      <w:r>
        <w:rPr/>
        <w:t>he</w:t>
      </w:r>
      <w:r>
        <w:rPr>
          <w:spacing w:val="-1"/>
        </w:rPr>
        <w:t> </w:t>
      </w:r>
      <w:r>
        <w:rPr/>
        <w:t>must</w:t>
      </w:r>
      <w:r>
        <w:rPr>
          <w:spacing w:val="-1"/>
        </w:rPr>
        <w:t> </w:t>
      </w:r>
      <w:r>
        <w:rPr/>
        <w:t>be</w:t>
      </w:r>
      <w:r>
        <w:rPr>
          <w:spacing w:val="-1"/>
        </w:rPr>
        <w:t> </w:t>
      </w:r>
      <w:r>
        <w:rPr/>
        <w:t>in</w:t>
      </w:r>
      <w:r>
        <w:rPr>
          <w:spacing w:val="-1"/>
        </w:rPr>
        <w:t> </w:t>
      </w:r>
      <w:r>
        <w:rPr/>
        <w:t>a</w:t>
      </w:r>
      <w:r>
        <w:rPr>
          <w:spacing w:val="-1"/>
        </w:rPr>
        <w:t> </w:t>
      </w:r>
      <w:r>
        <w:rPr/>
        <w:t>state</w:t>
      </w:r>
      <w:r>
        <w:rPr>
          <w:spacing w:val="-1"/>
        </w:rPr>
        <w:t> </w:t>
      </w:r>
      <w:r>
        <w:rPr/>
        <w:t>to</w:t>
      </w:r>
      <w:r>
        <w:rPr>
          <w:spacing w:val="-1"/>
        </w:rPr>
        <w:t> </w:t>
      </w:r>
      <w:r>
        <w:rPr/>
        <w:t>rescind;</w:t>
      </w:r>
      <w:r>
        <w:rPr>
          <w:spacing w:val="-1"/>
        </w:rPr>
        <w:t> </w:t>
      </w:r>
      <w:r>
        <w:rPr/>
        <w:t>that</w:t>
      </w:r>
      <w:r>
        <w:rPr>
          <w:spacing w:val="-1"/>
        </w:rPr>
        <w:t> </w:t>
      </w:r>
      <w:r>
        <w:rPr/>
        <w:t>is</w:t>
      </w:r>
      <w:r>
        <w:rPr>
          <w:spacing w:val="-1"/>
        </w:rPr>
        <w:t> </w:t>
      </w:r>
      <w:r>
        <w:rPr/>
        <w:t>he must be in such a situation as to be able to put the parties into their original state before the contract.”</w:t>
      </w:r>
    </w:p>
    <w:p>
      <w:pPr>
        <w:pStyle w:val="BodyText"/>
      </w:pPr>
    </w:p>
    <w:p>
      <w:pPr>
        <w:pStyle w:val="BodyText"/>
      </w:pPr>
    </w:p>
    <w:p>
      <w:pPr>
        <w:pStyle w:val="BodyText"/>
        <w:spacing w:before="154"/>
      </w:pPr>
    </w:p>
    <w:p>
      <w:pPr>
        <w:spacing w:before="0"/>
        <w:ind w:left="165" w:right="0" w:firstLine="0"/>
        <w:jc w:val="both"/>
        <w:rPr>
          <w:rFonts w:ascii="Arial"/>
          <w:b/>
          <w:sz w:val="18"/>
        </w:rPr>
      </w:pPr>
      <w:r>
        <w:rPr>
          <w:rFonts w:ascii="Arial"/>
          <w:b/>
          <w:sz w:val="18"/>
        </w:rPr>
        <w:t>Common law and </w:t>
      </w:r>
      <w:r>
        <w:rPr>
          <w:rFonts w:ascii="Arial"/>
          <w:b/>
          <w:spacing w:val="-2"/>
          <w:sz w:val="18"/>
        </w:rPr>
        <w:t>equity</w:t>
      </w:r>
    </w:p>
    <w:p>
      <w:pPr>
        <w:pStyle w:val="BodyText"/>
        <w:spacing w:before="41"/>
        <w:rPr>
          <w:rFonts w:ascii="Arial"/>
          <w:b/>
          <w:sz w:val="18"/>
        </w:rPr>
      </w:pPr>
    </w:p>
    <w:p>
      <w:pPr>
        <w:pStyle w:val="Heading2"/>
        <w:spacing w:before="1"/>
      </w:pPr>
      <w:r>
        <w:rPr/>
        <w:t>7-</w:t>
      </w:r>
      <w:r>
        <w:rPr>
          <w:spacing w:val="-5"/>
        </w:rPr>
        <w:t>124</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93" name="Image 193"/>
            <wp:cNvGraphicFramePr>
              <a:graphicFrameLocks/>
            </wp:cNvGraphicFramePr>
            <a:graphic>
              <a:graphicData uri="http://schemas.openxmlformats.org/drawingml/2006/picture">
                <pic:pic>
                  <pic:nvPicPr>
                    <pic:cNvPr id="193" name="Image 19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40"/>
        </w:rPr>
        <w:t> </w:t>
      </w:r>
      <w:r>
        <w:rPr/>
        <w:t>Common law put a strict interpretation on the requirement of restitution, and consequently restricted the field within which rescission could operate. Further, there was no machinery for taking accounts, or for balancing set-offs against each other, or for making allowances. As a result </w:t>
      </w:r>
      <w:r>
        <w:rPr/>
        <w:t>the </w:t>
      </w:r>
      <w:bookmarkStart w:name="_bookmark1067" w:id="1069"/>
      <w:bookmarkEnd w:id="1069"/>
      <w:r>
        <w:rPr/>
        <w:t>injured</w:t>
      </w:r>
      <w:r>
        <w:rPr/>
        <w:t> party was often relegated to his remedy in damages, if any. In contrast equity offered two advantages to the litigant. </w:t>
      </w:r>
      <w:r>
        <w:rPr>
          <w:color w:val="005DA1"/>
          <w:u w:val="single" w:color="005DA1"/>
          <w:vertAlign w:val="superscript"/>
        </w:rPr>
        <w:t>563</w:t>
      </w:r>
      <w:r>
        <w:rPr>
          <w:color w:val="005DA1"/>
          <w:vertAlign w:val="baseline"/>
        </w:rPr>
        <w:t> </w:t>
      </w:r>
      <w:r>
        <w:rPr>
          <w:vertAlign w:val="baseline"/>
        </w:rPr>
        <w:t>As at common law the parties to an action for rescission were required</w:t>
      </w:r>
      <w:r>
        <w:rPr>
          <w:spacing w:val="40"/>
          <w:vertAlign w:val="baseline"/>
        </w:rPr>
        <w:t> </w:t>
      </w:r>
      <w:r>
        <w:rPr>
          <w:vertAlign w:val="baseline"/>
        </w:rPr>
        <w:t>to make restitution, but equity did not insist that this should be precise. It was content to do practical justice between the parties. Secondly, the greater flexibility of the machinery at its disposal enabled equity to direct accounts to be taken and balances to be struck and adjustments to be made which </w:t>
      </w:r>
      <w:bookmarkStart w:name="_bookmark1068" w:id="1070"/>
      <w:bookmarkEnd w:id="1070"/>
      <w:r>
        <w:rPr>
          <w:vertAlign w:val="baseline"/>
        </w:rPr>
        <w:t>were</w:t>
      </w:r>
      <w:r>
        <w:rPr>
          <w:vertAlign w:val="baseline"/>
        </w:rPr>
        <w:t> impossible at common law. Both of these points were emphasised by Lord Blackburn in</w:t>
      </w:r>
      <w:r>
        <w:rPr>
          <w:spacing w:val="40"/>
          <w:vertAlign w:val="baseline"/>
        </w:rPr>
        <w:t> </w:t>
      </w:r>
      <w:r>
        <w:rPr>
          <w:rFonts w:ascii="Arial"/>
          <w:i/>
          <w:vertAlign w:val="baseline"/>
        </w:rPr>
        <w:t>Erlanger v New Sombrero Phosphate Co </w:t>
      </w:r>
      <w:r>
        <w:rPr>
          <w:color w:val="005DA1"/>
          <w:u w:val="single" w:color="005DA1"/>
          <w:vertAlign w:val="superscript"/>
        </w:rPr>
        <w:t>564</w:t>
      </w:r>
      <w:r>
        <w:rPr>
          <w:vertAlign w:val="baseline"/>
        </w:rPr>
        <w:t>:</w:t>
      </w:r>
    </w:p>
    <w:p>
      <w:pPr>
        <w:pStyle w:val="BodyText"/>
      </w:pPr>
    </w:p>
    <w:p>
      <w:pPr>
        <w:pStyle w:val="BodyText"/>
        <w:spacing w:before="123"/>
      </w:pPr>
    </w:p>
    <w:p>
      <w:pPr>
        <w:pStyle w:val="BodyText"/>
        <w:spacing w:line="235" w:lineRule="auto"/>
        <w:ind w:left="1245" w:right="167"/>
        <w:jc w:val="both"/>
      </w:pPr>
      <w:r>
        <w:rPr/>
        <w:t>“It [a court of equity] can take account of profits and make allowance for deterioration.</w:t>
      </w:r>
      <w:r>
        <w:rPr>
          <w:spacing w:val="40"/>
        </w:rPr>
        <w:t> </w:t>
      </w:r>
      <w:r>
        <w:rPr/>
        <w:t>And I think the practice has always been for a court of equity to give this relief </w:t>
      </w:r>
      <w:r>
        <w:rPr/>
        <w:t>whenever, by</w:t>
      </w:r>
      <w:r>
        <w:rPr>
          <w:spacing w:val="-2"/>
        </w:rPr>
        <w:t> </w:t>
      </w:r>
      <w:r>
        <w:rPr/>
        <w:t>the</w:t>
      </w:r>
      <w:r>
        <w:rPr>
          <w:spacing w:val="-2"/>
        </w:rPr>
        <w:t> </w:t>
      </w:r>
      <w:r>
        <w:rPr/>
        <w:t>exercise</w:t>
      </w:r>
      <w:r>
        <w:rPr>
          <w:spacing w:val="-2"/>
        </w:rPr>
        <w:t> </w:t>
      </w:r>
      <w:r>
        <w:rPr/>
        <w:t>of</w:t>
      </w:r>
      <w:r>
        <w:rPr>
          <w:spacing w:val="-2"/>
        </w:rPr>
        <w:t> </w:t>
      </w:r>
      <w:r>
        <w:rPr/>
        <w:t>its</w:t>
      </w:r>
      <w:r>
        <w:rPr>
          <w:spacing w:val="-2"/>
        </w:rPr>
        <w:t> </w:t>
      </w:r>
      <w:r>
        <w:rPr/>
        <w:t>powers,</w:t>
      </w:r>
      <w:r>
        <w:rPr>
          <w:spacing w:val="-2"/>
        </w:rPr>
        <w:t> </w:t>
      </w:r>
      <w:r>
        <w:rPr/>
        <w:t>it</w:t>
      </w:r>
      <w:r>
        <w:rPr>
          <w:spacing w:val="-2"/>
        </w:rPr>
        <w:t> </w:t>
      </w:r>
      <w:r>
        <w:rPr/>
        <w:t>can</w:t>
      </w:r>
      <w:r>
        <w:rPr>
          <w:spacing w:val="-2"/>
        </w:rPr>
        <w:t> </w:t>
      </w:r>
      <w:r>
        <w:rPr/>
        <w:t>do</w:t>
      </w:r>
      <w:r>
        <w:rPr>
          <w:spacing w:val="-2"/>
        </w:rPr>
        <w:t> </w:t>
      </w:r>
      <w:r>
        <w:rPr/>
        <w:t>what</w:t>
      </w:r>
      <w:r>
        <w:rPr>
          <w:spacing w:val="-2"/>
        </w:rPr>
        <w:t> </w:t>
      </w:r>
      <w:r>
        <w:rPr/>
        <w:t>is</w:t>
      </w:r>
      <w:r>
        <w:rPr>
          <w:spacing w:val="-2"/>
        </w:rPr>
        <w:t> </w:t>
      </w:r>
      <w:r>
        <w:rPr/>
        <w:t>practically</w:t>
      </w:r>
      <w:r>
        <w:rPr>
          <w:spacing w:val="-2"/>
        </w:rPr>
        <w:t> </w:t>
      </w:r>
      <w:r>
        <w:rPr/>
        <w:t>just,</w:t>
      </w:r>
      <w:r>
        <w:rPr>
          <w:spacing w:val="-2"/>
        </w:rPr>
        <w:t> </w:t>
      </w:r>
      <w:r>
        <w:rPr/>
        <w:t>though</w:t>
      </w:r>
      <w:r>
        <w:rPr>
          <w:spacing w:val="-2"/>
        </w:rPr>
        <w:t> </w:t>
      </w:r>
      <w:r>
        <w:rPr/>
        <w:t>it</w:t>
      </w:r>
      <w:r>
        <w:rPr>
          <w:spacing w:val="-2"/>
        </w:rPr>
        <w:t> </w:t>
      </w:r>
      <w:r>
        <w:rPr/>
        <w:t>cannot</w:t>
      </w:r>
      <w:r>
        <w:rPr>
          <w:spacing w:val="-2"/>
        </w:rPr>
        <w:t> </w:t>
      </w:r>
      <w:r>
        <w:rPr/>
        <w:t>restore</w:t>
      </w:r>
      <w:r>
        <w:rPr>
          <w:spacing w:val="-2"/>
        </w:rPr>
        <w:t> </w:t>
      </w:r>
      <w:r>
        <w:rPr/>
        <w:t>the parties precisely to the state they were in before the contract.”</w:t>
      </w:r>
    </w:p>
    <w:p>
      <w:pPr>
        <w:pStyle w:val="BodyText"/>
        <w:spacing w:before="115"/>
      </w:pPr>
    </w:p>
    <w:p>
      <w:pPr>
        <w:pStyle w:val="BodyText"/>
        <w:spacing w:line="235" w:lineRule="auto" w:before="1"/>
        <w:ind w:left="165" w:right="167"/>
        <w:jc w:val="both"/>
      </w:pPr>
      <w:r>
        <w:rPr/>
        <w:t>The present position seems to be that in contracts where the benefits received are in their nature </w:t>
      </w:r>
      <w:bookmarkStart w:name="_bookmark1069" w:id="1071"/>
      <w:bookmarkEnd w:id="1071"/>
      <w:r>
        <w:rPr/>
        <w:t>returnable,</w:t>
      </w:r>
      <w:r>
        <w:rPr>
          <w:spacing w:val="16"/>
        </w:rPr>
        <w:t> </w:t>
      </w:r>
      <w:r>
        <w:rPr/>
        <w:t>such</w:t>
      </w:r>
      <w:r>
        <w:rPr>
          <w:spacing w:val="16"/>
        </w:rPr>
        <w:t> </w:t>
      </w:r>
      <w:r>
        <w:rPr/>
        <w:t>as</w:t>
      </w:r>
      <w:r>
        <w:rPr>
          <w:spacing w:val="16"/>
        </w:rPr>
        <w:t> </w:t>
      </w:r>
      <w:r>
        <w:rPr/>
        <w:t>contracts</w:t>
      </w:r>
      <w:r>
        <w:rPr>
          <w:spacing w:val="16"/>
        </w:rPr>
        <w:t> </w:t>
      </w:r>
      <w:r>
        <w:rPr/>
        <w:t>of</w:t>
      </w:r>
      <w:r>
        <w:rPr>
          <w:spacing w:val="16"/>
        </w:rPr>
        <w:t> </w:t>
      </w:r>
      <w:r>
        <w:rPr/>
        <w:t>sale,</w:t>
      </w:r>
      <w:r>
        <w:rPr>
          <w:spacing w:val="16"/>
        </w:rPr>
        <w:t> </w:t>
      </w:r>
      <w:r>
        <w:rPr/>
        <w:t>while</w:t>
      </w:r>
      <w:r>
        <w:rPr>
          <w:spacing w:val="16"/>
        </w:rPr>
        <w:t> </w:t>
      </w:r>
      <w:r>
        <w:rPr/>
        <w:t>an</w:t>
      </w:r>
      <w:r>
        <w:rPr>
          <w:spacing w:val="16"/>
        </w:rPr>
        <w:t> </w:t>
      </w:r>
      <w:r>
        <w:rPr/>
        <w:t>ability</w:t>
      </w:r>
      <w:r>
        <w:rPr>
          <w:spacing w:val="16"/>
        </w:rPr>
        <w:t> </w:t>
      </w:r>
      <w:r>
        <w:rPr/>
        <w:t>to</w:t>
      </w:r>
      <w:r>
        <w:rPr>
          <w:spacing w:val="16"/>
        </w:rPr>
        <w:t> </w:t>
      </w:r>
      <w:r>
        <w:rPr/>
        <w:t>make</w:t>
      </w:r>
      <w:r>
        <w:rPr>
          <w:spacing w:val="16"/>
        </w:rPr>
        <w:t> </w:t>
      </w:r>
      <w:r>
        <w:rPr/>
        <w:t>restitution</w:t>
      </w:r>
      <w:r>
        <w:rPr>
          <w:spacing w:val="16"/>
        </w:rPr>
        <w:t> </w:t>
      </w:r>
      <w:r>
        <w:rPr/>
        <w:t>is</w:t>
      </w:r>
      <w:r>
        <w:rPr>
          <w:spacing w:val="16"/>
        </w:rPr>
        <w:t> </w:t>
      </w:r>
      <w:r>
        <w:rPr/>
        <w:t>an</w:t>
      </w:r>
      <w:r>
        <w:rPr>
          <w:spacing w:val="16"/>
        </w:rPr>
        <w:t> </w:t>
      </w:r>
      <w:r>
        <w:rPr/>
        <w:t>essential</w:t>
      </w:r>
      <w:r>
        <w:rPr>
          <w:spacing w:val="16"/>
        </w:rPr>
        <w:t> </w:t>
      </w:r>
      <w:r>
        <w:rPr/>
        <w:t>to</w:t>
      </w:r>
      <w:r>
        <w:rPr>
          <w:spacing w:val="16"/>
        </w:rPr>
        <w:t> </w:t>
      </w:r>
      <w:r>
        <w:rPr/>
        <w:t>an</w:t>
      </w:r>
      <w:r>
        <w:rPr>
          <w:spacing w:val="16"/>
        </w:rPr>
        <w:t> </w:t>
      </w:r>
      <w:r>
        <w:rPr>
          <w:spacing w:val="-2"/>
        </w:rPr>
        <w:t>action</w:t>
      </w:r>
    </w:p>
    <w:p>
      <w:pPr>
        <w:pStyle w:val="BodyText"/>
        <w:spacing w:before="115"/>
        <w:ind w:left="165"/>
        <w:jc w:val="both"/>
      </w:pPr>
      <w:r>
        <w:rPr/>
        <w:t>for</w:t>
      </w:r>
      <w:r>
        <w:rPr>
          <w:spacing w:val="19"/>
        </w:rPr>
        <w:t> </w:t>
      </w:r>
      <w:r>
        <w:rPr/>
        <w:t>rescission,</w:t>
      </w:r>
      <w:r>
        <w:rPr>
          <w:spacing w:val="19"/>
        </w:rPr>
        <w:t> </w:t>
      </w:r>
      <w:r>
        <w:rPr/>
        <w:t>the</w:t>
      </w:r>
      <w:r>
        <w:rPr>
          <w:spacing w:val="19"/>
        </w:rPr>
        <w:t> </w:t>
      </w:r>
      <w:r>
        <w:rPr/>
        <w:t>courts</w:t>
      </w:r>
      <w:r>
        <w:rPr>
          <w:spacing w:val="19"/>
        </w:rPr>
        <w:t> </w:t>
      </w:r>
      <w:r>
        <w:rPr/>
        <w:t>require</w:t>
      </w:r>
      <w:r>
        <w:rPr>
          <w:spacing w:val="19"/>
        </w:rPr>
        <w:t> </w:t>
      </w:r>
      <w:r>
        <w:rPr/>
        <w:t>that</w:t>
      </w:r>
      <w:r>
        <w:rPr>
          <w:spacing w:val="19"/>
        </w:rPr>
        <w:t> </w:t>
      </w:r>
      <w:r>
        <w:rPr/>
        <w:t>this</w:t>
      </w:r>
      <w:r>
        <w:rPr>
          <w:spacing w:val="19"/>
        </w:rPr>
        <w:t> </w:t>
      </w:r>
      <w:r>
        <w:rPr/>
        <w:t>should</w:t>
      </w:r>
      <w:r>
        <w:rPr>
          <w:spacing w:val="19"/>
        </w:rPr>
        <w:t> </w:t>
      </w:r>
      <w:r>
        <w:rPr/>
        <w:t>be</w:t>
      </w:r>
      <w:r>
        <w:rPr>
          <w:spacing w:val="19"/>
        </w:rPr>
        <w:t> </w:t>
      </w:r>
      <w:r>
        <w:rPr/>
        <w:t>substantial</w:t>
      </w:r>
      <w:r>
        <w:rPr>
          <w:spacing w:val="19"/>
        </w:rPr>
        <w:t> </w:t>
      </w:r>
      <w:r>
        <w:rPr/>
        <w:t>rather</w:t>
      </w:r>
      <w:r>
        <w:rPr>
          <w:spacing w:val="19"/>
        </w:rPr>
        <w:t> </w:t>
      </w:r>
      <w:r>
        <w:rPr/>
        <w:t>than</w:t>
      </w:r>
      <w:r>
        <w:rPr>
          <w:spacing w:val="19"/>
        </w:rPr>
        <w:t> </w:t>
      </w:r>
      <w:r>
        <w:rPr/>
        <w:t>precise.</w:t>
      </w:r>
      <w:r>
        <w:rPr>
          <w:spacing w:val="18"/>
        </w:rPr>
        <w:t> </w:t>
      </w:r>
      <w:r>
        <w:rPr>
          <w:color w:val="005DA1"/>
          <w:u w:val="single" w:color="005DA1"/>
          <w:vertAlign w:val="superscript"/>
        </w:rPr>
        <w:t>565</w:t>
      </w:r>
      <w:r>
        <w:rPr>
          <w:color w:val="005DA1"/>
          <w:spacing w:val="56"/>
          <w:vertAlign w:val="baseline"/>
        </w:rPr>
        <w:t>  </w:t>
      </w:r>
      <w:r>
        <w:rPr>
          <w:color w:val="005DA1"/>
          <w:spacing w:val="6"/>
          <w:position w:val="-2"/>
          <w:vertAlign w:val="baseline"/>
        </w:rPr>
        <w:drawing>
          <wp:inline distT="0" distB="0" distL="0" distR="0">
            <wp:extent cx="107988" cy="107988"/>
            <wp:effectExtent l="0" t="0" r="0" b="0"/>
            <wp:docPr id="194" name="Image 194"/>
            <wp:cNvGraphicFramePr>
              <a:graphicFrameLocks/>
            </wp:cNvGraphicFramePr>
            <a:graphic>
              <a:graphicData uri="http://schemas.openxmlformats.org/drawingml/2006/picture">
                <pic:pic>
                  <pic:nvPicPr>
                    <pic:cNvPr id="194" name="Image 19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color w:val="005DA1"/>
          <w:spacing w:val="21"/>
          <w:vertAlign w:val="baseline"/>
        </w:rPr>
        <w:t> </w:t>
      </w:r>
      <w:r>
        <w:rPr>
          <w:vertAlign w:val="baseline"/>
        </w:rPr>
        <w:t>In</w:t>
      </w:r>
      <w:r>
        <w:rPr>
          <w:spacing w:val="19"/>
          <w:vertAlign w:val="baseline"/>
        </w:rPr>
        <w:t> </w:t>
      </w:r>
      <w:r>
        <w:rPr>
          <w:spacing w:val="-2"/>
          <w:vertAlign w:val="baseline"/>
        </w:rPr>
        <w:t>other</w:t>
      </w:r>
    </w:p>
    <w:p>
      <w:pPr>
        <w:pStyle w:val="BodyText"/>
        <w:spacing w:after="0"/>
        <w:jc w:val="both"/>
        <w:sectPr>
          <w:headerReference w:type="default" r:id="rId15"/>
          <w:pgSz w:w="11900" w:h="16840"/>
          <w:pgMar w:header="971" w:footer="0" w:top="1160" w:bottom="280" w:left="1275" w:right="1275"/>
          <w:pgNumType w:start="1"/>
        </w:sectPr>
      </w:pPr>
    </w:p>
    <w:p>
      <w:pPr>
        <w:pStyle w:val="BodyText"/>
        <w:spacing w:before="24"/>
      </w:pPr>
    </w:p>
    <w:p>
      <w:pPr>
        <w:pStyle w:val="BodyText"/>
        <w:spacing w:line="235" w:lineRule="auto" w:before="1"/>
        <w:ind w:left="165" w:right="167"/>
        <w:jc w:val="both"/>
      </w:pPr>
      <w:r>
        <w:rPr/>
        <w:t>words, the equitable approach to this requirement has prevailed over that of the common </w:t>
      </w:r>
      <w:r>
        <w:rPr/>
        <w:t>law.</w:t>
      </w:r>
      <w:r>
        <w:rPr>
          <w:spacing w:val="80"/>
        </w:rPr>
        <w:t> </w:t>
      </w:r>
      <w:bookmarkStart w:name="_bookmark1070" w:id="1072"/>
      <w:bookmarkEnd w:id="1072"/>
      <w:r>
        <w:rPr/>
        <w:t>Further,</w:t>
      </w:r>
      <w:r>
        <w:rPr/>
        <w:t> it has been suggested that a contract for services, which in their nature cannot be restored, may be rescinded despite part performance of the services by the misrepresentor. </w:t>
      </w:r>
      <w:r>
        <w:rPr>
          <w:color w:val="005DA1"/>
          <w:u w:val="single" w:color="005DA1"/>
          <w:vertAlign w:val="superscript"/>
        </w:rPr>
        <w:t>566</w:t>
      </w:r>
    </w:p>
    <w:p>
      <w:pPr>
        <w:pStyle w:val="BodyText"/>
      </w:pPr>
    </w:p>
    <w:p>
      <w:pPr>
        <w:pStyle w:val="BodyText"/>
        <w:spacing w:before="37"/>
      </w:pPr>
    </w:p>
    <w:p>
      <w:pPr>
        <w:spacing w:before="0"/>
        <w:ind w:left="165" w:right="0" w:firstLine="0"/>
        <w:jc w:val="both"/>
        <w:rPr>
          <w:rFonts w:ascii="Arial"/>
          <w:b/>
          <w:sz w:val="18"/>
        </w:rPr>
      </w:pPr>
      <w:r>
        <w:rPr>
          <w:rFonts w:ascii="Arial"/>
          <w:b/>
          <w:sz w:val="18"/>
        </w:rPr>
        <w:t>Alteration of subject </w:t>
      </w:r>
      <w:r>
        <w:rPr>
          <w:rFonts w:ascii="Arial"/>
          <w:b/>
          <w:spacing w:val="-2"/>
          <w:sz w:val="18"/>
        </w:rPr>
        <w:t>matter</w:t>
      </w:r>
    </w:p>
    <w:p>
      <w:pPr>
        <w:pStyle w:val="BodyText"/>
        <w:spacing w:before="41"/>
        <w:rPr>
          <w:rFonts w:ascii="Arial"/>
          <w:b/>
          <w:sz w:val="18"/>
        </w:rPr>
      </w:pPr>
    </w:p>
    <w:p>
      <w:pPr>
        <w:pStyle w:val="Heading2"/>
        <w:spacing w:before="1"/>
      </w:pPr>
      <w:r>
        <w:rPr/>
        <w:t>7-</w:t>
      </w:r>
      <w:r>
        <w:rPr>
          <w:spacing w:val="-5"/>
        </w:rPr>
        <w:t>125</w:t>
      </w:r>
    </w:p>
    <w:p>
      <w:pPr>
        <w:pStyle w:val="BodyText"/>
        <w:spacing w:line="235" w:lineRule="auto" w:before="202"/>
        <w:ind w:left="164" w:right="167"/>
        <w:jc w:val="both"/>
      </w:pPr>
      <w:bookmarkStart w:name="_bookmark1071" w:id="1073"/>
      <w:bookmarkEnd w:id="1073"/>
      <w:r>
        <w:rPr/>
      </w:r>
      <w:r>
        <w:rPr/>
        <w:t>Clearly, it is impossible to make substantial restitution of property transferred under the contract if it has altered its character. Thus in </w:t>
      </w:r>
      <w:r>
        <w:rPr>
          <w:rFonts w:ascii="Arial"/>
          <w:i/>
        </w:rPr>
        <w:t>Clarke v Dickson </w:t>
      </w:r>
      <w:r>
        <w:rPr>
          <w:color w:val="005DA1"/>
          <w:u w:val="single" w:color="005DA1"/>
          <w:vertAlign w:val="superscript"/>
        </w:rPr>
        <w:t>567</w:t>
      </w:r>
      <w:r>
        <w:rPr>
          <w:color w:val="005DA1"/>
          <w:vertAlign w:val="baseline"/>
        </w:rPr>
        <w:t> </w:t>
      </w:r>
      <w:r>
        <w:rPr>
          <w:vertAlign w:val="baseline"/>
        </w:rPr>
        <w:t>rescission was refused where a partnership, </w:t>
      </w:r>
      <w:r>
        <w:rPr>
          <w:vertAlign w:val="baseline"/>
        </w:rPr>
        <w:t>in which the representee had been induced to take shares, had been converted into a limited liability company, for the existing shares were wholly different from those which he originally received. Other </w:t>
      </w:r>
      <w:bookmarkStart w:name="_bookmark1072" w:id="1074"/>
      <w:bookmarkEnd w:id="1074"/>
      <w:r>
        <w:rPr>
          <w:vertAlign w:val="baseline"/>
        </w:rPr>
        <w:t>examples</w:t>
      </w:r>
      <w:r>
        <w:rPr>
          <w:vertAlign w:val="baseline"/>
        </w:rPr>
        <w:t> of alteration in the subjectmatter of the contract sufficient to disentitle the representee to </w:t>
      </w:r>
      <w:bookmarkStart w:name="_bookmark1073" w:id="1075"/>
      <w:bookmarkEnd w:id="1075"/>
      <w:r>
        <w:rPr>
          <w:vertAlign w:val="baseline"/>
        </w:rPr>
        <w:t>rescission</w:t>
      </w:r>
      <w:r>
        <w:rPr>
          <w:vertAlign w:val="baseline"/>
        </w:rPr>
        <w:t> are the working out of mines </w:t>
      </w:r>
      <w:r>
        <w:rPr>
          <w:color w:val="005DA1"/>
          <w:u w:val="single" w:color="005DA1"/>
          <w:vertAlign w:val="superscript"/>
        </w:rPr>
        <w:t>568</w:t>
      </w:r>
      <w:r>
        <w:rPr>
          <w:vertAlign w:val="baseline"/>
        </w:rPr>
        <w:t>; the conversion of an unincorporated banking company</w:t>
      </w:r>
      <w:r>
        <w:rPr>
          <w:spacing w:val="40"/>
          <w:vertAlign w:val="baseline"/>
        </w:rPr>
        <w:t> </w:t>
      </w:r>
      <w:bookmarkStart w:name="_bookmark1074" w:id="1076"/>
      <w:bookmarkEnd w:id="1076"/>
      <w:r>
        <w:rPr>
          <w:vertAlign w:val="baseline"/>
        </w:rPr>
        <w:t>into</w:t>
      </w:r>
      <w:r>
        <w:rPr>
          <w:vertAlign w:val="baseline"/>
        </w:rPr>
        <w:t> an incorporated joint stock company </w:t>
      </w:r>
      <w:r>
        <w:rPr>
          <w:color w:val="005DA1"/>
          <w:u w:val="single" w:color="005DA1"/>
          <w:vertAlign w:val="superscript"/>
        </w:rPr>
        <w:t>569</w:t>
      </w:r>
      <w:r>
        <w:rPr>
          <w:vertAlign w:val="baseline"/>
        </w:rPr>
        <w:t>; a material change in the position of both parties in </w:t>
      </w:r>
      <w:bookmarkStart w:name="_bookmark1075" w:id="1077"/>
      <w:bookmarkEnd w:id="1077"/>
      <w:r>
        <w:rPr>
          <w:vertAlign w:val="baseline"/>
        </w:rPr>
        <w:t>relation</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patents</w:t>
      </w:r>
      <w:r>
        <w:rPr>
          <w:spacing w:val="-1"/>
          <w:vertAlign w:val="baseline"/>
        </w:rPr>
        <w:t> </w:t>
      </w:r>
      <w:r>
        <w:rPr>
          <w:vertAlign w:val="baseline"/>
        </w:rPr>
        <w:t>and</w:t>
      </w:r>
      <w:r>
        <w:rPr>
          <w:spacing w:val="-1"/>
          <w:vertAlign w:val="baseline"/>
        </w:rPr>
        <w:t> </w:t>
      </w:r>
      <w:r>
        <w:rPr>
          <w:vertAlign w:val="baseline"/>
        </w:rPr>
        <w:t>business</w:t>
      </w:r>
      <w:r>
        <w:rPr>
          <w:spacing w:val="-1"/>
          <w:vertAlign w:val="baseline"/>
        </w:rPr>
        <w:t> </w:t>
      </w:r>
      <w:r>
        <w:rPr>
          <w:vertAlign w:val="baseline"/>
        </w:rPr>
        <w:t>in</w:t>
      </w:r>
      <w:r>
        <w:rPr>
          <w:spacing w:val="-1"/>
          <w:vertAlign w:val="baseline"/>
        </w:rPr>
        <w:t> </w:t>
      </w:r>
      <w:r>
        <w:rPr>
          <w:vertAlign w:val="baseline"/>
        </w:rPr>
        <w:t>question</w:t>
      </w:r>
      <w:r>
        <w:rPr>
          <w:spacing w:val="-1"/>
          <w:vertAlign w:val="baseline"/>
        </w:rPr>
        <w:t> </w:t>
      </w:r>
      <w:r>
        <w:rPr>
          <w:color w:val="005DA1"/>
          <w:u w:val="single" w:color="005DA1"/>
          <w:vertAlign w:val="superscript"/>
        </w:rPr>
        <w:t>570</w:t>
      </w:r>
      <w:r>
        <w:rPr>
          <w:vertAlign w:val="baseline"/>
        </w:rPr>
        <w:t>;</w:t>
      </w:r>
      <w:r>
        <w:rPr>
          <w:spacing w:val="-1"/>
          <w:vertAlign w:val="baseline"/>
        </w:rPr>
        <w:t> </w:t>
      </w:r>
      <w:r>
        <w:rPr>
          <w:vertAlign w:val="baseline"/>
        </w:rPr>
        <w:t>the</w:t>
      </w:r>
      <w:r>
        <w:rPr>
          <w:spacing w:val="-1"/>
          <w:vertAlign w:val="baseline"/>
        </w:rPr>
        <w:t> </w:t>
      </w:r>
      <w:r>
        <w:rPr>
          <w:vertAlign w:val="baseline"/>
        </w:rPr>
        <w:t>commencement</w:t>
      </w:r>
      <w:r>
        <w:rPr>
          <w:spacing w:val="-1"/>
          <w:vertAlign w:val="baseline"/>
        </w:rPr>
        <w:t> </w:t>
      </w:r>
      <w:r>
        <w:rPr>
          <w:vertAlign w:val="baseline"/>
        </w:rPr>
        <w:t>of</w:t>
      </w:r>
      <w:r>
        <w:rPr>
          <w:spacing w:val="-1"/>
          <w:vertAlign w:val="baseline"/>
        </w:rPr>
        <w:t> </w:t>
      </w:r>
      <w:r>
        <w:rPr>
          <w:vertAlign w:val="baseline"/>
        </w:rPr>
        <w:t>winding-up</w:t>
      </w:r>
      <w:r>
        <w:rPr>
          <w:spacing w:val="-1"/>
          <w:vertAlign w:val="baseline"/>
        </w:rPr>
        <w:t> </w:t>
      </w:r>
      <w:r>
        <w:rPr>
          <w:vertAlign w:val="baseline"/>
        </w:rPr>
        <w:t>proceedings</w:t>
      </w:r>
      <w:r>
        <w:rPr>
          <w:spacing w:val="-1"/>
          <w:vertAlign w:val="baseline"/>
        </w:rPr>
        <w:t> </w:t>
      </w:r>
      <w:r>
        <w:rPr>
          <w:color w:val="005DA1"/>
          <w:u w:val="single" w:color="005DA1"/>
          <w:vertAlign w:val="superscript"/>
        </w:rPr>
        <w:t>571</w:t>
      </w:r>
      <w:r>
        <w:rPr>
          <w:color w:val="005DA1"/>
          <w:vertAlign w:val="baseline"/>
        </w:rPr>
        <w:t> </w:t>
      </w:r>
      <w:bookmarkStart w:name="_bookmark1076" w:id="1078"/>
      <w:bookmarkEnd w:id="1078"/>
      <w:r>
        <w:rPr>
          <w:color w:val="005DA1"/>
          <w:w w:val="92"/>
          <w:vertAlign w:val="baseline"/>
        </w:rPr>
      </w:r>
      <w:r>
        <w:rPr>
          <w:vertAlign w:val="baseline"/>
        </w:rPr>
        <w:t>and,</w:t>
      </w:r>
      <w:r>
        <w:rPr>
          <w:spacing w:val="-3"/>
          <w:vertAlign w:val="baseline"/>
        </w:rPr>
        <w:t> </w:t>
      </w:r>
      <w:r>
        <w:rPr>
          <w:vertAlign w:val="baseline"/>
        </w:rPr>
        <w:t>when</w:t>
      </w:r>
      <w:r>
        <w:rPr>
          <w:spacing w:val="-3"/>
          <w:vertAlign w:val="baseline"/>
        </w:rPr>
        <w:t> </w:t>
      </w:r>
      <w:r>
        <w:rPr>
          <w:vertAlign w:val="baseline"/>
        </w:rPr>
        <w:t>completion</w:t>
      </w:r>
      <w:r>
        <w:rPr>
          <w:spacing w:val="-3"/>
          <w:vertAlign w:val="baseline"/>
        </w:rPr>
        <w:t> </w:t>
      </w:r>
      <w:r>
        <w:rPr>
          <w:vertAlign w:val="baseline"/>
        </w:rPr>
        <w:t>was</w:t>
      </w:r>
      <w:r>
        <w:rPr>
          <w:spacing w:val="-3"/>
          <w:vertAlign w:val="baseline"/>
        </w:rPr>
        <w:t> </w:t>
      </w:r>
      <w:r>
        <w:rPr>
          <w:vertAlign w:val="baseline"/>
        </w:rPr>
        <w:t>a</w:t>
      </w:r>
      <w:r>
        <w:rPr>
          <w:spacing w:val="-3"/>
          <w:vertAlign w:val="baseline"/>
        </w:rPr>
        <w:t> </w:t>
      </w:r>
      <w:r>
        <w:rPr>
          <w:vertAlign w:val="baseline"/>
        </w:rPr>
        <w:t>bar</w:t>
      </w:r>
      <w:r>
        <w:rPr>
          <w:spacing w:val="-3"/>
          <w:vertAlign w:val="baseline"/>
        </w:rPr>
        <w:t> </w:t>
      </w:r>
      <w:r>
        <w:rPr>
          <w:vertAlign w:val="baseline"/>
        </w:rPr>
        <w:t>to</w:t>
      </w:r>
      <w:r>
        <w:rPr>
          <w:spacing w:val="-3"/>
          <w:vertAlign w:val="baseline"/>
        </w:rPr>
        <w:t> </w:t>
      </w:r>
      <w:r>
        <w:rPr>
          <w:vertAlign w:val="baseline"/>
        </w:rPr>
        <w:t>rescission</w:t>
      </w:r>
      <w:r>
        <w:rPr>
          <w:spacing w:val="-3"/>
          <w:vertAlign w:val="baseline"/>
        </w:rPr>
        <w:t> </w:t>
      </w:r>
      <w:r>
        <w:rPr>
          <w:vertAlign w:val="baseline"/>
        </w:rPr>
        <w:t>of</w:t>
      </w:r>
      <w:r>
        <w:rPr>
          <w:spacing w:val="-3"/>
          <w:vertAlign w:val="baseline"/>
        </w:rPr>
        <w:t> </w:t>
      </w:r>
      <w:r>
        <w:rPr>
          <w:vertAlign w:val="baseline"/>
        </w:rPr>
        <w:t>a</w:t>
      </w:r>
      <w:r>
        <w:rPr>
          <w:spacing w:val="-3"/>
          <w:vertAlign w:val="baseline"/>
        </w:rPr>
        <w:t> </w:t>
      </w:r>
      <w:r>
        <w:rPr>
          <w:vertAlign w:val="baseline"/>
        </w:rPr>
        <w:t>contract</w:t>
      </w:r>
      <w:r>
        <w:rPr>
          <w:spacing w:val="-3"/>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sale</w:t>
      </w:r>
      <w:r>
        <w:rPr>
          <w:spacing w:val="-3"/>
          <w:vertAlign w:val="baseline"/>
        </w:rPr>
        <w:t> </w:t>
      </w:r>
      <w:r>
        <w:rPr>
          <w:vertAlign w:val="baseline"/>
        </w:rPr>
        <w:t>of</w:t>
      </w:r>
      <w:r>
        <w:rPr>
          <w:spacing w:val="-3"/>
          <w:vertAlign w:val="baseline"/>
        </w:rPr>
        <w:t> </w:t>
      </w:r>
      <w:r>
        <w:rPr>
          <w:vertAlign w:val="baseline"/>
        </w:rPr>
        <w:t>land,</w:t>
      </w:r>
      <w:r>
        <w:rPr>
          <w:spacing w:val="-4"/>
          <w:vertAlign w:val="baseline"/>
        </w:rPr>
        <w:t> </w:t>
      </w:r>
      <w:r>
        <w:rPr>
          <w:color w:val="005DA1"/>
          <w:u w:val="single" w:color="005DA1"/>
          <w:vertAlign w:val="superscript"/>
        </w:rPr>
        <w:t>572</w:t>
      </w:r>
      <w:r>
        <w:rPr>
          <w:color w:val="005DA1"/>
          <w:spacing w:val="-3"/>
          <w:vertAlign w:val="baseline"/>
        </w:rPr>
        <w:t> </w:t>
      </w:r>
      <w:r>
        <w:rPr>
          <w:vertAlign w:val="baseline"/>
        </w:rPr>
        <w:t>part</w:t>
      </w:r>
      <w:r>
        <w:rPr>
          <w:spacing w:val="-3"/>
          <w:vertAlign w:val="baseline"/>
        </w:rPr>
        <w:t> </w:t>
      </w:r>
      <w:r>
        <w:rPr>
          <w:vertAlign w:val="baseline"/>
        </w:rPr>
        <w:t>performance</w:t>
      </w:r>
      <w:r>
        <w:rPr>
          <w:spacing w:val="-3"/>
          <w:vertAlign w:val="baseline"/>
        </w:rPr>
        <w:t> </w:t>
      </w:r>
      <w:r>
        <w:rPr>
          <w:vertAlign w:val="baseline"/>
        </w:rPr>
        <w:t>of </w:t>
      </w:r>
      <w:bookmarkStart w:name="_bookmark1077" w:id="1079"/>
      <w:bookmarkEnd w:id="1079"/>
      <w:r>
        <w:rPr>
          <w:vertAlign w:val="baseline"/>
        </w:rPr>
        <w:t>a</w:t>
      </w:r>
      <w:r>
        <w:rPr>
          <w:vertAlign w:val="baseline"/>
        </w:rPr>
        <w:t> single contract. </w:t>
      </w:r>
      <w:r>
        <w:rPr>
          <w:color w:val="005DA1"/>
          <w:u w:val="single" w:color="005DA1"/>
          <w:vertAlign w:val="superscript"/>
        </w:rPr>
        <w:t>573</w:t>
      </w:r>
      <w:r>
        <w:rPr>
          <w:color w:val="005DA1"/>
          <w:vertAlign w:val="baseline"/>
        </w:rPr>
        <w:t> </w:t>
      </w:r>
      <w:r>
        <w:rPr>
          <w:vertAlign w:val="baseline"/>
        </w:rPr>
        <w:t>On the other hand, if property has retained its substantial identity, restitution may </w:t>
      </w:r>
      <w:bookmarkStart w:name="_bookmark1078" w:id="1080"/>
      <w:bookmarkEnd w:id="1080"/>
      <w:r>
        <w:rPr>
          <w:vertAlign w:val="baseline"/>
        </w:rPr>
        <w:t>be</w:t>
      </w:r>
      <w:r>
        <w:rPr>
          <w:spacing w:val="14"/>
          <w:vertAlign w:val="baseline"/>
        </w:rPr>
        <w:t> </w:t>
      </w:r>
      <w:r>
        <w:rPr>
          <w:vertAlign w:val="baseline"/>
        </w:rPr>
        <w:t>ordered</w:t>
      </w:r>
      <w:r>
        <w:rPr>
          <w:spacing w:val="14"/>
          <w:vertAlign w:val="baseline"/>
        </w:rPr>
        <w:t> </w:t>
      </w:r>
      <w:r>
        <w:rPr>
          <w:vertAlign w:val="baseline"/>
        </w:rPr>
        <w:t>even</w:t>
      </w:r>
      <w:r>
        <w:rPr>
          <w:spacing w:val="14"/>
          <w:vertAlign w:val="baseline"/>
        </w:rPr>
        <w:t> </w:t>
      </w:r>
      <w:r>
        <w:rPr>
          <w:vertAlign w:val="baseline"/>
        </w:rPr>
        <w:t>though</w:t>
      </w:r>
      <w:r>
        <w:rPr>
          <w:spacing w:val="14"/>
          <w:vertAlign w:val="baseline"/>
        </w:rPr>
        <w:t> </w:t>
      </w:r>
      <w:r>
        <w:rPr>
          <w:vertAlign w:val="baseline"/>
        </w:rPr>
        <w:t>it</w:t>
      </w:r>
      <w:r>
        <w:rPr>
          <w:spacing w:val="14"/>
          <w:vertAlign w:val="baseline"/>
        </w:rPr>
        <w:t> </w:t>
      </w:r>
      <w:r>
        <w:rPr>
          <w:vertAlign w:val="baseline"/>
        </w:rPr>
        <w:t>has</w:t>
      </w:r>
      <w:r>
        <w:rPr>
          <w:spacing w:val="14"/>
          <w:vertAlign w:val="baseline"/>
        </w:rPr>
        <w:t> </w:t>
      </w:r>
      <w:r>
        <w:rPr>
          <w:vertAlign w:val="baseline"/>
        </w:rPr>
        <w:t>deteriorated</w:t>
      </w:r>
      <w:r>
        <w:rPr>
          <w:spacing w:val="14"/>
          <w:vertAlign w:val="baseline"/>
        </w:rPr>
        <w:t> </w:t>
      </w:r>
      <w:r>
        <w:rPr>
          <w:vertAlign w:val="baseline"/>
        </w:rPr>
        <w:t>or</w:t>
      </w:r>
      <w:r>
        <w:rPr>
          <w:spacing w:val="14"/>
          <w:vertAlign w:val="baseline"/>
        </w:rPr>
        <w:t> </w:t>
      </w:r>
      <w:r>
        <w:rPr>
          <w:vertAlign w:val="baseline"/>
        </w:rPr>
        <w:t>depreciated</w:t>
      </w:r>
      <w:r>
        <w:rPr>
          <w:spacing w:val="14"/>
          <w:vertAlign w:val="baseline"/>
        </w:rPr>
        <w:t> </w:t>
      </w:r>
      <w:r>
        <w:rPr>
          <w:vertAlign w:val="baseline"/>
        </w:rPr>
        <w:t>or</w:t>
      </w:r>
      <w:r>
        <w:rPr>
          <w:spacing w:val="14"/>
          <w:vertAlign w:val="baseline"/>
        </w:rPr>
        <w:t> </w:t>
      </w:r>
      <w:r>
        <w:rPr>
          <w:vertAlign w:val="baseline"/>
        </w:rPr>
        <w:t>cannot</w:t>
      </w:r>
      <w:r>
        <w:rPr>
          <w:spacing w:val="14"/>
          <w:vertAlign w:val="baseline"/>
        </w:rPr>
        <w:t> </w:t>
      </w:r>
      <w:r>
        <w:rPr>
          <w:vertAlign w:val="baseline"/>
        </w:rPr>
        <w:t>be</w:t>
      </w:r>
      <w:r>
        <w:rPr>
          <w:spacing w:val="14"/>
          <w:vertAlign w:val="baseline"/>
        </w:rPr>
        <w:t> </w:t>
      </w:r>
      <w:r>
        <w:rPr>
          <w:vertAlign w:val="baseline"/>
        </w:rPr>
        <w:t>restored</w:t>
      </w:r>
      <w:r>
        <w:rPr>
          <w:spacing w:val="14"/>
          <w:vertAlign w:val="baseline"/>
        </w:rPr>
        <w:t> </w:t>
      </w:r>
      <w:r>
        <w:rPr>
          <w:vertAlign w:val="baseline"/>
        </w:rPr>
        <w:t>in</w:t>
      </w:r>
      <w:r>
        <w:rPr>
          <w:spacing w:val="14"/>
          <w:vertAlign w:val="baseline"/>
        </w:rPr>
        <w:t> </w:t>
      </w:r>
      <w:r>
        <w:rPr>
          <w:vertAlign w:val="baseline"/>
        </w:rPr>
        <w:t>its</w:t>
      </w:r>
      <w:r>
        <w:rPr>
          <w:spacing w:val="14"/>
          <w:vertAlign w:val="baseline"/>
        </w:rPr>
        <w:t> </w:t>
      </w:r>
      <w:r>
        <w:rPr>
          <w:vertAlign w:val="baseline"/>
        </w:rPr>
        <w:t>original</w:t>
      </w:r>
      <w:r>
        <w:rPr>
          <w:spacing w:val="14"/>
          <w:vertAlign w:val="baseline"/>
        </w:rPr>
        <w:t> </w:t>
      </w:r>
      <w:r>
        <w:rPr>
          <w:spacing w:val="-2"/>
          <w:vertAlign w:val="baseline"/>
        </w:rPr>
        <w:t>state.</w:t>
      </w:r>
    </w:p>
    <w:p>
      <w:pPr>
        <w:pStyle w:val="BodyText"/>
        <w:spacing w:line="235" w:lineRule="auto"/>
        <w:ind w:left="165" w:right="167"/>
        <w:jc w:val="both"/>
      </w:pPr>
      <w:r>
        <w:rPr>
          <w:color w:val="005DA1"/>
          <w:u w:val="single" w:color="005DA1"/>
          <w:vertAlign w:val="superscript"/>
        </w:rPr>
        <w:t>574</w:t>
      </w:r>
      <w:r>
        <w:rPr>
          <w:color w:val="005DA1"/>
          <w:vertAlign w:val="baseline"/>
        </w:rPr>
        <w:t> </w:t>
      </w:r>
      <w:r>
        <w:rPr>
          <w:vertAlign w:val="baseline"/>
        </w:rPr>
        <w:t>Thus in </w:t>
      </w:r>
      <w:r>
        <w:rPr>
          <w:rFonts w:ascii="Arial"/>
          <w:i/>
          <w:vertAlign w:val="baseline"/>
        </w:rPr>
        <w:t>Adam v Newbigging </w:t>
      </w:r>
      <w:r>
        <w:rPr>
          <w:color w:val="005DA1"/>
          <w:u w:val="single" w:color="005DA1"/>
          <w:vertAlign w:val="superscript"/>
        </w:rPr>
        <w:t>575</w:t>
      </w:r>
      <w:r>
        <w:rPr>
          <w:color w:val="005DA1"/>
          <w:vertAlign w:val="baseline"/>
        </w:rPr>
        <w:t> </w:t>
      </w:r>
      <w:r>
        <w:rPr>
          <w:vertAlign w:val="baseline"/>
        </w:rPr>
        <w:t>the respondent was induced by an innocent misrepresentation </w:t>
      </w:r>
      <w:r>
        <w:rPr>
          <w:vertAlign w:val="baseline"/>
        </w:rPr>
        <w:t>to become a partner in a business which was insolvent and which subsequently failed. He was held to</w:t>
      </w:r>
      <w:r>
        <w:rPr>
          <w:spacing w:val="40"/>
          <w:vertAlign w:val="baseline"/>
        </w:rPr>
        <w:t> </w:t>
      </w:r>
      <w:r>
        <w:rPr>
          <w:vertAlign w:val="baseline"/>
        </w:rPr>
        <w:t>be entitled to rescind and to have his capital repaid although the business to be restored was worthless. Two further comments may be useful. First, in appropriate cases the court may order the plaintiff to pay compensation on account of any deterioration that has occurred, in accordance with</w:t>
      </w:r>
      <w:r>
        <w:rPr>
          <w:spacing w:val="40"/>
          <w:vertAlign w:val="baseline"/>
        </w:rPr>
        <w:t> </w:t>
      </w:r>
      <w:bookmarkStart w:name="_bookmark1079" w:id="1081"/>
      <w:bookmarkEnd w:id="1081"/>
      <w:r>
        <w:rPr>
          <w:vertAlign w:val="baseline"/>
        </w:rPr>
        <w:t>the</w:t>
      </w:r>
      <w:r>
        <w:rPr>
          <w:vertAlign w:val="baseline"/>
        </w:rPr>
        <w:t> principle that this is preferable to allowing the defendant to retain all the advantages of property transferred under the contract. </w:t>
      </w:r>
      <w:r>
        <w:rPr>
          <w:color w:val="005DA1"/>
          <w:u w:val="single" w:color="005DA1"/>
          <w:vertAlign w:val="superscript"/>
        </w:rPr>
        <w:t>576</w:t>
      </w:r>
      <w:r>
        <w:rPr>
          <w:color w:val="005DA1"/>
          <w:vertAlign w:val="baseline"/>
        </w:rPr>
        <w:t> </w:t>
      </w:r>
      <w:r>
        <w:rPr>
          <w:vertAlign w:val="baseline"/>
        </w:rPr>
        <w:t>The point was put by Roche J. as follows:</w:t>
      </w:r>
    </w:p>
    <w:p>
      <w:pPr>
        <w:pStyle w:val="BodyText"/>
      </w:pPr>
    </w:p>
    <w:p>
      <w:pPr>
        <w:pStyle w:val="BodyText"/>
        <w:spacing w:before="120"/>
      </w:pPr>
    </w:p>
    <w:p>
      <w:pPr>
        <w:pStyle w:val="BodyText"/>
        <w:spacing w:line="235" w:lineRule="auto"/>
        <w:ind w:left="1245" w:right="167"/>
        <w:jc w:val="both"/>
      </w:pPr>
      <w:r>
        <w:rPr/>
        <w:t>“The principle of restitutio in integrum did not require that a person should be put back</w:t>
      </w:r>
      <w:r>
        <w:rPr>
          <w:spacing w:val="40"/>
        </w:rPr>
        <w:t> </w:t>
      </w:r>
      <w:bookmarkStart w:name="_bookmark1080" w:id="1082"/>
      <w:bookmarkEnd w:id="1082"/>
      <w:r>
        <w:rPr/>
        <w:t>into</w:t>
      </w:r>
      <w:r>
        <w:rPr>
          <w:spacing w:val="-1"/>
        </w:rPr>
        <w:t> </w:t>
      </w:r>
      <w:r>
        <w:rPr/>
        <w:t>the</w:t>
      </w:r>
      <w:r>
        <w:rPr>
          <w:spacing w:val="-1"/>
        </w:rPr>
        <w:t> </w:t>
      </w:r>
      <w:r>
        <w:rPr/>
        <w:t>same</w:t>
      </w:r>
      <w:r>
        <w:rPr>
          <w:spacing w:val="-1"/>
        </w:rPr>
        <w:t> </w:t>
      </w:r>
      <w:r>
        <w:rPr/>
        <w:t>position</w:t>
      </w:r>
      <w:r>
        <w:rPr>
          <w:spacing w:val="-1"/>
        </w:rPr>
        <w:t> </w:t>
      </w:r>
      <w:r>
        <w:rPr/>
        <w:t>as</w:t>
      </w:r>
      <w:r>
        <w:rPr>
          <w:spacing w:val="-1"/>
        </w:rPr>
        <w:t> </w:t>
      </w:r>
      <w:r>
        <w:rPr/>
        <w:t>before;</w:t>
      </w:r>
      <w:r>
        <w:rPr>
          <w:spacing w:val="-1"/>
        </w:rPr>
        <w:t> </w:t>
      </w:r>
      <w:r>
        <w:rPr/>
        <w:t>it</w:t>
      </w:r>
      <w:r>
        <w:rPr>
          <w:spacing w:val="-1"/>
        </w:rPr>
        <w:t> </w:t>
      </w:r>
      <w:r>
        <w:rPr/>
        <w:t>meant</w:t>
      </w:r>
      <w:r>
        <w:rPr>
          <w:spacing w:val="-1"/>
        </w:rPr>
        <w:t> </w:t>
      </w:r>
      <w:r>
        <w:rPr/>
        <w:t>that</w:t>
      </w:r>
      <w:r>
        <w:rPr>
          <w:spacing w:val="-1"/>
        </w:rPr>
        <w:t> </w:t>
      </w:r>
      <w:r>
        <w:rPr/>
        <w:t>he</w:t>
      </w:r>
      <w:r>
        <w:rPr>
          <w:spacing w:val="-1"/>
        </w:rPr>
        <w:t> </w:t>
      </w:r>
      <w:r>
        <w:rPr/>
        <w:t>should</w:t>
      </w:r>
      <w:r>
        <w:rPr>
          <w:spacing w:val="-1"/>
        </w:rPr>
        <w:t> </w:t>
      </w:r>
      <w:r>
        <w:rPr/>
        <w:t>be</w:t>
      </w:r>
      <w:r>
        <w:rPr>
          <w:spacing w:val="-1"/>
        </w:rPr>
        <w:t> </w:t>
      </w:r>
      <w:r>
        <w:rPr/>
        <w:t>put</w:t>
      </w:r>
      <w:r>
        <w:rPr>
          <w:spacing w:val="-1"/>
        </w:rPr>
        <w:t> </w:t>
      </w:r>
      <w:r>
        <w:rPr/>
        <w:t>into</w:t>
      </w:r>
      <w:r>
        <w:rPr>
          <w:spacing w:val="-1"/>
        </w:rPr>
        <w:t> </w:t>
      </w:r>
      <w:r>
        <w:rPr/>
        <w:t>as</w:t>
      </w:r>
      <w:r>
        <w:rPr>
          <w:spacing w:val="-1"/>
        </w:rPr>
        <w:t> </w:t>
      </w:r>
      <w:r>
        <w:rPr/>
        <w:t>good</w:t>
      </w:r>
      <w:r>
        <w:rPr>
          <w:spacing w:val="-1"/>
        </w:rPr>
        <w:t> </w:t>
      </w:r>
      <w:r>
        <w:rPr/>
        <w:t>a</w:t>
      </w:r>
      <w:r>
        <w:rPr>
          <w:spacing w:val="-1"/>
        </w:rPr>
        <w:t> </w:t>
      </w:r>
      <w:r>
        <w:rPr/>
        <w:t>position</w:t>
      </w:r>
      <w:r>
        <w:rPr>
          <w:spacing w:val="-1"/>
        </w:rPr>
        <w:t> </w:t>
      </w:r>
      <w:r>
        <w:rPr/>
        <w:t>as before.” </w:t>
      </w:r>
      <w:r>
        <w:rPr>
          <w:color w:val="005DA1"/>
          <w:u w:val="single" w:color="005DA1"/>
          <w:vertAlign w:val="superscript"/>
        </w:rPr>
        <w:t>577</w:t>
      </w:r>
    </w:p>
    <w:p>
      <w:pPr>
        <w:pStyle w:val="BodyText"/>
        <w:spacing w:before="116"/>
      </w:pPr>
    </w:p>
    <w:p>
      <w:pPr>
        <w:pStyle w:val="BodyText"/>
        <w:spacing w:line="235" w:lineRule="auto"/>
        <w:ind w:left="165" w:right="167"/>
        <w:jc w:val="both"/>
        <w:rPr>
          <w:rFonts w:ascii="Arial"/>
          <w:i/>
        </w:rPr>
      </w:pPr>
      <w:bookmarkStart w:name="_bookmark1081" w:id="1083"/>
      <w:bookmarkEnd w:id="1083"/>
      <w:r>
        <w:rPr/>
      </w:r>
      <w:r>
        <w:rPr/>
        <w:t>Secondly, it seems that the courts are more willing to exercise their discretionary powers and to </w:t>
      </w:r>
      <w:r>
        <w:rPr/>
        <w:t>order restitution</w:t>
      </w:r>
      <w:r>
        <w:rPr>
          <w:spacing w:val="6"/>
        </w:rPr>
        <w:t> </w:t>
      </w:r>
      <w:r>
        <w:rPr/>
        <w:t>in</w:t>
      </w:r>
      <w:r>
        <w:rPr>
          <w:spacing w:val="6"/>
        </w:rPr>
        <w:t> </w:t>
      </w:r>
      <w:r>
        <w:rPr/>
        <w:t>a</w:t>
      </w:r>
      <w:r>
        <w:rPr>
          <w:spacing w:val="6"/>
        </w:rPr>
        <w:t> </w:t>
      </w:r>
      <w:r>
        <w:rPr/>
        <w:t>case</w:t>
      </w:r>
      <w:r>
        <w:rPr>
          <w:spacing w:val="6"/>
        </w:rPr>
        <w:t> </w:t>
      </w:r>
      <w:r>
        <w:rPr/>
        <w:t>of</w:t>
      </w:r>
      <w:r>
        <w:rPr>
          <w:spacing w:val="6"/>
        </w:rPr>
        <w:t> </w:t>
      </w:r>
      <w:r>
        <w:rPr/>
        <w:t>fraud</w:t>
      </w:r>
      <w:r>
        <w:rPr>
          <w:spacing w:val="6"/>
        </w:rPr>
        <w:t> </w:t>
      </w:r>
      <w:r>
        <w:rPr/>
        <w:t>than</w:t>
      </w:r>
      <w:r>
        <w:rPr>
          <w:spacing w:val="6"/>
        </w:rPr>
        <w:t> </w:t>
      </w:r>
      <w:r>
        <w:rPr/>
        <w:t>in</w:t>
      </w:r>
      <w:r>
        <w:rPr>
          <w:spacing w:val="6"/>
        </w:rPr>
        <w:t> </w:t>
      </w:r>
      <w:r>
        <w:rPr/>
        <w:t>a</w:t>
      </w:r>
      <w:r>
        <w:rPr>
          <w:spacing w:val="6"/>
        </w:rPr>
        <w:t> </w:t>
      </w:r>
      <w:r>
        <w:rPr/>
        <w:t>case</w:t>
      </w:r>
      <w:r>
        <w:rPr>
          <w:spacing w:val="6"/>
        </w:rPr>
        <w:t> </w:t>
      </w:r>
      <w:r>
        <w:rPr/>
        <w:t>of</w:t>
      </w:r>
      <w:r>
        <w:rPr>
          <w:spacing w:val="6"/>
        </w:rPr>
        <w:t> </w:t>
      </w:r>
      <w:r>
        <w:rPr/>
        <w:t>innocent</w:t>
      </w:r>
      <w:r>
        <w:rPr>
          <w:spacing w:val="6"/>
        </w:rPr>
        <w:t> </w:t>
      </w:r>
      <w:r>
        <w:rPr/>
        <w:t>misrepresentation.</w:t>
      </w:r>
      <w:r>
        <w:rPr>
          <w:spacing w:val="5"/>
        </w:rPr>
        <w:t> </w:t>
      </w:r>
      <w:r>
        <w:rPr>
          <w:color w:val="005DA1"/>
          <w:u w:val="single" w:color="005DA1"/>
          <w:vertAlign w:val="superscript"/>
        </w:rPr>
        <w:t>578</w:t>
      </w:r>
      <w:r>
        <w:rPr>
          <w:color w:val="005DA1"/>
          <w:spacing w:val="6"/>
          <w:vertAlign w:val="baseline"/>
        </w:rPr>
        <w:t> </w:t>
      </w:r>
      <w:r>
        <w:rPr>
          <w:vertAlign w:val="baseline"/>
        </w:rPr>
        <w:t>Thus</w:t>
      </w:r>
      <w:r>
        <w:rPr>
          <w:spacing w:val="6"/>
          <w:vertAlign w:val="baseline"/>
        </w:rPr>
        <w:t> </w:t>
      </w:r>
      <w:r>
        <w:rPr>
          <w:vertAlign w:val="baseline"/>
        </w:rPr>
        <w:t>in</w:t>
      </w:r>
      <w:r>
        <w:rPr>
          <w:spacing w:val="6"/>
          <w:vertAlign w:val="baseline"/>
        </w:rPr>
        <w:t> </w:t>
      </w:r>
      <w:r>
        <w:rPr>
          <w:rFonts w:ascii="Arial"/>
          <w:i/>
          <w:vertAlign w:val="baseline"/>
        </w:rPr>
        <w:t>Hulton</w:t>
      </w:r>
      <w:r>
        <w:rPr>
          <w:rFonts w:ascii="Arial"/>
          <w:i/>
          <w:spacing w:val="6"/>
          <w:vertAlign w:val="baseline"/>
        </w:rPr>
        <w:t> </w:t>
      </w:r>
      <w:r>
        <w:rPr>
          <w:rFonts w:ascii="Arial"/>
          <w:i/>
          <w:vertAlign w:val="baseline"/>
        </w:rPr>
        <w:t>v</w:t>
      </w:r>
      <w:r>
        <w:rPr>
          <w:rFonts w:ascii="Arial"/>
          <w:i/>
          <w:spacing w:val="6"/>
          <w:vertAlign w:val="baseline"/>
        </w:rPr>
        <w:t> </w:t>
      </w:r>
      <w:r>
        <w:rPr>
          <w:rFonts w:ascii="Arial"/>
          <w:i/>
          <w:spacing w:val="-2"/>
          <w:vertAlign w:val="baseline"/>
        </w:rPr>
        <w:t>Hulton</w:t>
      </w:r>
    </w:p>
    <w:p>
      <w:pPr>
        <w:pStyle w:val="BodyText"/>
        <w:spacing w:line="235" w:lineRule="auto"/>
        <w:ind w:left="165" w:right="167"/>
        <w:jc w:val="both"/>
      </w:pPr>
      <w:r>
        <w:rPr>
          <w:color w:val="005DA1"/>
          <w:u w:val="single" w:color="005DA1"/>
          <w:vertAlign w:val="superscript"/>
        </w:rPr>
        <w:t>579</w:t>
      </w:r>
      <w:r>
        <w:rPr>
          <w:color w:val="005DA1"/>
          <w:vertAlign w:val="baseline"/>
        </w:rPr>
        <w:t> </w:t>
      </w:r>
      <w:r>
        <w:rPr>
          <w:vertAlign w:val="baseline"/>
        </w:rPr>
        <w:t>the court rescinded a separation deed obtained by the husband by fraudulent misrepresentation, and refused to order the wife to repay the sums that she had received under the deed because </w:t>
      </w:r>
      <w:r>
        <w:rPr>
          <w:vertAlign w:val="baseline"/>
        </w:rPr>
        <w:t>the husband had received corresponding benefits, such as freedom from molestation and from proceedings by the wife for restitution of conjugal rights.</w:t>
      </w:r>
    </w:p>
    <w:p>
      <w:pPr>
        <w:pStyle w:val="BodyText"/>
      </w:pPr>
    </w:p>
    <w:p>
      <w:pPr>
        <w:pStyle w:val="BodyText"/>
        <w:spacing w:before="36"/>
      </w:pPr>
    </w:p>
    <w:p>
      <w:pPr>
        <w:spacing w:before="0"/>
        <w:ind w:left="165" w:right="0" w:firstLine="0"/>
        <w:jc w:val="left"/>
        <w:rPr>
          <w:rFonts w:ascii="Arial"/>
          <w:b/>
          <w:sz w:val="18"/>
        </w:rPr>
      </w:pPr>
      <w:r>
        <w:rPr>
          <w:rFonts w:ascii="Arial"/>
          <w:b/>
          <w:sz w:val="18"/>
        </w:rPr>
        <w:t>Partial rescission not </w:t>
      </w:r>
      <w:r>
        <w:rPr>
          <w:rFonts w:ascii="Arial"/>
          <w:b/>
          <w:spacing w:val="-2"/>
          <w:sz w:val="18"/>
        </w:rPr>
        <w:t>allowed</w:t>
      </w:r>
    </w:p>
    <w:p>
      <w:pPr>
        <w:pStyle w:val="BodyText"/>
        <w:spacing w:before="41"/>
        <w:rPr>
          <w:rFonts w:ascii="Arial"/>
          <w:b/>
          <w:sz w:val="18"/>
        </w:rPr>
      </w:pPr>
    </w:p>
    <w:p>
      <w:pPr>
        <w:pStyle w:val="Heading2"/>
      </w:pPr>
      <w:r>
        <w:rPr/>
        <w:t>7-</w:t>
      </w:r>
      <w:r>
        <w:rPr>
          <w:spacing w:val="-5"/>
        </w:rPr>
        <w:t>126</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95" name="Image 195"/>
            <wp:cNvGraphicFramePr>
              <a:graphicFrameLocks/>
            </wp:cNvGraphicFramePr>
            <a:graphic>
              <a:graphicData uri="http://schemas.openxmlformats.org/drawingml/2006/picture">
                <pic:pic>
                  <pic:nvPicPr>
                    <pic:cNvPr id="195" name="Image 19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more flexible approach advocated in the previous paragraph would not necessarily </w:t>
      </w:r>
      <w:r>
        <w:rPr/>
        <w:t>be </w:t>
      </w:r>
      <w:bookmarkStart w:name="_bookmark1082" w:id="1084"/>
      <w:bookmarkEnd w:id="1084"/>
      <w:r>
        <w:rPr/>
        <w:t>inconsistent</w:t>
      </w:r>
      <w:r>
        <w:rPr/>
        <w:t> with what appears to be the current rule that the misrepresentee may only rescind the whole contract and not part of it. In </w:t>
      </w:r>
      <w:r>
        <w:rPr>
          <w:rFonts w:ascii="Arial" w:hAnsi="Arial"/>
          <w:i/>
        </w:rPr>
        <w:t>Vadasz v Pioneer Concrete (SA) Pty </w:t>
      </w:r>
      <w:r>
        <w:rPr>
          <w:color w:val="005DA1"/>
          <w:u w:val="single" w:color="005DA1"/>
          <w:vertAlign w:val="superscript"/>
        </w:rPr>
        <w:t>580</w:t>
      </w:r>
      <w:r>
        <w:rPr>
          <w:color w:val="005DA1"/>
          <w:vertAlign w:val="baseline"/>
        </w:rPr>
        <w:t> </w:t>
      </w:r>
      <w:r>
        <w:rPr>
          <w:vertAlign w:val="baseline"/>
        </w:rPr>
        <w:t>the High Court of</w:t>
      </w:r>
      <w:r>
        <w:rPr>
          <w:spacing w:val="40"/>
          <w:vertAlign w:val="baseline"/>
        </w:rPr>
        <w:t> </w:t>
      </w:r>
      <w:r>
        <w:rPr>
          <w:vertAlign w:val="baseline"/>
        </w:rPr>
        <w:t>Australia had held that in a case of fraud the court has power to set aside the contract on terms and thus could set aside the part of the contract of guarantee to which the fraud related (previous</w:t>
      </w:r>
      <w:r>
        <w:rPr>
          <w:spacing w:val="40"/>
          <w:vertAlign w:val="baseline"/>
        </w:rPr>
        <w:t> </w:t>
      </w:r>
      <w:bookmarkStart w:name="_bookmark1083" w:id="1085"/>
      <w:bookmarkEnd w:id="1085"/>
      <w:r>
        <w:rPr>
          <w:vertAlign w:val="baseline"/>
        </w:rPr>
        <w:t>supplies)</w:t>
      </w:r>
      <w:r>
        <w:rPr>
          <w:vertAlign w:val="baseline"/>
        </w:rPr>
        <w:t> but leave the rest (as to future supplies) intact. This should be contrasted with the decision of the English Court of Appeal in </w:t>
      </w:r>
      <w:r>
        <w:rPr>
          <w:rFonts w:ascii="Arial" w:hAnsi="Arial"/>
          <w:i/>
          <w:vertAlign w:val="baseline"/>
        </w:rPr>
        <w:t>TSB Bank Plc v Camfield</w:t>
      </w:r>
      <w:r>
        <w:rPr>
          <w:vertAlign w:val="baseline"/>
        </w:rPr>
        <w:t>, </w:t>
      </w:r>
      <w:r>
        <w:rPr>
          <w:color w:val="005DA1"/>
          <w:u w:val="single" w:color="005DA1"/>
          <w:vertAlign w:val="superscript"/>
        </w:rPr>
        <w:t>581</w:t>
      </w:r>
      <w:r>
        <w:rPr>
          <w:color w:val="005DA1"/>
          <w:vertAlign w:val="baseline"/>
        </w:rPr>
        <w:t> </w:t>
      </w:r>
      <w:r>
        <w:rPr>
          <w:vertAlign w:val="baseline"/>
        </w:rPr>
        <w:t>in which a wife was held to have the </w:t>
      </w:r>
      <w:bookmarkStart w:name="_bookmark1084" w:id="1086"/>
      <w:bookmarkEnd w:id="1086"/>
      <w:r>
        <w:rPr>
          <w:vertAlign w:val="baseline"/>
        </w:rPr>
        <w:t>right</w:t>
      </w:r>
      <w:r>
        <w:rPr>
          <w:vertAlign w:val="baseline"/>
        </w:rPr>
        <w:t> to set aside a charge in its entirety when she had entered it as the result of the husband’s misrepresentation that it was limited to £15,000. In </w:t>
      </w:r>
      <w:r>
        <w:rPr>
          <w:rFonts w:ascii="Arial" w:hAnsi="Arial"/>
          <w:i/>
          <w:vertAlign w:val="baseline"/>
        </w:rPr>
        <w:t>Scales Trading Ltd v Far Eastern Shipping Plc </w:t>
      </w:r>
      <w:r>
        <w:rPr>
          <w:color w:val="005DA1"/>
          <w:u w:val="single" w:color="005DA1"/>
          <w:vertAlign w:val="superscript"/>
        </w:rPr>
        <w:t>582</w:t>
      </w:r>
      <w:r>
        <w:rPr>
          <w:color w:val="005DA1"/>
          <w:vertAlign w:val="baseline"/>
        </w:rPr>
        <w:t> </w:t>
      </w:r>
      <w:bookmarkStart w:name="_bookmark1085" w:id="1087"/>
      <w:bookmarkEnd w:id="1087"/>
      <w:r>
        <w:rPr>
          <w:color w:val="005DA1"/>
          <w:w w:val="92"/>
          <w:vertAlign w:val="baseline"/>
        </w:rPr>
      </w:r>
      <w:r>
        <w:rPr>
          <w:vertAlign w:val="baseline"/>
        </w:rPr>
        <w:t>the Privy Council had left open the question of whether the approach in </w:t>
      </w:r>
      <w:r>
        <w:rPr>
          <w:rFonts w:ascii="Arial" w:hAnsi="Arial"/>
          <w:i/>
          <w:vertAlign w:val="baseline"/>
        </w:rPr>
        <w:t>Vadasz </w:t>
      </w:r>
      <w:r>
        <w:rPr>
          <w:vertAlign w:val="baseline"/>
        </w:rPr>
        <w:t>should be preferred</w:t>
      </w:r>
      <w:r>
        <w:rPr>
          <w:spacing w:val="80"/>
          <w:vertAlign w:val="baseline"/>
        </w:rPr>
        <w:t> </w:t>
      </w:r>
      <w:bookmarkStart w:name="_bookmark1086" w:id="1088"/>
      <w:bookmarkEnd w:id="1088"/>
      <w:r>
        <w:rPr>
          <w:vertAlign w:val="baseline"/>
        </w:rPr>
        <w:t>to</w:t>
      </w:r>
      <w:r>
        <w:rPr>
          <w:spacing w:val="5"/>
          <w:vertAlign w:val="baseline"/>
        </w:rPr>
        <w:t> </w:t>
      </w:r>
      <w:r>
        <w:rPr>
          <w:vertAlign w:val="baseline"/>
        </w:rPr>
        <w:t>that</w:t>
      </w:r>
      <w:r>
        <w:rPr>
          <w:spacing w:val="5"/>
          <w:vertAlign w:val="baseline"/>
        </w:rPr>
        <w:t> </w:t>
      </w:r>
      <w:r>
        <w:rPr>
          <w:vertAlign w:val="baseline"/>
        </w:rPr>
        <w:t>in</w:t>
      </w:r>
      <w:r>
        <w:rPr>
          <w:spacing w:val="5"/>
          <w:vertAlign w:val="baseline"/>
        </w:rPr>
        <w:t> </w:t>
      </w:r>
      <w:r>
        <w:rPr>
          <w:rFonts w:ascii="Arial" w:hAnsi="Arial"/>
          <w:i/>
          <w:vertAlign w:val="baseline"/>
        </w:rPr>
        <w:t>TSB</w:t>
      </w:r>
      <w:r>
        <w:rPr>
          <w:rFonts w:ascii="Arial" w:hAnsi="Arial"/>
          <w:i/>
          <w:spacing w:val="5"/>
          <w:vertAlign w:val="baseline"/>
        </w:rPr>
        <w:t> </w:t>
      </w:r>
      <w:r>
        <w:rPr>
          <w:rFonts w:ascii="Arial" w:hAnsi="Arial"/>
          <w:i/>
          <w:vertAlign w:val="baseline"/>
        </w:rPr>
        <w:t>Bank</w:t>
      </w:r>
      <w:r>
        <w:rPr>
          <w:rFonts w:ascii="Arial" w:hAnsi="Arial"/>
          <w:i/>
          <w:spacing w:val="5"/>
          <w:vertAlign w:val="baseline"/>
        </w:rPr>
        <w:t> </w:t>
      </w:r>
      <w:r>
        <w:rPr>
          <w:rFonts w:ascii="Arial" w:hAnsi="Arial"/>
          <w:i/>
          <w:vertAlign w:val="baseline"/>
        </w:rPr>
        <w:t>Plc</w:t>
      </w:r>
      <w:r>
        <w:rPr>
          <w:rFonts w:ascii="Arial" w:hAnsi="Arial"/>
          <w:i/>
          <w:spacing w:val="5"/>
          <w:vertAlign w:val="baseline"/>
        </w:rPr>
        <w:t> </w:t>
      </w:r>
      <w:r>
        <w:rPr>
          <w:rFonts w:ascii="Arial" w:hAnsi="Arial"/>
          <w:i/>
          <w:vertAlign w:val="baseline"/>
        </w:rPr>
        <w:t>v</w:t>
      </w:r>
      <w:r>
        <w:rPr>
          <w:rFonts w:ascii="Arial" w:hAnsi="Arial"/>
          <w:i/>
          <w:spacing w:val="5"/>
          <w:vertAlign w:val="baseline"/>
        </w:rPr>
        <w:t> </w:t>
      </w:r>
      <w:r>
        <w:rPr>
          <w:rFonts w:ascii="Arial" w:hAnsi="Arial"/>
          <w:i/>
          <w:vertAlign w:val="baseline"/>
        </w:rPr>
        <w:t>Camfield</w:t>
      </w:r>
      <w:r>
        <w:rPr>
          <w:vertAlign w:val="baseline"/>
        </w:rPr>
        <w:t>.</w:t>
      </w:r>
      <w:r>
        <w:rPr>
          <w:spacing w:val="5"/>
          <w:vertAlign w:val="baseline"/>
        </w:rPr>
        <w:t> </w:t>
      </w:r>
      <w:r>
        <w:rPr>
          <w:vertAlign w:val="baseline"/>
        </w:rPr>
        <w:t>However,</w:t>
      </w:r>
      <w:r>
        <w:rPr>
          <w:spacing w:val="5"/>
          <w:vertAlign w:val="baseline"/>
        </w:rPr>
        <w:t> </w:t>
      </w:r>
      <w:r>
        <w:rPr>
          <w:vertAlign w:val="baseline"/>
        </w:rPr>
        <w:t>in</w:t>
      </w:r>
      <w:r>
        <w:rPr>
          <w:spacing w:val="4"/>
          <w:vertAlign w:val="baseline"/>
        </w:rPr>
        <w:t> </w:t>
      </w:r>
      <w:r>
        <w:rPr>
          <w:rFonts w:ascii="Arial" w:hAnsi="Arial"/>
          <w:i/>
          <w:vertAlign w:val="baseline"/>
        </w:rPr>
        <w:t>De</w:t>
      </w:r>
      <w:r>
        <w:rPr>
          <w:rFonts w:ascii="Arial" w:hAnsi="Arial"/>
          <w:i/>
          <w:spacing w:val="5"/>
          <w:vertAlign w:val="baseline"/>
        </w:rPr>
        <w:t> </w:t>
      </w:r>
      <w:r>
        <w:rPr>
          <w:rFonts w:ascii="Arial" w:hAnsi="Arial"/>
          <w:i/>
          <w:vertAlign w:val="baseline"/>
        </w:rPr>
        <w:t>Molestina</w:t>
      </w:r>
      <w:r>
        <w:rPr>
          <w:rFonts w:ascii="Arial" w:hAnsi="Arial"/>
          <w:i/>
          <w:spacing w:val="5"/>
          <w:vertAlign w:val="baseline"/>
        </w:rPr>
        <w:t> </w:t>
      </w:r>
      <w:r>
        <w:rPr>
          <w:rFonts w:ascii="Arial" w:hAnsi="Arial"/>
          <w:i/>
          <w:vertAlign w:val="baseline"/>
        </w:rPr>
        <w:t>v</w:t>
      </w:r>
      <w:r>
        <w:rPr>
          <w:rFonts w:ascii="Arial" w:hAnsi="Arial"/>
          <w:i/>
          <w:spacing w:val="6"/>
          <w:vertAlign w:val="baseline"/>
        </w:rPr>
        <w:t> </w:t>
      </w:r>
      <w:r>
        <w:rPr>
          <w:rFonts w:ascii="Arial" w:hAnsi="Arial"/>
          <w:i/>
          <w:vertAlign w:val="baseline"/>
        </w:rPr>
        <w:t>Ponton</w:t>
      </w:r>
      <w:r>
        <w:rPr>
          <w:rFonts w:ascii="Arial" w:hAnsi="Arial"/>
          <w:i/>
          <w:spacing w:val="4"/>
          <w:vertAlign w:val="baseline"/>
        </w:rPr>
        <w:t> </w:t>
      </w:r>
      <w:r>
        <w:rPr>
          <w:color w:val="005DA1"/>
          <w:u w:val="single" w:color="005DA1"/>
          <w:vertAlign w:val="superscript"/>
        </w:rPr>
        <w:t>583</w:t>
      </w:r>
      <w:r>
        <w:rPr>
          <w:color w:val="005DA1"/>
          <w:spacing w:val="5"/>
          <w:vertAlign w:val="baseline"/>
        </w:rPr>
        <w:t> </w:t>
      </w:r>
      <w:r>
        <w:rPr>
          <w:vertAlign w:val="baseline"/>
        </w:rPr>
        <w:t>Colman</w:t>
      </w:r>
      <w:r>
        <w:rPr>
          <w:spacing w:val="5"/>
          <w:vertAlign w:val="baseline"/>
        </w:rPr>
        <w:t> </w:t>
      </w:r>
      <w:r>
        <w:rPr>
          <w:vertAlign w:val="baseline"/>
        </w:rPr>
        <w:t>J.</w:t>
      </w:r>
      <w:r>
        <w:rPr>
          <w:spacing w:val="5"/>
          <w:vertAlign w:val="baseline"/>
        </w:rPr>
        <w:t> </w:t>
      </w:r>
      <w:r>
        <w:rPr>
          <w:vertAlign w:val="baseline"/>
        </w:rPr>
        <w:t>held</w:t>
      </w:r>
      <w:r>
        <w:rPr>
          <w:spacing w:val="5"/>
          <w:vertAlign w:val="baseline"/>
        </w:rPr>
        <w:t> </w:t>
      </w:r>
      <w:r>
        <w:rPr>
          <w:vertAlign w:val="baseline"/>
        </w:rPr>
        <w:t>that</w:t>
      </w:r>
      <w:r>
        <w:rPr>
          <w:spacing w:val="5"/>
          <w:vertAlign w:val="baseline"/>
        </w:rPr>
        <w:t> </w:t>
      </w:r>
      <w:r>
        <w:rPr>
          <w:vertAlign w:val="baseline"/>
        </w:rPr>
        <w:t>it</w:t>
      </w:r>
      <w:r>
        <w:rPr>
          <w:spacing w:val="5"/>
          <w:vertAlign w:val="baseline"/>
        </w:rPr>
        <w:t> </w:t>
      </w:r>
      <w:r>
        <w:rPr>
          <w:spacing w:val="-5"/>
          <w:vertAlign w:val="baseline"/>
        </w:rPr>
        <w:t>was</w:t>
      </w:r>
    </w:p>
    <w:p>
      <w:pPr>
        <w:pStyle w:val="BodyText"/>
        <w:spacing w:line="235" w:lineRule="auto" w:before="116"/>
        <w:ind w:left="165" w:right="167"/>
        <w:jc w:val="both"/>
      </w:pPr>
      <w:r>
        <w:rPr/>
        <w:t>not even arguable that partial rescission may be awarded. </w:t>
      </w:r>
      <w:r>
        <w:rPr>
          <w:color w:val="005DA1"/>
          <w:u w:val="single" w:color="005DA1"/>
          <w:vertAlign w:val="superscript"/>
        </w:rPr>
        <w:t>584</w:t>
      </w:r>
      <w:r>
        <w:rPr>
          <w:color w:val="005DA1"/>
          <w:spacing w:val="80"/>
          <w:vertAlign w:val="baseline"/>
        </w:rPr>
        <w:t> </w:t>
      </w:r>
      <w:r>
        <w:rPr>
          <w:color w:val="005DA1"/>
          <w:spacing w:val="-27"/>
          <w:position w:val="-2"/>
          <w:vertAlign w:val="baseline"/>
        </w:rPr>
        <w:drawing>
          <wp:inline distT="0" distB="0" distL="0" distR="0">
            <wp:extent cx="107988" cy="107988"/>
            <wp:effectExtent l="0" t="0" r="0" b="0"/>
            <wp:docPr id="196" name="Image 196"/>
            <wp:cNvGraphicFramePr>
              <a:graphicFrameLocks/>
            </wp:cNvGraphicFramePr>
            <a:graphic>
              <a:graphicData uri="http://schemas.openxmlformats.org/drawingml/2006/picture">
                <pic:pic>
                  <pic:nvPicPr>
                    <pic:cNvPr id="196" name="Image 19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color w:val="005DA1"/>
          <w:spacing w:val="40"/>
          <w:vertAlign w:val="baseline"/>
        </w:rPr>
        <w:t> </w:t>
      </w:r>
      <w:r>
        <w:rPr>
          <w:vertAlign w:val="baseline"/>
        </w:rPr>
        <w:t>That there cannot be </w:t>
      </w:r>
      <w:r>
        <w:rPr>
          <w:vertAlign w:val="baseline"/>
        </w:rPr>
        <w:t>partial </w:t>
      </w:r>
      <w:bookmarkStart w:name="_bookmark1087" w:id="1089"/>
      <w:bookmarkEnd w:id="1089"/>
      <w:r>
        <w:rPr>
          <w:vertAlign w:val="baseline"/>
        </w:rPr>
        <w:t>rescission</w:t>
      </w:r>
      <w:r>
        <w:rPr>
          <w:vertAlign w:val="baseline"/>
        </w:rPr>
        <w:t> is part of a wider principle that there cannot be rescission unless there can be restitutio in integrum. </w:t>
      </w:r>
      <w:r>
        <w:rPr>
          <w:color w:val="005DA1"/>
          <w:u w:val="single" w:color="005DA1"/>
          <w:vertAlign w:val="superscript"/>
        </w:rPr>
        <w:t>585</w:t>
      </w:r>
      <w:r>
        <w:rPr>
          <w:color w:val="005DA1"/>
          <w:vertAlign w:val="baseline"/>
        </w:rPr>
        <w:t> </w:t>
      </w:r>
      <w:r>
        <w:rPr>
          <w:vertAlign w:val="baseline"/>
        </w:rPr>
        <w:t>Thus:</w:t>
      </w:r>
    </w:p>
    <w:p>
      <w:pPr>
        <w:pStyle w:val="BodyText"/>
        <w:spacing w:after="0" w:line="235" w:lineRule="auto"/>
        <w:jc w:val="both"/>
        <w:sectPr>
          <w:pgSz w:w="11900" w:h="16840"/>
          <w:pgMar w:header="971" w:footer="0" w:top="1160" w:bottom="280" w:left="1275" w:right="1275"/>
        </w:sectPr>
      </w:pPr>
    </w:p>
    <w:p>
      <w:pPr>
        <w:pStyle w:val="BodyText"/>
      </w:pPr>
    </w:p>
    <w:p>
      <w:pPr>
        <w:pStyle w:val="BodyText"/>
      </w:pPr>
    </w:p>
    <w:p>
      <w:pPr>
        <w:pStyle w:val="BodyText"/>
        <w:spacing w:before="91"/>
      </w:pPr>
    </w:p>
    <w:p>
      <w:pPr>
        <w:pStyle w:val="BodyText"/>
        <w:spacing w:line="235" w:lineRule="auto"/>
        <w:ind w:left="1245" w:right="167"/>
        <w:jc w:val="both"/>
      </w:pPr>
      <w:r>
        <w:rPr/>
        <w:t>“… if a representee is induced to enter separate contracts A and B by the same misrepresentation, it may be that performance of contract B depends on the </w:t>
      </w:r>
      <w:r>
        <w:rPr/>
        <w:t>prior performance of contract A. In that case one cannot rescind contract A without also rescinding contract B … But there may be cases where, although both contracts were induced by the same misrepresentation, either can be performed without performance of </w:t>
      </w:r>
      <w:bookmarkStart w:name="_bookmark1088" w:id="1090"/>
      <w:bookmarkEnd w:id="1090"/>
      <w:r>
        <w:rPr/>
        <w:t>the</w:t>
      </w:r>
      <w:r>
        <w:rPr/>
        <w:t> other. In that case the misrepresentee may rescind unless the contract not sought to be rescinded would never have been entered without also entering the other.” </w:t>
      </w:r>
      <w:r>
        <w:rPr>
          <w:color w:val="005DA1"/>
          <w:u w:val="single" w:color="005DA1"/>
          <w:vertAlign w:val="superscript"/>
        </w:rPr>
        <w:t>586</w:t>
      </w:r>
    </w:p>
    <w:p>
      <w:pPr>
        <w:pStyle w:val="BodyText"/>
      </w:pPr>
    </w:p>
    <w:p>
      <w:pPr>
        <w:pStyle w:val="BodyText"/>
      </w:pPr>
    </w:p>
    <w:p>
      <w:pPr>
        <w:pStyle w:val="BodyText"/>
        <w:spacing w:before="153"/>
      </w:pPr>
    </w:p>
    <w:p>
      <w:pPr>
        <w:spacing w:before="0"/>
        <w:ind w:left="165" w:right="0" w:firstLine="0"/>
        <w:jc w:val="left"/>
        <w:rPr>
          <w:rFonts w:ascii="Arial"/>
          <w:b/>
          <w:sz w:val="18"/>
        </w:rPr>
      </w:pPr>
      <w:r>
        <w:rPr>
          <w:rFonts w:ascii="Arial"/>
          <w:b/>
          <w:spacing w:val="-2"/>
          <w:sz w:val="18"/>
        </w:rPr>
        <w:t>Services</w:t>
      </w:r>
    </w:p>
    <w:p>
      <w:pPr>
        <w:pStyle w:val="BodyText"/>
        <w:spacing w:before="41"/>
        <w:rPr>
          <w:rFonts w:ascii="Arial"/>
          <w:b/>
          <w:sz w:val="18"/>
        </w:rPr>
      </w:pPr>
    </w:p>
    <w:p>
      <w:pPr>
        <w:pStyle w:val="Heading2"/>
        <w:spacing w:before="1"/>
      </w:pPr>
      <w:r>
        <w:rPr/>
        <w:t>7-</w:t>
      </w:r>
      <w:r>
        <w:rPr>
          <w:spacing w:val="-5"/>
        </w:rPr>
        <w:t>127</w:t>
      </w:r>
    </w:p>
    <w:p>
      <w:pPr>
        <w:pStyle w:val="BodyText"/>
        <w:spacing w:line="235" w:lineRule="auto" w:before="202"/>
        <w:ind w:left="164" w:right="167"/>
        <w:jc w:val="both"/>
      </w:pPr>
      <w:bookmarkStart w:name="_bookmark1089" w:id="1091"/>
      <w:bookmarkEnd w:id="1091"/>
      <w:r>
        <w:rPr/>
      </w:r>
      <w:r>
        <w:rPr/>
        <w:t>The suggestion </w:t>
      </w:r>
      <w:r>
        <w:rPr>
          <w:color w:val="005DA1"/>
          <w:u w:val="single" w:color="005DA1"/>
          <w:vertAlign w:val="superscript"/>
        </w:rPr>
        <w:t>587</w:t>
      </w:r>
      <w:r>
        <w:rPr>
          <w:color w:val="005DA1"/>
          <w:vertAlign w:val="baseline"/>
        </w:rPr>
        <w:t> </w:t>
      </w:r>
      <w:r>
        <w:rPr>
          <w:vertAlign w:val="baseline"/>
        </w:rPr>
        <w:t>that a partly performed contract for services may be rescinded is attractive </w:t>
      </w:r>
      <w:r>
        <w:rPr>
          <w:vertAlign w:val="baseline"/>
        </w:rPr>
        <w:t>but raises difficulties. One view might be that the contract is rescinded for the future, leaving the services </w:t>
      </w:r>
      <w:bookmarkStart w:name="_bookmark1090" w:id="1092"/>
      <w:bookmarkEnd w:id="1092"/>
      <w:r>
        <w:rPr>
          <w:vertAlign w:val="baseline"/>
        </w:rPr>
        <w:t>already</w:t>
      </w:r>
      <w:r>
        <w:rPr>
          <w:vertAlign w:val="baseline"/>
        </w:rPr>
        <w:t> rendered unaffected, but this would be inconsistent with the normal view that rescission for misrepresentation is rescission ab initio. </w:t>
      </w:r>
      <w:r>
        <w:rPr>
          <w:color w:val="005DA1"/>
          <w:u w:val="single" w:color="005DA1"/>
          <w:vertAlign w:val="superscript"/>
        </w:rPr>
        <w:t>588</w:t>
      </w:r>
      <w:r>
        <w:rPr>
          <w:color w:val="005DA1"/>
          <w:vertAlign w:val="baseline"/>
        </w:rPr>
        <w:t> </w:t>
      </w:r>
      <w:r>
        <w:rPr>
          <w:vertAlign w:val="baseline"/>
        </w:rPr>
        <w:t>It might also result in the party who had rendered the </w:t>
      </w:r>
      <w:bookmarkStart w:name="_bookmark1091" w:id="1093"/>
      <w:bookmarkEnd w:id="1093"/>
      <w:r>
        <w:rPr>
          <w:vertAlign w:val="baseline"/>
        </w:rPr>
        <w:t>services</w:t>
      </w:r>
      <w:r>
        <w:rPr>
          <w:vertAlign w:val="baseline"/>
        </w:rPr>
        <w:t> going without payment for them if the contract were entire and the payment due on </w:t>
      </w:r>
      <w:bookmarkStart w:name="_bookmark1092" w:id="1094"/>
      <w:bookmarkEnd w:id="1094"/>
      <w:r>
        <w:rPr>
          <w:vertAlign w:val="baseline"/>
        </w:rPr>
        <w:t>completion.</w:t>
      </w:r>
      <w:r>
        <w:rPr>
          <w:vertAlign w:val="baseline"/>
        </w:rPr>
        <w:t> </w:t>
      </w:r>
      <w:r>
        <w:rPr>
          <w:color w:val="005DA1"/>
          <w:u w:val="single" w:color="005DA1"/>
          <w:vertAlign w:val="superscript"/>
        </w:rPr>
        <w:t>589</w:t>
      </w:r>
      <w:r>
        <w:rPr>
          <w:color w:val="005DA1"/>
          <w:vertAlign w:val="baseline"/>
        </w:rPr>
        <w:t> </w:t>
      </w:r>
      <w:r>
        <w:rPr>
          <w:vertAlign w:val="baseline"/>
        </w:rPr>
        <w:t>Rather the suggestion seems to be that the contract is rescinded ab initio but the misrepresentee must make an allowance for the services received. </w:t>
      </w:r>
      <w:r>
        <w:rPr>
          <w:color w:val="005DA1"/>
          <w:u w:val="single" w:color="005DA1"/>
          <w:vertAlign w:val="superscript"/>
        </w:rPr>
        <w:t>590</w:t>
      </w:r>
      <w:r>
        <w:rPr>
          <w:color w:val="005DA1"/>
          <w:vertAlign w:val="baseline"/>
        </w:rPr>
        <w:t> </w:t>
      </w:r>
      <w:r>
        <w:rPr>
          <w:vertAlign w:val="baseline"/>
        </w:rPr>
        <w:t>That seems a workable proposition but it would leave an anomaly when the services had been performed by the misrepresentee: it would be rather hard if he were permitted to rescind only at the price of forgoing payment for what he had done, but unless the contract was severable it is not clear what remedy he would</w:t>
      </w:r>
      <w:r>
        <w:rPr>
          <w:spacing w:val="-2"/>
          <w:vertAlign w:val="baseline"/>
        </w:rPr>
        <w:t> </w:t>
      </w:r>
      <w:r>
        <w:rPr>
          <w:vertAlign w:val="baseline"/>
        </w:rPr>
        <w:t>have</w:t>
      </w:r>
      <w:r>
        <w:rPr>
          <w:spacing w:val="-2"/>
          <w:vertAlign w:val="baseline"/>
        </w:rPr>
        <w:t> </w:t>
      </w:r>
      <w:r>
        <w:rPr>
          <w:vertAlign w:val="baseline"/>
        </w:rPr>
        <w:t>to</w:t>
      </w:r>
      <w:r>
        <w:rPr>
          <w:spacing w:val="-2"/>
          <w:vertAlign w:val="baseline"/>
        </w:rPr>
        <w:t> </w:t>
      </w:r>
      <w:r>
        <w:rPr>
          <w:vertAlign w:val="baseline"/>
        </w:rPr>
        <w:t>claim</w:t>
      </w:r>
      <w:r>
        <w:rPr>
          <w:spacing w:val="-2"/>
          <w:vertAlign w:val="baseline"/>
        </w:rPr>
        <w:t> </w:t>
      </w:r>
      <w:r>
        <w:rPr>
          <w:vertAlign w:val="baseline"/>
        </w:rPr>
        <w:t>payment.</w:t>
      </w:r>
      <w:r>
        <w:rPr>
          <w:spacing w:val="-2"/>
          <w:vertAlign w:val="baseline"/>
        </w:rPr>
        <w:t> </w:t>
      </w:r>
      <w:r>
        <w:rPr>
          <w:vertAlign w:val="baseline"/>
        </w:rPr>
        <w:t>The</w:t>
      </w:r>
      <w:r>
        <w:rPr>
          <w:spacing w:val="-2"/>
          <w:vertAlign w:val="baseline"/>
        </w:rPr>
        <w:t> </w:t>
      </w:r>
      <w:r>
        <w:rPr>
          <w:vertAlign w:val="baseline"/>
        </w:rPr>
        <w:t>adjustments</w:t>
      </w:r>
      <w:r>
        <w:rPr>
          <w:spacing w:val="-2"/>
          <w:vertAlign w:val="baseline"/>
        </w:rPr>
        <w:t> </w:t>
      </w:r>
      <w:r>
        <w:rPr>
          <w:vertAlign w:val="baseline"/>
        </w:rPr>
        <w:t>and</w:t>
      </w:r>
      <w:r>
        <w:rPr>
          <w:spacing w:val="-2"/>
          <w:vertAlign w:val="baseline"/>
        </w:rPr>
        <w:t> </w:t>
      </w:r>
      <w:r>
        <w:rPr>
          <w:vertAlign w:val="baseline"/>
        </w:rPr>
        <w:t>allowances</w:t>
      </w:r>
      <w:r>
        <w:rPr>
          <w:spacing w:val="-2"/>
          <w:vertAlign w:val="baseline"/>
        </w:rPr>
        <w:t> </w:t>
      </w:r>
      <w:r>
        <w:rPr>
          <w:vertAlign w:val="baseline"/>
        </w:rPr>
        <w:t>which</w:t>
      </w:r>
      <w:r>
        <w:rPr>
          <w:spacing w:val="-2"/>
          <w:vertAlign w:val="baseline"/>
        </w:rPr>
        <w:t> </w:t>
      </w:r>
      <w:r>
        <w:rPr>
          <w:vertAlign w:val="baseline"/>
        </w:rPr>
        <w:t>a</w:t>
      </w:r>
      <w:r>
        <w:rPr>
          <w:spacing w:val="-2"/>
          <w:vertAlign w:val="baseline"/>
        </w:rPr>
        <w:t> </w:t>
      </w:r>
      <w:r>
        <w:rPr>
          <w:vertAlign w:val="baseline"/>
        </w:rPr>
        <w:t>court</w:t>
      </w:r>
      <w:r>
        <w:rPr>
          <w:spacing w:val="-2"/>
          <w:vertAlign w:val="baseline"/>
        </w:rPr>
        <w:t> </w:t>
      </w:r>
      <w:r>
        <w:rPr>
          <w:vertAlign w:val="baseline"/>
        </w:rPr>
        <w:t>may</w:t>
      </w:r>
      <w:r>
        <w:rPr>
          <w:spacing w:val="-2"/>
          <w:vertAlign w:val="baseline"/>
        </w:rPr>
        <w:t> </w:t>
      </w:r>
      <w:r>
        <w:rPr>
          <w:vertAlign w:val="baseline"/>
        </w:rPr>
        <w:t>make</w:t>
      </w:r>
      <w:r>
        <w:rPr>
          <w:spacing w:val="-2"/>
          <w:vertAlign w:val="baseline"/>
        </w:rPr>
        <w:t> </w:t>
      </w:r>
      <w:r>
        <w:rPr>
          <w:vertAlign w:val="baseline"/>
        </w:rPr>
        <w:t>in</w:t>
      </w:r>
      <w:r>
        <w:rPr>
          <w:spacing w:val="-2"/>
          <w:vertAlign w:val="baseline"/>
        </w:rPr>
        <w:t> </w:t>
      </w:r>
      <w:r>
        <w:rPr>
          <w:vertAlign w:val="baseline"/>
        </w:rPr>
        <w:t>a</w:t>
      </w:r>
      <w:r>
        <w:rPr>
          <w:spacing w:val="-2"/>
          <w:vertAlign w:val="baseline"/>
        </w:rPr>
        <w:t> </w:t>
      </w:r>
      <w:r>
        <w:rPr>
          <w:vertAlign w:val="baseline"/>
        </w:rPr>
        <w:t>claim</w:t>
      </w:r>
      <w:r>
        <w:rPr>
          <w:spacing w:val="-2"/>
          <w:vertAlign w:val="baseline"/>
        </w:rPr>
        <w:t> </w:t>
      </w:r>
      <w:r>
        <w:rPr>
          <w:vertAlign w:val="baseline"/>
        </w:rPr>
        <w:t>for </w:t>
      </w:r>
      <w:bookmarkStart w:name="_bookmark1093" w:id="1095"/>
      <w:bookmarkEnd w:id="1095"/>
      <w:r>
        <w:rPr>
          <w:vertAlign w:val="baseline"/>
        </w:rPr>
        <w:t>rescission</w:t>
      </w:r>
      <w:r>
        <w:rPr>
          <w:spacing w:val="-1"/>
          <w:vertAlign w:val="baseline"/>
        </w:rPr>
        <w:t> </w:t>
      </w:r>
      <w:r>
        <w:rPr>
          <w:vertAlign w:val="baseline"/>
        </w:rPr>
        <w:t>may</w:t>
      </w:r>
      <w:r>
        <w:rPr>
          <w:spacing w:val="-1"/>
          <w:vertAlign w:val="baseline"/>
        </w:rPr>
        <w:t> </w:t>
      </w:r>
      <w:r>
        <w:rPr>
          <w:vertAlign w:val="baseline"/>
        </w:rPr>
        <w:t>not</w:t>
      </w:r>
      <w:r>
        <w:rPr>
          <w:spacing w:val="-1"/>
          <w:vertAlign w:val="baseline"/>
        </w:rPr>
        <w:t> </w:t>
      </w:r>
      <w:r>
        <w:rPr>
          <w:vertAlign w:val="baseline"/>
        </w:rPr>
        <w:t>include</w:t>
      </w:r>
      <w:r>
        <w:rPr>
          <w:spacing w:val="-1"/>
          <w:vertAlign w:val="baseline"/>
        </w:rPr>
        <w:t> </w:t>
      </w:r>
      <w:r>
        <w:rPr>
          <w:vertAlign w:val="baseline"/>
        </w:rPr>
        <w:t>the</w:t>
      </w:r>
      <w:r>
        <w:rPr>
          <w:spacing w:val="-1"/>
          <w:vertAlign w:val="baseline"/>
        </w:rPr>
        <w:t> </w:t>
      </w:r>
      <w:r>
        <w:rPr>
          <w:vertAlign w:val="baseline"/>
        </w:rPr>
        <w:t>allowance</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quantum</w:t>
      </w:r>
      <w:r>
        <w:rPr>
          <w:spacing w:val="-1"/>
          <w:vertAlign w:val="baseline"/>
        </w:rPr>
        <w:t> </w:t>
      </w:r>
      <w:r>
        <w:rPr>
          <w:vertAlign w:val="baseline"/>
        </w:rPr>
        <w:t>meruit.</w:t>
      </w:r>
      <w:r>
        <w:rPr>
          <w:spacing w:val="-1"/>
          <w:vertAlign w:val="baseline"/>
        </w:rPr>
        <w:t> </w:t>
      </w:r>
      <w:r>
        <w:rPr>
          <w:vertAlign w:val="baseline"/>
        </w:rPr>
        <w:t>This</w:t>
      </w:r>
      <w:r>
        <w:rPr>
          <w:spacing w:val="-1"/>
          <w:vertAlign w:val="baseline"/>
        </w:rPr>
        <w:t> </w:t>
      </w:r>
      <w:r>
        <w:rPr>
          <w:vertAlign w:val="baseline"/>
        </w:rPr>
        <w:t>is</w:t>
      </w:r>
      <w:r>
        <w:rPr>
          <w:spacing w:val="-1"/>
          <w:vertAlign w:val="baseline"/>
        </w:rPr>
        <w:t> </w:t>
      </w:r>
      <w:r>
        <w:rPr>
          <w:vertAlign w:val="baseline"/>
        </w:rPr>
        <w:t>suggested</w:t>
      </w:r>
      <w:r>
        <w:rPr>
          <w:spacing w:val="-1"/>
          <w:vertAlign w:val="baseline"/>
        </w:rPr>
        <w:t> </w:t>
      </w:r>
      <w:r>
        <w:rPr>
          <w:vertAlign w:val="baseline"/>
        </w:rPr>
        <w:t>by</w:t>
      </w:r>
      <w:r>
        <w:rPr>
          <w:spacing w:val="-3"/>
          <w:vertAlign w:val="baseline"/>
        </w:rPr>
        <w:t> </w:t>
      </w:r>
      <w:r>
        <w:rPr>
          <w:rFonts w:ascii="Arial"/>
          <w:i/>
          <w:vertAlign w:val="baseline"/>
        </w:rPr>
        <w:t>Boyd</w:t>
      </w:r>
      <w:r>
        <w:rPr>
          <w:rFonts w:ascii="Arial"/>
          <w:i/>
          <w:spacing w:val="-1"/>
          <w:vertAlign w:val="baseline"/>
        </w:rPr>
        <w:t> </w:t>
      </w:r>
      <w:r>
        <w:rPr>
          <w:rFonts w:ascii="Arial"/>
          <w:i/>
          <w:vertAlign w:val="baseline"/>
        </w:rPr>
        <w:t>and</w:t>
      </w:r>
      <w:r>
        <w:rPr>
          <w:rFonts w:ascii="Arial"/>
          <w:i/>
          <w:spacing w:val="-1"/>
          <w:vertAlign w:val="baseline"/>
        </w:rPr>
        <w:t> </w:t>
      </w:r>
      <w:r>
        <w:rPr>
          <w:rFonts w:ascii="Arial"/>
          <w:i/>
          <w:vertAlign w:val="baseline"/>
        </w:rPr>
        <w:t>Forrest v Glasgow Ry</w:t>
      </w:r>
      <w:r>
        <w:rPr>
          <w:vertAlign w:val="baseline"/>
        </w:rPr>
        <w:t>. </w:t>
      </w:r>
      <w:r>
        <w:rPr>
          <w:color w:val="005DA1"/>
          <w:u w:val="single" w:color="005DA1"/>
          <w:vertAlign w:val="superscript"/>
        </w:rPr>
        <w:t>591</w:t>
      </w:r>
      <w:r>
        <w:rPr>
          <w:color w:val="005DA1"/>
          <w:vertAlign w:val="baseline"/>
        </w:rPr>
        <w:t> </w:t>
      </w:r>
      <w:r>
        <w:rPr>
          <w:vertAlign w:val="baseline"/>
        </w:rPr>
        <w:t>During the negotiations for a contract for constructing a railway, an innocent misrepresentation was made about the nature of the subsoil; the contractors claimed to rescind the contract, and sued on a quantum meruit for the difference between the contract price, which they had received, and the increased cost of the work which was due to the misrepresentation. The House of Lords, reversing the Scottish courts, rejected the claim on the ground that, if allowed, it would be equivalent to an award of damages to the contractors.</w:t>
      </w:r>
    </w:p>
    <w:p>
      <w:pPr>
        <w:pStyle w:val="BodyText"/>
      </w:pPr>
    </w:p>
    <w:p>
      <w:pPr>
        <w:pStyle w:val="BodyText"/>
        <w:spacing w:before="32"/>
      </w:pPr>
    </w:p>
    <w:p>
      <w:pPr>
        <w:spacing w:before="0"/>
        <w:ind w:left="164" w:right="0" w:firstLine="0"/>
        <w:jc w:val="left"/>
        <w:rPr>
          <w:rFonts w:ascii="Arial"/>
          <w:b/>
          <w:sz w:val="18"/>
        </w:rPr>
      </w:pPr>
      <w:r>
        <w:rPr>
          <w:rFonts w:ascii="Arial"/>
          <w:b/>
          <w:sz w:val="18"/>
        </w:rPr>
        <w:t>A more flexible </w:t>
      </w:r>
      <w:r>
        <w:rPr>
          <w:rFonts w:ascii="Arial"/>
          <w:b/>
          <w:spacing w:val="-2"/>
          <w:sz w:val="18"/>
        </w:rPr>
        <w:t>approach?</w:t>
      </w:r>
    </w:p>
    <w:p>
      <w:pPr>
        <w:pStyle w:val="BodyText"/>
        <w:spacing w:before="41"/>
        <w:rPr>
          <w:rFonts w:ascii="Arial"/>
          <w:b/>
          <w:sz w:val="18"/>
        </w:rPr>
      </w:pPr>
    </w:p>
    <w:p>
      <w:pPr>
        <w:pStyle w:val="Heading2"/>
        <w:ind w:left="164"/>
      </w:pPr>
      <w:r>
        <w:rPr/>
        <w:t>7-</w:t>
      </w:r>
      <w:r>
        <w:rPr>
          <w:spacing w:val="-5"/>
        </w:rPr>
        <w:t>128</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094" w:id="1096"/>
      <w:bookmarkEnd w:id="1096"/>
      <w:r>
        <w:rPr>
          <w:rFonts w:ascii="Times New Roman" w:hAnsi="Times New Roman"/>
          <w:spacing w:val="7"/>
        </w:rPr>
      </w:r>
      <w:r>
        <w:rPr/>
        <w:t>In</w:t>
      </w:r>
      <w:r>
        <w:rPr>
          <w:spacing w:val="-2"/>
        </w:rPr>
        <w:t> </w:t>
      </w:r>
      <w:r>
        <w:rPr/>
        <w:t>the</w:t>
      </w:r>
      <w:r>
        <w:rPr>
          <w:spacing w:val="-2"/>
        </w:rPr>
        <w:t> </w:t>
      </w:r>
      <w:r>
        <w:rPr>
          <w:rFonts w:ascii="Arial" w:hAnsi="Arial"/>
          <w:i/>
        </w:rPr>
        <w:t>Boyd</w:t>
      </w:r>
      <w:r>
        <w:rPr>
          <w:rFonts w:ascii="Arial" w:hAnsi="Arial"/>
          <w:i/>
          <w:spacing w:val="-2"/>
        </w:rPr>
        <w:t> </w:t>
      </w:r>
      <w:r>
        <w:rPr>
          <w:rFonts w:ascii="Arial" w:hAnsi="Arial"/>
          <w:i/>
        </w:rPr>
        <w:t>and</w:t>
      </w:r>
      <w:r>
        <w:rPr>
          <w:rFonts w:ascii="Arial" w:hAnsi="Arial"/>
          <w:i/>
          <w:spacing w:val="-2"/>
        </w:rPr>
        <w:t> </w:t>
      </w:r>
      <w:r>
        <w:rPr>
          <w:rFonts w:ascii="Arial" w:hAnsi="Arial"/>
          <w:i/>
        </w:rPr>
        <w:t>Forrest</w:t>
      </w:r>
      <w:r>
        <w:rPr>
          <w:rFonts w:ascii="Arial" w:hAnsi="Arial"/>
          <w:i/>
          <w:spacing w:val="-2"/>
        </w:rPr>
        <w:t> </w:t>
      </w:r>
      <w:r>
        <w:rPr/>
        <w:t>case</w:t>
      </w:r>
      <w:r>
        <w:rPr>
          <w:spacing w:val="-2"/>
        </w:rPr>
        <w:t> </w:t>
      </w:r>
      <w:r>
        <w:rPr>
          <w:color w:val="005DA1"/>
          <w:u w:val="single" w:color="005DA1"/>
          <w:vertAlign w:val="superscript"/>
        </w:rPr>
        <w:t>592</w:t>
      </w:r>
      <w:r>
        <w:rPr>
          <w:color w:val="005DA1"/>
          <w:spacing w:val="-2"/>
          <w:vertAlign w:val="baseline"/>
        </w:rPr>
        <w:t> </w:t>
      </w:r>
      <w:r>
        <w:rPr>
          <w:vertAlign w:val="baseline"/>
        </w:rPr>
        <w:t>the</w:t>
      </w:r>
      <w:r>
        <w:rPr>
          <w:spacing w:val="-2"/>
          <w:vertAlign w:val="baseline"/>
        </w:rPr>
        <w:t> </w:t>
      </w:r>
      <w:r>
        <w:rPr>
          <w:vertAlign w:val="baseline"/>
        </w:rPr>
        <w:t>work</w:t>
      </w:r>
      <w:r>
        <w:rPr>
          <w:spacing w:val="-2"/>
          <w:vertAlign w:val="baseline"/>
        </w:rPr>
        <w:t> </w:t>
      </w:r>
      <w:r>
        <w:rPr>
          <w:vertAlign w:val="baseline"/>
        </w:rPr>
        <w:t>had</w:t>
      </w:r>
      <w:r>
        <w:rPr>
          <w:spacing w:val="-2"/>
          <w:vertAlign w:val="baseline"/>
        </w:rPr>
        <w:t> </w:t>
      </w:r>
      <w:r>
        <w:rPr>
          <w:vertAlign w:val="baseline"/>
        </w:rPr>
        <w:t>actually</w:t>
      </w:r>
      <w:r>
        <w:rPr>
          <w:spacing w:val="-2"/>
          <w:vertAlign w:val="baseline"/>
        </w:rPr>
        <w:t> </w:t>
      </w:r>
      <w:r>
        <w:rPr>
          <w:vertAlign w:val="baseline"/>
        </w:rPr>
        <w:t>been</w:t>
      </w:r>
      <w:r>
        <w:rPr>
          <w:spacing w:val="-2"/>
          <w:vertAlign w:val="baseline"/>
        </w:rPr>
        <w:t> </w:t>
      </w:r>
      <w:r>
        <w:rPr>
          <w:vertAlign w:val="baseline"/>
        </w:rPr>
        <w:t>completed,</w:t>
      </w:r>
      <w:r>
        <w:rPr>
          <w:spacing w:val="-2"/>
          <w:vertAlign w:val="baseline"/>
        </w:rPr>
        <w:t> </w:t>
      </w:r>
      <w:r>
        <w:rPr>
          <w:vertAlign w:val="baseline"/>
        </w:rPr>
        <w:t>so</w:t>
      </w:r>
      <w:r>
        <w:rPr>
          <w:spacing w:val="-2"/>
          <w:vertAlign w:val="baseline"/>
        </w:rPr>
        <w:t> </w:t>
      </w:r>
      <w:r>
        <w:rPr>
          <w:vertAlign w:val="baseline"/>
        </w:rPr>
        <w:t>it</w:t>
      </w:r>
      <w:r>
        <w:rPr>
          <w:spacing w:val="-2"/>
          <w:vertAlign w:val="baseline"/>
        </w:rPr>
        <w:t> </w:t>
      </w:r>
      <w:r>
        <w:rPr>
          <w:vertAlign w:val="baseline"/>
        </w:rPr>
        <w:t>was</w:t>
      </w:r>
      <w:r>
        <w:rPr>
          <w:spacing w:val="-2"/>
          <w:vertAlign w:val="baseline"/>
        </w:rPr>
        <w:t> </w:t>
      </w:r>
      <w:r>
        <w:rPr>
          <w:vertAlign w:val="baseline"/>
        </w:rPr>
        <w:t>clearly</w:t>
      </w:r>
      <w:r>
        <w:rPr>
          <w:spacing w:val="-2"/>
          <w:vertAlign w:val="baseline"/>
        </w:rPr>
        <w:t> </w:t>
      </w:r>
      <w:r>
        <w:rPr>
          <w:vertAlign w:val="baseline"/>
        </w:rPr>
        <w:t>too</w:t>
      </w:r>
      <w:r>
        <w:rPr>
          <w:spacing w:val="-2"/>
          <w:vertAlign w:val="baseline"/>
        </w:rPr>
        <w:t> </w:t>
      </w:r>
      <w:r>
        <w:rPr>
          <w:vertAlign w:val="baseline"/>
        </w:rPr>
        <w:t>late</w:t>
      </w:r>
      <w:r>
        <w:rPr>
          <w:spacing w:val="-2"/>
          <w:vertAlign w:val="baseline"/>
        </w:rPr>
        <w:t> </w:t>
      </w:r>
      <w:r>
        <w:rPr>
          <w:vertAlign w:val="baseline"/>
        </w:rPr>
        <w:t>for the contractor to “rescind”, and it is to be hoped that a modern court might see its way to granting a </w:t>
      </w:r>
      <w:bookmarkStart w:name="_bookmark1095" w:id="1097"/>
      <w:bookmarkEnd w:id="1097"/>
      <w:r>
        <w:rPr>
          <w:vertAlign w:val="baseline"/>
        </w:rPr>
        <w:t>quantum</w:t>
      </w:r>
      <w:r>
        <w:rPr>
          <w:vertAlign w:val="baseline"/>
        </w:rPr>
        <w:t> meruit to the misrepresentee in a case in which he only discovers that an innocent misrepresentation has been made after he has performed some of the services required of him. </w:t>
      </w:r>
      <w:r>
        <w:rPr>
          <w:color w:val="005DA1"/>
          <w:u w:val="single" w:color="005DA1"/>
          <w:vertAlign w:val="superscript"/>
        </w:rPr>
        <w:t>593</w:t>
      </w:r>
      <w:r>
        <w:rPr>
          <w:color w:val="005DA1"/>
          <w:vertAlign w:val="baseline"/>
        </w:rPr>
        <w:t> </w:t>
      </w:r>
      <w:r>
        <w:rPr>
          <w:vertAlign w:val="baseline"/>
        </w:rPr>
        <w:t>It </w:t>
      </w:r>
      <w:bookmarkStart w:name="_bookmark1096" w:id="1098"/>
      <w:bookmarkEnd w:id="1098"/>
      <w:r>
        <w:rPr>
          <w:vertAlign w:val="baseline"/>
        </w:rPr>
        <w:t>has</w:t>
      </w:r>
      <w:r>
        <w:rPr>
          <w:vertAlign w:val="baseline"/>
        </w:rPr>
        <w:t> been argued that the courts should adopt a still more flexible approach to the requirement of </w:t>
      </w:r>
      <w:bookmarkStart w:name="_bookmark1097" w:id="1099"/>
      <w:bookmarkEnd w:id="1099"/>
      <w:r>
        <w:rPr>
          <w:vertAlign w:val="baseline"/>
        </w:rPr>
        <w:t>restitutio</w:t>
      </w:r>
      <w:r>
        <w:rPr>
          <w:vertAlign w:val="baseline"/>
        </w:rPr>
        <w:t> in integrum where third party rights are not in question, </w:t>
      </w:r>
      <w:r>
        <w:rPr>
          <w:color w:val="005DA1"/>
          <w:u w:val="single" w:color="005DA1"/>
          <w:vertAlign w:val="superscript"/>
        </w:rPr>
        <w:t>594</w:t>
      </w:r>
      <w:r>
        <w:rPr>
          <w:color w:val="005DA1"/>
          <w:vertAlign w:val="baseline"/>
        </w:rPr>
        <w:t> </w:t>
      </w:r>
      <w:r>
        <w:rPr>
          <w:vertAlign w:val="baseline"/>
        </w:rPr>
        <w:t>allowing restitution to be made in </w:t>
      </w:r>
      <w:bookmarkStart w:name="_bookmark1098" w:id="1100"/>
      <w:bookmarkEnd w:id="1100"/>
      <w:r>
        <w:rPr>
          <w:vertAlign w:val="baseline"/>
        </w:rPr>
        <w:t>the</w:t>
      </w:r>
      <w:r>
        <w:rPr>
          <w:vertAlign w:val="baseline"/>
        </w:rPr>
        <w:t> form of money. </w:t>
      </w:r>
      <w:r>
        <w:rPr>
          <w:color w:val="005DA1"/>
          <w:u w:val="single" w:color="005DA1"/>
          <w:vertAlign w:val="superscript"/>
        </w:rPr>
        <w:t>595</w:t>
      </w:r>
      <w:r>
        <w:rPr>
          <w:color w:val="005DA1"/>
          <w:vertAlign w:val="baseline"/>
        </w:rPr>
        <w:t> </w:t>
      </w:r>
      <w:r>
        <w:rPr>
          <w:vertAlign w:val="baseline"/>
        </w:rPr>
        <w:t>This, despite recent endorsement by the Court of Appeal of the difficulties alluded to earlier, </w:t>
      </w:r>
      <w:r>
        <w:rPr>
          <w:color w:val="005DA1"/>
          <w:u w:val="single" w:color="005DA1"/>
          <w:vertAlign w:val="superscript"/>
        </w:rPr>
        <w:t>596</w:t>
      </w:r>
      <w:r>
        <w:rPr>
          <w:color w:val="005DA1"/>
          <w:vertAlign w:val="baseline"/>
        </w:rPr>
        <w:t> </w:t>
      </w:r>
      <w:r>
        <w:rPr>
          <w:vertAlign w:val="baseline"/>
        </w:rPr>
        <w:t>seems a sensible development and one which is in line with the decision in a </w:t>
      </w:r>
      <w:bookmarkStart w:name="_bookmark1099" w:id="1101"/>
      <w:bookmarkEnd w:id="1101"/>
      <w:r>
        <w:rPr>
          <w:vertAlign w:val="baseline"/>
        </w:rPr>
        <w:t>case</w:t>
      </w:r>
      <w:r>
        <w:rPr>
          <w:spacing w:val="22"/>
          <w:vertAlign w:val="baseline"/>
        </w:rPr>
        <w:t> </w:t>
      </w:r>
      <w:r>
        <w:rPr>
          <w:vertAlign w:val="baseline"/>
        </w:rPr>
        <w:t>of</w:t>
      </w:r>
      <w:r>
        <w:rPr>
          <w:spacing w:val="22"/>
          <w:vertAlign w:val="baseline"/>
        </w:rPr>
        <w:t> </w:t>
      </w:r>
      <w:r>
        <w:rPr>
          <w:vertAlign w:val="baseline"/>
        </w:rPr>
        <w:t>undue</w:t>
      </w:r>
      <w:r>
        <w:rPr>
          <w:spacing w:val="22"/>
          <w:vertAlign w:val="baseline"/>
        </w:rPr>
        <w:t> </w:t>
      </w:r>
      <w:r>
        <w:rPr>
          <w:vertAlign w:val="baseline"/>
        </w:rPr>
        <w:t>influence</w:t>
      </w:r>
      <w:r>
        <w:rPr>
          <w:spacing w:val="22"/>
          <w:vertAlign w:val="baseline"/>
        </w:rPr>
        <w:t> </w:t>
      </w:r>
      <w:r>
        <w:rPr>
          <w:vertAlign w:val="baseline"/>
        </w:rPr>
        <w:t>to</w:t>
      </w:r>
      <w:r>
        <w:rPr>
          <w:spacing w:val="22"/>
          <w:vertAlign w:val="baseline"/>
        </w:rPr>
        <w:t> </w:t>
      </w:r>
      <w:r>
        <w:rPr>
          <w:vertAlign w:val="baseline"/>
        </w:rPr>
        <w:t>award</w:t>
      </w:r>
      <w:r>
        <w:rPr>
          <w:spacing w:val="22"/>
          <w:vertAlign w:val="baseline"/>
        </w:rPr>
        <w:t> </w:t>
      </w:r>
      <w:r>
        <w:rPr>
          <w:vertAlign w:val="baseline"/>
        </w:rPr>
        <w:t>“equitable</w:t>
      </w:r>
      <w:r>
        <w:rPr>
          <w:spacing w:val="22"/>
          <w:vertAlign w:val="baseline"/>
        </w:rPr>
        <w:t> </w:t>
      </w:r>
      <w:r>
        <w:rPr>
          <w:vertAlign w:val="baseline"/>
        </w:rPr>
        <w:t>compensation”</w:t>
      </w:r>
      <w:r>
        <w:rPr>
          <w:spacing w:val="22"/>
          <w:vertAlign w:val="baseline"/>
        </w:rPr>
        <w:t> </w:t>
      </w:r>
      <w:r>
        <w:rPr>
          <w:vertAlign w:val="baseline"/>
        </w:rPr>
        <w:t>when</w:t>
      </w:r>
      <w:r>
        <w:rPr>
          <w:spacing w:val="22"/>
          <w:vertAlign w:val="baseline"/>
        </w:rPr>
        <w:t> </w:t>
      </w:r>
      <w:r>
        <w:rPr>
          <w:vertAlign w:val="baseline"/>
        </w:rPr>
        <w:t>the</w:t>
      </w:r>
      <w:r>
        <w:rPr>
          <w:spacing w:val="22"/>
          <w:vertAlign w:val="baseline"/>
        </w:rPr>
        <w:t> </w:t>
      </w:r>
      <w:r>
        <w:rPr>
          <w:vertAlign w:val="baseline"/>
        </w:rPr>
        <w:t>property</w:t>
      </w:r>
      <w:r>
        <w:rPr>
          <w:spacing w:val="22"/>
          <w:vertAlign w:val="baseline"/>
        </w:rPr>
        <w:t> </w:t>
      </w:r>
      <w:r>
        <w:rPr>
          <w:vertAlign w:val="baseline"/>
        </w:rPr>
        <w:t>transferred</w:t>
      </w:r>
      <w:r>
        <w:rPr>
          <w:spacing w:val="22"/>
          <w:vertAlign w:val="baseline"/>
        </w:rPr>
        <w:t> </w:t>
      </w:r>
      <w:r>
        <w:rPr>
          <w:vertAlign w:val="baseline"/>
        </w:rPr>
        <w:t>could</w:t>
      </w:r>
      <w:r>
        <w:rPr>
          <w:spacing w:val="22"/>
          <w:vertAlign w:val="baseline"/>
        </w:rPr>
        <w:t> </w:t>
      </w:r>
      <w:r>
        <w:rPr>
          <w:spacing w:val="-5"/>
          <w:vertAlign w:val="baseline"/>
        </w:rPr>
        <w:t>no</w:t>
      </w:r>
    </w:p>
    <w:p>
      <w:pPr>
        <w:pStyle w:val="BodyText"/>
        <w:spacing w:line="235" w:lineRule="auto" w:before="117"/>
        <w:ind w:left="165" w:right="167"/>
        <w:jc w:val="both"/>
      </w:pPr>
      <w:bookmarkStart w:name="_bookmark1100" w:id="1102"/>
      <w:bookmarkEnd w:id="1102"/>
      <w:r>
        <w:rPr/>
      </w:r>
      <w:r>
        <w:rPr/>
        <w:t>longer be returned. </w:t>
      </w:r>
      <w:r>
        <w:rPr>
          <w:color w:val="005DA1"/>
          <w:u w:val="single" w:color="005DA1"/>
          <w:vertAlign w:val="superscript"/>
        </w:rPr>
        <w:t>597</w:t>
      </w:r>
      <w:r>
        <w:rPr>
          <w:color w:val="005DA1"/>
          <w:spacing w:val="80"/>
          <w:vertAlign w:val="baseline"/>
        </w:rPr>
        <w:t> </w:t>
      </w:r>
      <w:r>
        <w:rPr>
          <w:color w:val="005DA1"/>
          <w:spacing w:val="7"/>
          <w:position w:val="-2"/>
          <w:vertAlign w:val="baseline"/>
        </w:rPr>
        <w:drawing>
          <wp:inline distT="0" distB="0" distL="0" distR="0">
            <wp:extent cx="107988" cy="107988"/>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rFonts w:ascii="Times New Roman"/>
          <w:color w:val="005DA1"/>
          <w:spacing w:val="-1"/>
          <w:vertAlign w:val="baseline"/>
        </w:rPr>
        <w:t> </w:t>
      </w:r>
      <w:r>
        <w:rPr>
          <w:vertAlign w:val="baseline"/>
        </w:rPr>
        <w:t>A recent decision of the Court of Appeal in a duress case suggests that the courts are now adopting this approach. </w:t>
      </w:r>
      <w:r>
        <w:rPr>
          <w:color w:val="005DA1"/>
          <w:u w:val="single" w:color="005DA1"/>
          <w:vertAlign w:val="superscript"/>
        </w:rPr>
        <w:t>598</w:t>
      </w:r>
    </w:p>
    <w:p>
      <w:pPr>
        <w:pStyle w:val="BodyText"/>
      </w:pPr>
    </w:p>
    <w:p>
      <w:pPr>
        <w:pStyle w:val="BodyText"/>
        <w:spacing w:before="37"/>
      </w:pPr>
    </w:p>
    <w:p>
      <w:pPr>
        <w:spacing w:before="0"/>
        <w:ind w:left="165" w:right="0" w:firstLine="0"/>
        <w:jc w:val="both"/>
        <w:rPr>
          <w:rFonts w:ascii="Arial"/>
          <w:b/>
          <w:sz w:val="18"/>
        </w:rPr>
      </w:pPr>
      <w:r>
        <w:rPr>
          <w:rFonts w:ascii="Arial"/>
          <w:b/>
          <w:sz w:val="18"/>
        </w:rPr>
        <w:t>Indemnity distinguished from </w:t>
      </w:r>
      <w:r>
        <w:rPr>
          <w:rFonts w:ascii="Arial"/>
          <w:b/>
          <w:spacing w:val="-2"/>
          <w:sz w:val="18"/>
        </w:rPr>
        <w:t>damages</w:t>
      </w:r>
    </w:p>
    <w:p>
      <w:pPr>
        <w:pStyle w:val="BodyText"/>
        <w:spacing w:before="42"/>
        <w:rPr>
          <w:rFonts w:ascii="Arial"/>
          <w:b/>
          <w:sz w:val="18"/>
        </w:rPr>
      </w:pPr>
    </w:p>
    <w:p>
      <w:pPr>
        <w:pStyle w:val="Heading2"/>
      </w:pPr>
      <w:r>
        <w:rPr/>
        <w:t>7-</w:t>
      </w:r>
      <w:r>
        <w:rPr>
          <w:spacing w:val="-5"/>
        </w:rPr>
        <w:t>129</w:t>
      </w:r>
    </w:p>
    <w:p>
      <w:pPr>
        <w:pStyle w:val="BodyText"/>
        <w:spacing w:before="199"/>
        <w:ind w:left="165"/>
        <w:jc w:val="both"/>
      </w:pPr>
      <w:r>
        <w:rPr/>
        <w:t>Assuming</w:t>
      </w:r>
      <w:r>
        <w:rPr>
          <w:spacing w:val="25"/>
        </w:rPr>
        <w:t> </w:t>
      </w:r>
      <w:r>
        <w:rPr/>
        <w:t>that</w:t>
      </w:r>
      <w:r>
        <w:rPr>
          <w:spacing w:val="25"/>
        </w:rPr>
        <w:t> </w:t>
      </w:r>
      <w:r>
        <w:rPr/>
        <w:t>a</w:t>
      </w:r>
      <w:r>
        <w:rPr>
          <w:spacing w:val="25"/>
        </w:rPr>
        <w:t> </w:t>
      </w:r>
      <w:r>
        <w:rPr/>
        <w:t>claimant</w:t>
      </w:r>
      <w:r>
        <w:rPr>
          <w:spacing w:val="25"/>
        </w:rPr>
        <w:t> </w:t>
      </w:r>
      <w:r>
        <w:rPr/>
        <w:t>who</w:t>
      </w:r>
      <w:r>
        <w:rPr>
          <w:spacing w:val="25"/>
        </w:rPr>
        <w:t> </w:t>
      </w:r>
      <w:r>
        <w:rPr/>
        <w:t>wishes</w:t>
      </w:r>
      <w:r>
        <w:rPr>
          <w:spacing w:val="25"/>
        </w:rPr>
        <w:t> </w:t>
      </w:r>
      <w:r>
        <w:rPr/>
        <w:t>to</w:t>
      </w:r>
      <w:r>
        <w:rPr>
          <w:spacing w:val="25"/>
        </w:rPr>
        <w:t> </w:t>
      </w:r>
      <w:r>
        <w:rPr/>
        <w:t>rescind</w:t>
      </w:r>
      <w:r>
        <w:rPr>
          <w:spacing w:val="25"/>
        </w:rPr>
        <w:t> </w:t>
      </w:r>
      <w:r>
        <w:rPr/>
        <w:t>is</w:t>
      </w:r>
      <w:r>
        <w:rPr>
          <w:spacing w:val="25"/>
        </w:rPr>
        <w:t> </w:t>
      </w:r>
      <w:r>
        <w:rPr/>
        <w:t>in</w:t>
      </w:r>
      <w:r>
        <w:rPr>
          <w:spacing w:val="25"/>
        </w:rPr>
        <w:t> </w:t>
      </w:r>
      <w:r>
        <w:rPr/>
        <w:t>a</w:t>
      </w:r>
      <w:r>
        <w:rPr>
          <w:spacing w:val="25"/>
        </w:rPr>
        <w:t> </w:t>
      </w:r>
      <w:r>
        <w:rPr/>
        <w:t>position</w:t>
      </w:r>
      <w:r>
        <w:rPr>
          <w:spacing w:val="25"/>
        </w:rPr>
        <w:t> </w:t>
      </w:r>
      <w:r>
        <w:rPr/>
        <w:t>to</w:t>
      </w:r>
      <w:r>
        <w:rPr>
          <w:spacing w:val="25"/>
        </w:rPr>
        <w:t> </w:t>
      </w:r>
      <w:r>
        <w:rPr/>
        <w:t>make</w:t>
      </w:r>
      <w:r>
        <w:rPr>
          <w:spacing w:val="25"/>
        </w:rPr>
        <w:t> </w:t>
      </w:r>
      <w:r>
        <w:rPr/>
        <w:t>restitutio</w:t>
      </w:r>
      <w:r>
        <w:rPr>
          <w:spacing w:val="25"/>
        </w:rPr>
        <w:t> </w:t>
      </w:r>
      <w:r>
        <w:rPr/>
        <w:t>in</w:t>
      </w:r>
      <w:r>
        <w:rPr>
          <w:spacing w:val="25"/>
        </w:rPr>
        <w:t> </w:t>
      </w:r>
      <w:r>
        <w:rPr/>
        <w:t>integrum,</w:t>
      </w:r>
      <w:r>
        <w:rPr>
          <w:spacing w:val="25"/>
        </w:rPr>
        <w:t> </w:t>
      </w:r>
      <w:r>
        <w:rPr>
          <w:spacing w:val="-5"/>
        </w:rPr>
        <w:t>the</w:t>
      </w:r>
    </w:p>
    <w:p>
      <w:pPr>
        <w:pStyle w:val="BodyText"/>
        <w:spacing w:after="0"/>
        <w:jc w:val="both"/>
        <w:sectPr>
          <w:pgSz w:w="11900" w:h="16840"/>
          <w:pgMar w:header="971" w:footer="0" w:top="1160" w:bottom="280" w:left="1275" w:right="1275"/>
        </w:sectPr>
      </w:pPr>
    </w:p>
    <w:p>
      <w:pPr>
        <w:pStyle w:val="BodyText"/>
        <w:spacing w:before="124"/>
      </w:pPr>
    </w:p>
    <w:p>
      <w:pPr>
        <w:pStyle w:val="BodyText"/>
        <w:spacing w:line="235" w:lineRule="auto" w:before="1"/>
        <w:ind w:left="165" w:right="167"/>
        <w:jc w:val="both"/>
      </w:pPr>
      <w:r>
        <w:rPr/>
        <w:t>present position seems to be that he may expect the restoration of benefits and resumption </w:t>
      </w:r>
      <w:r>
        <w:rPr/>
        <w:t>of</w:t>
      </w:r>
      <w:r>
        <w:rPr>
          <w:spacing w:val="40"/>
        </w:rPr>
        <w:t> </w:t>
      </w:r>
      <w:r>
        <w:rPr/>
        <w:t>burdens which have passed under the contract. Thus, if property has been delivered, it must be restored, and the claimant likewise must make restitution of any property delivered to him; and if obligations have passed to the claimant, these must be resumed by the defendant so that the restoration of the status quo ante may be achieved. In practical terms this means that the defendant must indemnify the claimant against obligations which he has discharged or will become liable to discharge. One problem arises: how is the rule requiring the defendant to indemnify the claimant for obligations assumed by him reconciled with the rule that damages cannot be recovered for an innocent misrepresentation which has not become a term of the contract? The traditional answer has been that the defendant must indemnify the claimant against obligations necessarily created by the contract, i.e. against liabilities to third parties which the contract required the claimant to incur or </w:t>
      </w:r>
      <w:bookmarkStart w:name="_bookmark1101" w:id="1103"/>
      <w:bookmarkEnd w:id="1103"/>
      <w:r>
        <w:rPr/>
        <w:t>payments</w:t>
      </w:r>
      <w:r>
        <w:rPr/>
        <w:t> to third parties which it required him to make, but against these only. Thus the court is enabled to stop short of making an award which could be classified as damages. </w:t>
      </w:r>
      <w:r>
        <w:rPr>
          <w:color w:val="005DA1"/>
          <w:u w:val="single" w:color="005DA1"/>
          <w:vertAlign w:val="superscript"/>
        </w:rPr>
        <w:t>599</w:t>
      </w:r>
    </w:p>
    <w:p>
      <w:pPr>
        <w:pStyle w:val="BodyText"/>
        <w:spacing w:before="76"/>
      </w:pPr>
    </w:p>
    <w:p>
      <w:pPr>
        <w:pStyle w:val="Heading2"/>
      </w:pPr>
      <w:r>
        <w:rPr/>
        <w:t>7-</w:t>
      </w:r>
      <w:r>
        <w:rPr>
          <w:spacing w:val="-5"/>
        </w:rPr>
        <w:t>130</w:t>
      </w:r>
    </w:p>
    <w:p>
      <w:pPr>
        <w:pStyle w:val="BodyText"/>
        <w:spacing w:line="235" w:lineRule="auto" w:before="203"/>
        <w:ind w:left="165" w:right="167"/>
        <w:jc w:val="both"/>
      </w:pPr>
      <w:bookmarkStart w:name="_bookmark1102" w:id="1104"/>
      <w:bookmarkEnd w:id="1104"/>
      <w:r>
        <w:rPr/>
      </w:r>
      <w:r>
        <w:rPr/>
        <w:t>The practical operation of the distinction between indemnity and damages is illustrated by</w:t>
      </w:r>
      <w:r>
        <w:rPr>
          <w:spacing w:val="-1"/>
        </w:rPr>
        <w:t> </w:t>
      </w:r>
      <w:r>
        <w:rPr>
          <w:rFonts w:ascii="Arial" w:hAnsi="Arial"/>
          <w:i/>
        </w:rPr>
        <w:t>Whittington v Seale-Hayne</w:t>
      </w:r>
      <w:r>
        <w:rPr/>
        <w:t>. </w:t>
      </w:r>
      <w:r>
        <w:rPr>
          <w:color w:val="005DA1"/>
          <w:u w:val="single" w:color="005DA1"/>
          <w:vertAlign w:val="superscript"/>
        </w:rPr>
        <w:t>600</w:t>
      </w:r>
      <w:r>
        <w:rPr>
          <w:color w:val="005DA1"/>
          <w:vertAlign w:val="baseline"/>
        </w:rPr>
        <w:t> </w:t>
      </w:r>
      <w:r>
        <w:rPr>
          <w:vertAlign w:val="baseline"/>
        </w:rPr>
        <w:t>The plaintiffs took a lease of certain premises on the strength of the defendant’s innocent misrepresentation that they were in a sanitary condition and they erected certain poultry sheds</w:t>
      </w:r>
      <w:r>
        <w:rPr>
          <w:spacing w:val="-1"/>
          <w:vertAlign w:val="baseline"/>
        </w:rPr>
        <w:t> </w:t>
      </w:r>
      <w:r>
        <w:rPr>
          <w:vertAlign w:val="baseline"/>
        </w:rPr>
        <w:t>thereon.</w:t>
      </w:r>
      <w:r>
        <w:rPr>
          <w:spacing w:val="-1"/>
          <w:vertAlign w:val="baseline"/>
        </w:rPr>
        <w:t> </w:t>
      </w:r>
      <w:r>
        <w:rPr>
          <w:vertAlign w:val="baseline"/>
        </w:rPr>
        <w:t>As</w:t>
      </w:r>
      <w:r>
        <w:rPr>
          <w:spacing w:val="-1"/>
          <w:vertAlign w:val="baseline"/>
        </w:rPr>
        <w:t> </w:t>
      </w:r>
      <w:r>
        <w:rPr>
          <w:vertAlign w:val="baseline"/>
        </w:rPr>
        <w:t>a</w:t>
      </w:r>
      <w:r>
        <w:rPr>
          <w:spacing w:val="-1"/>
          <w:vertAlign w:val="baseline"/>
        </w:rPr>
        <w:t> </w:t>
      </w:r>
      <w:r>
        <w:rPr>
          <w:vertAlign w:val="baseline"/>
        </w:rPr>
        <w:t>result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unsanitary</w:t>
      </w:r>
      <w:r>
        <w:rPr>
          <w:spacing w:val="-1"/>
          <w:vertAlign w:val="baseline"/>
        </w:rPr>
        <w:t> </w:t>
      </w:r>
      <w:r>
        <w:rPr>
          <w:vertAlign w:val="baseline"/>
        </w:rPr>
        <w:t>state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premises</w:t>
      </w:r>
      <w:r>
        <w:rPr>
          <w:spacing w:val="-1"/>
          <w:vertAlign w:val="baseline"/>
        </w:rPr>
        <w:t> </w:t>
      </w:r>
      <w:r>
        <w:rPr>
          <w:vertAlign w:val="baseline"/>
        </w:rPr>
        <w:t>the</w:t>
      </w:r>
      <w:r>
        <w:rPr>
          <w:spacing w:val="-1"/>
          <w:vertAlign w:val="baseline"/>
        </w:rPr>
        <w:t> </w:t>
      </w:r>
      <w:r>
        <w:rPr>
          <w:vertAlign w:val="baseline"/>
        </w:rPr>
        <w:t>manager</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plaintiffs’</w:t>
      </w:r>
      <w:r>
        <w:rPr>
          <w:spacing w:val="-1"/>
          <w:vertAlign w:val="baseline"/>
        </w:rPr>
        <w:t> </w:t>
      </w:r>
      <w:r>
        <w:rPr>
          <w:vertAlign w:val="baseline"/>
        </w:rPr>
        <w:t>poultry farm became ill, and the poultry died; the local council ordered the plaintiffs to renew the drains, and the plaintiffs were obliged to remove their sheds. In an action for rescission and for an indemnity against the consequences of having entered into the contract, it was held that the plaintiffs were entitled to an indemnity against the obligations to pay rates and to effect repairs, for these were necessarily assumed under the contract. But they were not entitled to recover anything in respect of medical expenses or loss of poultry, or the removal of the sheds, for these were in effect claims for damages, and therefore not admissible in an action based on innocent misrepresentation.</w:t>
      </w:r>
    </w:p>
    <w:p>
      <w:pPr>
        <w:pStyle w:val="BodyText"/>
      </w:pPr>
    </w:p>
    <w:p>
      <w:pPr>
        <w:pStyle w:val="BodyText"/>
        <w:spacing w:before="35"/>
      </w:pPr>
      <w:r>
        <w:rPr/>
        <mc:AlternateContent>
          <mc:Choice Requires="wps">
            <w:drawing>
              <wp:anchor distT="0" distB="0" distL="0" distR="0" allowOverlap="1" layoutInCell="1" locked="0" behindDoc="1" simplePos="0" relativeHeight="487635456">
                <wp:simplePos x="0" y="0"/>
                <wp:positionH relativeFrom="page">
                  <wp:posOffset>914400</wp:posOffset>
                </wp:positionH>
                <wp:positionV relativeFrom="paragraph">
                  <wp:posOffset>183994</wp:posOffset>
                </wp:positionV>
                <wp:extent cx="5724525" cy="1270"/>
                <wp:effectExtent l="0" t="0" r="0" b="0"/>
                <wp:wrapTopAndBottom/>
                <wp:docPr id="199" name="Graphic 199"/>
                <wp:cNvGraphicFramePr>
                  <a:graphicFrameLocks/>
                </wp:cNvGraphicFramePr>
                <a:graphic>
                  <a:graphicData uri="http://schemas.microsoft.com/office/word/2010/wordprocessingShape">
                    <wps:wsp>
                      <wps:cNvPr id="199" name="Graphic 19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87758pt;width:450.75pt;height:.1pt;mso-position-horizontal-relative:page;mso-position-vertical-relative:paragraph;z-index:-15681024;mso-wrap-distance-left:0;mso-wrap-distance-right:0" id="docshape20" coordorigin="1440,290" coordsize="9015,0" path="m1440,290l10454,290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3910656">
                <wp:simplePos x="0" y="0"/>
                <wp:positionH relativeFrom="page">
                  <wp:posOffset>914400</wp:posOffset>
                </wp:positionH>
                <wp:positionV relativeFrom="paragraph">
                  <wp:posOffset>94576</wp:posOffset>
                </wp:positionV>
                <wp:extent cx="49530"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05824" from="72pt,7.446977pt" to="75.892pt,7.446977pt" stroked="true" strokeweight=".5pt" strokecolor="#005da1">
                <v:stroke dashstyle="solid"/>
                <w10:wrap type="none"/>
              </v:line>
            </w:pict>
          </mc:Fallback>
        </mc:AlternateContent>
      </w:r>
      <w:hyperlink w:history="true" w:anchor="_bookmark1576">
        <w:r>
          <w:rPr>
            <w:color w:val="005DA1"/>
            <w:spacing w:val="-6"/>
            <w:position w:val="5"/>
            <w:sz w:val="14"/>
          </w:rPr>
          <w:t>1</w:t>
        </w:r>
      </w:hyperlink>
      <w:r>
        <w:rPr>
          <w:spacing w:val="-6"/>
          <w:position w:val="5"/>
          <w:sz w:val="14"/>
        </w:rPr>
        <w:t>.</w:t>
      </w:r>
      <w:r>
        <w:rPr>
          <w:position w:val="5"/>
          <w:sz w:val="14"/>
        </w:rPr>
        <w:tab/>
      </w:r>
      <w:r>
        <w:rPr>
          <w:sz w:val="20"/>
        </w:rPr>
        <w:t>See Allen, </w:t>
      </w:r>
      <w:r>
        <w:rPr>
          <w:rFonts w:ascii="Arial"/>
          <w:i/>
          <w:sz w:val="20"/>
        </w:rPr>
        <w:t>Misrepresentation </w:t>
      </w:r>
      <w:r>
        <w:rPr>
          <w:sz w:val="20"/>
        </w:rPr>
        <w:t>(1988); Cartwright, </w:t>
      </w:r>
      <w:r>
        <w:rPr>
          <w:rFonts w:ascii="Arial"/>
          <w:i/>
          <w:sz w:val="20"/>
        </w:rPr>
        <w:t>Unequal Bargaining </w:t>
      </w:r>
      <w:r>
        <w:rPr>
          <w:sz w:val="20"/>
        </w:rPr>
        <w:t>(1991), Ch.3; </w:t>
      </w:r>
      <w:r>
        <w:rPr>
          <w:sz w:val="20"/>
        </w:rPr>
        <w:t>Cartwright, Misrepresentation, Mistake and Non-disclosure, 4th edn (2016); Spencer Bower and Handley, </w:t>
      </w:r>
      <w:r>
        <w:rPr>
          <w:rFonts w:ascii="Arial"/>
          <w:i/>
          <w:sz w:val="20"/>
        </w:rPr>
        <w:t>Actionable Misrepresentation</w:t>
      </w:r>
      <w:r>
        <w:rPr>
          <w:sz w:val="20"/>
        </w:rPr>
        <w:t>, 5th edn (2014).</w:t>
      </w:r>
    </w:p>
    <w:p>
      <w:pPr>
        <w:pStyle w:val="BodyText"/>
        <w:spacing w:before="5"/>
      </w:pPr>
    </w:p>
    <w:p>
      <w:pPr>
        <w:tabs>
          <w:tab w:pos="705" w:val="left" w:leader="none"/>
        </w:tabs>
        <w:spacing w:before="0"/>
        <w:ind w:left="165" w:right="0" w:firstLine="0"/>
        <w:jc w:val="left"/>
        <w:rPr>
          <w:sz w:val="20"/>
        </w:rPr>
      </w:pPr>
      <w:bookmarkStart w:name="_bookmark1103" w:id="1105"/>
      <w:bookmarkEnd w:id="1105"/>
      <w:r>
        <w:rPr/>
      </w:r>
      <w:hyperlink w:history="true" w:anchor="_bookmark1065">
        <w:r>
          <w:rPr>
            <w:color w:val="005DA1"/>
            <w:spacing w:val="-4"/>
            <w:position w:val="5"/>
            <w:sz w:val="14"/>
            <w:u w:val="single" w:color="005DA1"/>
          </w:rPr>
          <w:t>561</w:t>
        </w:r>
      </w:hyperlink>
      <w:r>
        <w:rPr>
          <w:spacing w:val="-4"/>
          <w:position w:val="5"/>
          <w:sz w:val="14"/>
        </w:rPr>
        <w:t>.</w:t>
      </w:r>
      <w:r>
        <w:rPr>
          <w:position w:val="5"/>
          <w:sz w:val="14"/>
        </w:rPr>
        <w:tab/>
      </w:r>
      <w:r>
        <w:rPr>
          <w:rFonts w:ascii="Arial"/>
          <w:i/>
          <w:sz w:val="20"/>
        </w:rPr>
        <w:t>(1886) 34 Ch. D. 582, </w:t>
      </w:r>
      <w:r>
        <w:rPr>
          <w:rFonts w:ascii="Arial"/>
          <w:i/>
          <w:spacing w:val="-4"/>
          <w:sz w:val="20"/>
        </w:rPr>
        <w:t>595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104" w:id="1106"/>
      <w:bookmarkEnd w:id="1106"/>
      <w:r>
        <w:rPr/>
      </w:r>
      <w:hyperlink w:history="true" w:anchor="_bookmark1066">
        <w:r>
          <w:rPr>
            <w:color w:val="005DA1"/>
            <w:spacing w:val="-4"/>
            <w:position w:val="5"/>
            <w:sz w:val="14"/>
            <w:u w:val="single" w:color="005DA1"/>
          </w:rPr>
          <w:t>562</w:t>
        </w:r>
      </w:hyperlink>
      <w:r>
        <w:rPr>
          <w:spacing w:val="-4"/>
          <w:position w:val="5"/>
          <w:sz w:val="14"/>
        </w:rPr>
        <w:t>.</w:t>
      </w:r>
      <w:r>
        <w:rPr>
          <w:position w:val="5"/>
          <w:sz w:val="14"/>
        </w:rPr>
        <w:tab/>
      </w:r>
      <w:r>
        <w:rPr>
          <w:rFonts w:ascii="Arial"/>
          <w:i/>
          <w:sz w:val="20"/>
        </w:rPr>
        <w:t>(1858) E.B. &amp; E. 148, </w:t>
      </w:r>
      <w:r>
        <w:rPr>
          <w:rFonts w:ascii="Arial"/>
          <w:i/>
          <w:spacing w:val="-4"/>
          <w:sz w:val="20"/>
        </w:rPr>
        <w:t>154</w:t>
      </w:r>
      <w:r>
        <w:rPr>
          <w:spacing w:val="-4"/>
          <w:sz w:val="20"/>
        </w:rPr>
        <w:t>.</w:t>
      </w:r>
    </w:p>
    <w:p>
      <w:pPr>
        <w:pStyle w:val="BodyText"/>
        <w:spacing w:before="9"/>
      </w:pPr>
    </w:p>
    <w:p>
      <w:pPr>
        <w:spacing w:line="235" w:lineRule="auto" w:before="0"/>
        <w:ind w:left="705" w:right="167" w:hanging="541"/>
        <w:jc w:val="both"/>
        <w:rPr>
          <w:sz w:val="20"/>
        </w:rPr>
      </w:pPr>
      <w:bookmarkStart w:name="_bookmark1105" w:id="1107"/>
      <w:bookmarkEnd w:id="1107"/>
      <w:r>
        <w:rPr/>
      </w:r>
      <w:hyperlink w:history="true" w:anchor="_bookmark1067">
        <w:r>
          <w:rPr>
            <w:color w:val="005DA1"/>
            <w:position w:val="5"/>
            <w:sz w:val="14"/>
            <w:u w:val="single" w:color="005DA1"/>
          </w:rPr>
          <w:t>563</w:t>
        </w:r>
      </w:hyperlink>
      <w:r>
        <w:rPr>
          <w:position w:val="5"/>
          <w:sz w:val="14"/>
        </w:rPr>
        <w:t>.</w:t>
      </w:r>
      <w:r>
        <w:rPr>
          <w:spacing w:val="80"/>
          <w:w w:val="150"/>
          <w:position w:val="5"/>
          <w:sz w:val="14"/>
        </w:rPr>
        <w:t> </w:t>
      </w:r>
      <w:r>
        <w:rPr>
          <w:sz w:val="20"/>
        </w:rPr>
        <w:t>But note that fraud may be used as a defence to specific performance even when restitutio </w:t>
      </w:r>
      <w:r>
        <w:rPr>
          <w:sz w:val="20"/>
        </w:rPr>
        <w:t>in integrum is impossible: </w:t>
      </w:r>
      <w:r>
        <w:rPr>
          <w:rFonts w:ascii="Arial"/>
          <w:i/>
          <w:sz w:val="20"/>
        </w:rPr>
        <w:t>Geest Plc v Fyffes Plc [1999] 1 All E.R. (Comm) 672</w:t>
      </w:r>
      <w:r>
        <w:rPr>
          <w:sz w:val="20"/>
        </w:rPr>
        <w:t>. See above,</w:t>
      </w:r>
      <w:r>
        <w:rPr>
          <w:spacing w:val="40"/>
          <w:sz w:val="20"/>
        </w:rPr>
        <w:t> </w:t>
      </w:r>
      <w:r>
        <w:rPr>
          <w:spacing w:val="-2"/>
          <w:sz w:val="20"/>
        </w:rPr>
        <w:t>para.7-117.</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1106" w:id="1108"/>
      <w:bookmarkEnd w:id="1108"/>
      <w:r>
        <w:rPr/>
      </w:r>
      <w:hyperlink w:history="true" w:anchor="_bookmark1068">
        <w:r>
          <w:rPr>
            <w:color w:val="005DA1"/>
            <w:spacing w:val="-4"/>
            <w:position w:val="5"/>
            <w:sz w:val="14"/>
            <w:u w:val="single" w:color="005DA1"/>
          </w:rPr>
          <w:t>564</w:t>
        </w:r>
      </w:hyperlink>
      <w:r>
        <w:rPr>
          <w:spacing w:val="-4"/>
          <w:position w:val="5"/>
          <w:sz w:val="14"/>
        </w:rPr>
        <w:t>.</w:t>
      </w:r>
      <w:r>
        <w:rPr>
          <w:position w:val="5"/>
          <w:sz w:val="14"/>
        </w:rPr>
        <w:tab/>
      </w:r>
      <w:r>
        <w:rPr>
          <w:rFonts w:ascii="Arial" w:hAnsi="Arial"/>
          <w:i/>
          <w:sz w:val="20"/>
        </w:rPr>
        <w:t>(1878)</w:t>
      </w:r>
      <w:r>
        <w:rPr>
          <w:rFonts w:ascii="Arial" w:hAnsi="Arial"/>
          <w:i/>
          <w:spacing w:val="19"/>
          <w:sz w:val="20"/>
        </w:rPr>
        <w:t> </w:t>
      </w:r>
      <w:r>
        <w:rPr>
          <w:rFonts w:ascii="Arial" w:hAnsi="Arial"/>
          <w:i/>
          <w:sz w:val="20"/>
        </w:rPr>
        <w:t>3</w:t>
      </w:r>
      <w:r>
        <w:rPr>
          <w:rFonts w:ascii="Arial" w:hAnsi="Arial"/>
          <w:i/>
          <w:spacing w:val="22"/>
          <w:sz w:val="20"/>
        </w:rPr>
        <w:t> </w:t>
      </w:r>
      <w:r>
        <w:rPr>
          <w:rFonts w:ascii="Arial" w:hAnsi="Arial"/>
          <w:i/>
          <w:sz w:val="20"/>
        </w:rPr>
        <w:t>App.</w:t>
      </w:r>
      <w:r>
        <w:rPr>
          <w:rFonts w:ascii="Arial" w:hAnsi="Arial"/>
          <w:i/>
          <w:spacing w:val="22"/>
          <w:sz w:val="20"/>
        </w:rPr>
        <w:t> </w:t>
      </w:r>
      <w:r>
        <w:rPr>
          <w:rFonts w:ascii="Arial" w:hAnsi="Arial"/>
          <w:i/>
          <w:sz w:val="20"/>
        </w:rPr>
        <w:t>Cas.</w:t>
      </w:r>
      <w:r>
        <w:rPr>
          <w:rFonts w:ascii="Arial" w:hAnsi="Arial"/>
          <w:i/>
          <w:spacing w:val="22"/>
          <w:sz w:val="20"/>
        </w:rPr>
        <w:t> </w:t>
      </w:r>
      <w:r>
        <w:rPr>
          <w:rFonts w:ascii="Arial" w:hAnsi="Arial"/>
          <w:i/>
          <w:sz w:val="20"/>
        </w:rPr>
        <w:t>1218,</w:t>
      </w:r>
      <w:r>
        <w:rPr>
          <w:rFonts w:ascii="Arial" w:hAnsi="Arial"/>
          <w:i/>
          <w:spacing w:val="22"/>
          <w:sz w:val="20"/>
        </w:rPr>
        <w:t> </w:t>
      </w:r>
      <w:r>
        <w:rPr>
          <w:rFonts w:ascii="Arial" w:hAnsi="Arial"/>
          <w:i/>
          <w:sz w:val="20"/>
        </w:rPr>
        <w:t>1278–1279</w:t>
      </w:r>
      <w:r>
        <w:rPr>
          <w:sz w:val="20"/>
        </w:rPr>
        <w:t>.</w:t>
      </w:r>
      <w:r>
        <w:rPr>
          <w:spacing w:val="22"/>
          <w:sz w:val="20"/>
        </w:rPr>
        <w:t> </w:t>
      </w:r>
      <w:r>
        <w:rPr>
          <w:sz w:val="20"/>
        </w:rPr>
        <w:t>See</w:t>
      </w:r>
      <w:r>
        <w:rPr>
          <w:spacing w:val="22"/>
          <w:sz w:val="20"/>
        </w:rPr>
        <w:t> </w:t>
      </w:r>
      <w:r>
        <w:rPr>
          <w:sz w:val="20"/>
        </w:rPr>
        <w:t>also</w:t>
      </w:r>
      <w:r>
        <w:rPr>
          <w:spacing w:val="22"/>
          <w:sz w:val="20"/>
        </w:rPr>
        <w:t> </w:t>
      </w:r>
      <w:r>
        <w:rPr>
          <w:rFonts w:ascii="Arial" w:hAnsi="Arial"/>
          <w:i/>
          <w:sz w:val="20"/>
        </w:rPr>
        <w:t>O’Sullivan</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Management</w:t>
      </w:r>
      <w:r>
        <w:rPr>
          <w:rFonts w:ascii="Arial" w:hAnsi="Arial"/>
          <w:i/>
          <w:spacing w:val="22"/>
          <w:sz w:val="20"/>
        </w:rPr>
        <w:t> </w:t>
      </w:r>
      <w:r>
        <w:rPr>
          <w:rFonts w:ascii="Arial" w:hAnsi="Arial"/>
          <w:i/>
          <w:sz w:val="20"/>
        </w:rPr>
        <w:t>Agency</w:t>
      </w:r>
      <w:r>
        <w:rPr>
          <w:rFonts w:ascii="Arial" w:hAnsi="Arial"/>
          <w:i/>
          <w:spacing w:val="22"/>
          <w:sz w:val="20"/>
        </w:rPr>
        <w:t> </w:t>
      </w:r>
      <w:r>
        <w:rPr>
          <w:rFonts w:ascii="Arial" w:hAnsi="Arial"/>
          <w:i/>
          <w:sz w:val="20"/>
        </w:rPr>
        <w:t>Ltd</w:t>
      </w:r>
      <w:r>
        <w:rPr>
          <w:rFonts w:ascii="Arial" w:hAnsi="Arial"/>
          <w:i/>
          <w:spacing w:val="22"/>
          <w:sz w:val="20"/>
        </w:rPr>
        <w:t> </w:t>
      </w:r>
      <w:r>
        <w:rPr>
          <w:rFonts w:ascii="Arial" w:hAnsi="Arial"/>
          <w:i/>
          <w:spacing w:val="-2"/>
          <w:sz w:val="20"/>
        </w:rPr>
        <w:t>[1985]</w:t>
      </w:r>
    </w:p>
    <w:p>
      <w:pPr>
        <w:spacing w:line="227" w:lineRule="exact" w:before="0"/>
        <w:ind w:left="705" w:right="0" w:firstLine="0"/>
        <w:jc w:val="left"/>
        <w:rPr>
          <w:sz w:val="20"/>
        </w:rPr>
      </w:pPr>
      <w:r>
        <w:rPr>
          <w:rFonts w:ascii="Arial"/>
          <w:i/>
          <w:sz w:val="20"/>
        </w:rPr>
        <w:t>Q.B. 428</w:t>
      </w:r>
      <w:r>
        <w:rPr>
          <w:sz w:val="20"/>
        </w:rPr>
        <w:t>, below, para.8-</w:t>
      </w:r>
      <w:r>
        <w:rPr>
          <w:spacing w:val="-4"/>
          <w:sz w:val="20"/>
        </w:rPr>
        <w:t>104.</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77280">
            <wp:simplePos x="0" y="0"/>
            <wp:positionH relativeFrom="page">
              <wp:posOffset>1257846</wp:posOffset>
            </wp:positionH>
            <wp:positionV relativeFrom="paragraph">
              <wp:posOffset>160199</wp:posOffset>
            </wp:positionV>
            <wp:extent cx="107988" cy="107988"/>
            <wp:effectExtent l="0" t="0" r="0" b="0"/>
            <wp:wrapNone/>
            <wp:docPr id="201" name="Image 201"/>
            <wp:cNvGraphicFramePr>
              <a:graphicFrameLocks/>
            </wp:cNvGraphicFramePr>
            <a:graphic>
              <a:graphicData uri="http://schemas.openxmlformats.org/drawingml/2006/picture">
                <pic:pic>
                  <pic:nvPicPr>
                    <pic:cNvPr id="201" name="Image 20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107" w:id="1109"/>
      <w:bookmarkEnd w:id="1109"/>
      <w:r>
        <w:rPr/>
      </w:r>
      <w:hyperlink w:history="true" w:anchor="_bookmark1069">
        <w:r>
          <w:rPr>
            <w:color w:val="005DA1"/>
            <w:spacing w:val="-4"/>
            <w:sz w:val="14"/>
            <w:u w:val="single" w:color="005DA1"/>
          </w:rPr>
          <w:t>565</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Salt v Stratstone Specialist Ltd [2015] EWCA Civ 745 </w:t>
      </w:r>
      <w:r>
        <w:rPr>
          <w:sz w:val="20"/>
        </w:rPr>
        <w:t>(buyer of car could rescind despite depreciation and intermittent enjoyment). In </w:t>
      </w:r>
      <w:r>
        <w:rPr>
          <w:rFonts w:ascii="Arial" w:hAnsi="Arial"/>
          <w:i/>
          <w:sz w:val="20"/>
        </w:rPr>
        <w:t>Smith New Court Securities Ltd v </w:t>
      </w:r>
      <w:r>
        <w:rPr>
          <w:rFonts w:ascii="Arial" w:hAnsi="Arial"/>
          <w:i/>
          <w:sz w:val="20"/>
        </w:rPr>
        <w:t>Scrimgeour Vickers (Asset Management) Ltd </w:t>
      </w:r>
      <w:r>
        <w:rPr>
          <w:sz w:val="20"/>
        </w:rPr>
        <w:t>in the Court of Appeal it had been accepted that rescission was no longer possible because the plaintiffs had disposed of the shares they had brought. Nourse L.J. referred to this rule as harsh in relation to fungible assets: </w:t>
      </w:r>
      <w:r>
        <w:rPr>
          <w:rFonts w:ascii="Arial" w:hAnsi="Arial"/>
          <w:i/>
          <w:sz w:val="20"/>
        </w:rPr>
        <w:t>[1994] 1 W.L.R. 1271, 1280</w:t>
      </w:r>
      <w:r>
        <w:rPr>
          <w:sz w:val="20"/>
        </w:rPr>
        <w:t>. In the House of Lords, Lord Browne-Wilkinson remarked that, if a sale of shares cannot be rescinded once the specific shares purchased have been sold, “the law will need to be looked at closely hereafter”: </w:t>
      </w:r>
      <w:r>
        <w:rPr>
          <w:rFonts w:ascii="Arial" w:hAnsi="Arial"/>
          <w:i/>
          <w:sz w:val="20"/>
        </w:rPr>
        <w:t>[1997] A.C. 254, 262</w:t>
      </w:r>
      <w:r>
        <w:rPr>
          <w:sz w:val="20"/>
        </w:rPr>
        <w:t>. See Halson [1997] R.L.R. 89. A claimant is not entitled to recover the price paid to the defendant for shares if the claimant is able to return the shares to the defendant but is merely unwilling to do so: </w:t>
      </w:r>
      <w:r>
        <w:rPr>
          <w:rFonts w:ascii="Arial" w:hAnsi="Arial"/>
          <w:i/>
          <w:sz w:val="20"/>
        </w:rPr>
        <w:t>Gamatronic (UK) Ltd v Hamilton [2016] EWHC 2225 (QB) </w:t>
      </w:r>
      <w:r>
        <w:rPr>
          <w:sz w:val="20"/>
        </w:rPr>
        <w:t>at [218]; to pay the value of the shares to the defendant instead of returning them would not put the parties back into their original position or anywhere near it (at </w:t>
      </w:r>
      <w:r>
        <w:rPr>
          <w:spacing w:val="-2"/>
          <w:sz w:val="20"/>
        </w:rPr>
        <w:t>[219]).</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84"/>
      </w:pPr>
    </w:p>
    <w:p>
      <w:pPr>
        <w:tabs>
          <w:tab w:pos="705" w:val="left" w:leader="none"/>
        </w:tabs>
        <w:spacing w:line="235" w:lineRule="auto" w:before="1"/>
        <w:ind w:left="705" w:right="168" w:hanging="541"/>
        <w:jc w:val="left"/>
        <w:rPr>
          <w:sz w:val="20"/>
        </w:rPr>
      </w:pPr>
      <w:hyperlink w:history="true" w:anchor="_bookmark1070">
        <w:r>
          <w:rPr>
            <w:color w:val="005DA1"/>
            <w:spacing w:val="-4"/>
            <w:position w:val="5"/>
            <w:sz w:val="14"/>
            <w:u w:val="single" w:color="005DA1"/>
          </w:rPr>
          <w:t>566</w:t>
        </w:r>
      </w:hyperlink>
      <w:r>
        <w:rPr>
          <w:spacing w:val="-4"/>
          <w:position w:val="5"/>
          <w:sz w:val="14"/>
        </w:rPr>
        <w:t>.</w:t>
      </w:r>
      <w:r>
        <w:rPr>
          <w:position w:val="5"/>
          <w:sz w:val="14"/>
        </w:rPr>
        <w:tab/>
      </w:r>
      <w:r>
        <w:rPr>
          <w:rFonts w:ascii="Arial" w:hAnsi="Arial"/>
          <w:i/>
          <w:sz w:val="20"/>
        </w:rPr>
        <w:t>Atlantic</w:t>
      </w:r>
      <w:r>
        <w:rPr>
          <w:rFonts w:ascii="Arial" w:hAnsi="Arial"/>
          <w:i/>
          <w:spacing w:val="24"/>
          <w:sz w:val="20"/>
        </w:rPr>
        <w:t> </w:t>
      </w:r>
      <w:r>
        <w:rPr>
          <w:rFonts w:ascii="Arial" w:hAnsi="Arial"/>
          <w:i/>
          <w:sz w:val="20"/>
        </w:rPr>
        <w:t>Lines</w:t>
      </w:r>
      <w:r>
        <w:rPr>
          <w:rFonts w:ascii="Arial" w:hAnsi="Arial"/>
          <w:i/>
          <w:spacing w:val="24"/>
          <w:sz w:val="20"/>
        </w:rPr>
        <w:t> </w:t>
      </w:r>
      <w:r>
        <w:rPr>
          <w:rFonts w:ascii="Arial" w:hAnsi="Arial"/>
          <w:i/>
          <w:sz w:val="20"/>
        </w:rPr>
        <w:t>&amp;</w:t>
      </w:r>
      <w:r>
        <w:rPr>
          <w:rFonts w:ascii="Arial" w:hAnsi="Arial"/>
          <w:i/>
          <w:spacing w:val="24"/>
          <w:sz w:val="20"/>
        </w:rPr>
        <w:t> </w:t>
      </w:r>
      <w:r>
        <w:rPr>
          <w:rFonts w:ascii="Arial" w:hAnsi="Arial"/>
          <w:i/>
          <w:sz w:val="20"/>
        </w:rPr>
        <w:t>Navigation</w:t>
      </w:r>
      <w:r>
        <w:rPr>
          <w:rFonts w:ascii="Arial" w:hAnsi="Arial"/>
          <w:i/>
          <w:spacing w:val="24"/>
          <w:sz w:val="20"/>
        </w:rPr>
        <w:t> </w:t>
      </w:r>
      <w:r>
        <w:rPr>
          <w:rFonts w:ascii="Arial" w:hAnsi="Arial"/>
          <w:i/>
          <w:sz w:val="20"/>
        </w:rPr>
        <w:t>Co</w:t>
      </w:r>
      <w:r>
        <w:rPr>
          <w:rFonts w:ascii="Arial" w:hAnsi="Arial"/>
          <w:i/>
          <w:spacing w:val="24"/>
          <w:sz w:val="20"/>
        </w:rPr>
        <w:t> </w:t>
      </w:r>
      <w:r>
        <w:rPr>
          <w:rFonts w:ascii="Arial" w:hAnsi="Arial"/>
          <w:i/>
          <w:sz w:val="20"/>
        </w:rPr>
        <w:t>Inc</w:t>
      </w:r>
      <w:r>
        <w:rPr>
          <w:rFonts w:ascii="Arial" w:hAnsi="Arial"/>
          <w:i/>
          <w:spacing w:val="24"/>
          <w:sz w:val="20"/>
        </w:rPr>
        <w:t> </w:t>
      </w:r>
      <w:r>
        <w:rPr>
          <w:rFonts w:ascii="Arial" w:hAnsi="Arial"/>
          <w:i/>
          <w:sz w:val="20"/>
        </w:rPr>
        <w:t>v</w:t>
      </w:r>
      <w:r>
        <w:rPr>
          <w:rFonts w:ascii="Arial" w:hAnsi="Arial"/>
          <w:i/>
          <w:spacing w:val="24"/>
          <w:sz w:val="20"/>
        </w:rPr>
        <w:t> </w:t>
      </w:r>
      <w:r>
        <w:rPr>
          <w:rFonts w:ascii="Arial" w:hAnsi="Arial"/>
          <w:i/>
          <w:sz w:val="20"/>
        </w:rPr>
        <w:t>Hallam</w:t>
      </w:r>
      <w:r>
        <w:rPr>
          <w:rFonts w:ascii="Arial" w:hAnsi="Arial"/>
          <w:i/>
          <w:spacing w:val="24"/>
          <w:sz w:val="20"/>
        </w:rPr>
        <w:t> </w:t>
      </w:r>
      <w:r>
        <w:rPr>
          <w:rFonts w:ascii="Arial" w:hAnsi="Arial"/>
          <w:i/>
          <w:sz w:val="20"/>
        </w:rPr>
        <w:t>Ltd</w:t>
      </w:r>
      <w:r>
        <w:rPr>
          <w:rFonts w:ascii="Arial" w:hAnsi="Arial"/>
          <w:i/>
          <w:spacing w:val="24"/>
          <w:sz w:val="20"/>
        </w:rPr>
        <w:t> </w:t>
      </w:r>
      <w:r>
        <w:rPr>
          <w:rFonts w:ascii="Arial" w:hAnsi="Arial"/>
          <w:i/>
          <w:sz w:val="20"/>
        </w:rPr>
        <w:t>[1983]</w:t>
      </w:r>
      <w:r>
        <w:rPr>
          <w:rFonts w:ascii="Arial" w:hAnsi="Arial"/>
          <w:i/>
          <w:spacing w:val="24"/>
          <w:sz w:val="20"/>
        </w:rPr>
        <w:t> </w:t>
      </w:r>
      <w:r>
        <w:rPr>
          <w:rFonts w:ascii="Arial" w:hAnsi="Arial"/>
          <w:i/>
          <w:sz w:val="20"/>
        </w:rPr>
        <w:t>1</w:t>
      </w:r>
      <w:r>
        <w:rPr>
          <w:rFonts w:ascii="Arial" w:hAnsi="Arial"/>
          <w:i/>
          <w:spacing w:val="24"/>
          <w:sz w:val="20"/>
        </w:rPr>
        <w:t> </w:t>
      </w:r>
      <w:r>
        <w:rPr>
          <w:rFonts w:ascii="Arial" w:hAnsi="Arial"/>
          <w:i/>
          <w:sz w:val="20"/>
        </w:rPr>
        <w:t>Lloyd’s</w:t>
      </w:r>
      <w:r>
        <w:rPr>
          <w:rFonts w:ascii="Arial" w:hAnsi="Arial"/>
          <w:i/>
          <w:spacing w:val="24"/>
          <w:sz w:val="20"/>
        </w:rPr>
        <w:t> </w:t>
      </w:r>
      <w:r>
        <w:rPr>
          <w:rFonts w:ascii="Arial" w:hAnsi="Arial"/>
          <w:i/>
          <w:sz w:val="20"/>
        </w:rPr>
        <w:t>Rep.</w:t>
      </w:r>
      <w:r>
        <w:rPr>
          <w:rFonts w:ascii="Arial" w:hAnsi="Arial"/>
          <w:i/>
          <w:spacing w:val="24"/>
          <w:sz w:val="20"/>
        </w:rPr>
        <w:t> </w:t>
      </w:r>
      <w:r>
        <w:rPr>
          <w:rFonts w:ascii="Arial" w:hAnsi="Arial"/>
          <w:i/>
          <w:sz w:val="20"/>
        </w:rPr>
        <w:t>188,</w:t>
      </w:r>
      <w:r>
        <w:rPr>
          <w:rFonts w:ascii="Arial" w:hAnsi="Arial"/>
          <w:i/>
          <w:spacing w:val="24"/>
          <w:sz w:val="20"/>
        </w:rPr>
        <w:t> </w:t>
      </w:r>
      <w:r>
        <w:rPr>
          <w:rFonts w:ascii="Arial" w:hAnsi="Arial"/>
          <w:i/>
          <w:sz w:val="20"/>
        </w:rPr>
        <w:t>202</w:t>
      </w:r>
      <w:r>
        <w:rPr>
          <w:sz w:val="20"/>
        </w:rPr>
        <w:t>.</w:t>
      </w:r>
      <w:r>
        <w:rPr>
          <w:spacing w:val="24"/>
          <w:sz w:val="20"/>
        </w:rPr>
        <w:t> </w:t>
      </w:r>
      <w:r>
        <w:rPr>
          <w:sz w:val="20"/>
        </w:rPr>
        <w:t>See</w:t>
      </w:r>
      <w:r>
        <w:rPr>
          <w:spacing w:val="24"/>
          <w:sz w:val="20"/>
        </w:rPr>
        <w:t> </w:t>
      </w:r>
      <w:r>
        <w:rPr>
          <w:sz w:val="20"/>
        </w:rPr>
        <w:t>further below, para.7-127.</w:t>
      </w:r>
    </w:p>
    <w:p>
      <w:pPr>
        <w:pStyle w:val="BodyText"/>
        <w:spacing w:before="9"/>
      </w:pPr>
    </w:p>
    <w:p>
      <w:pPr>
        <w:spacing w:line="235" w:lineRule="auto" w:before="0"/>
        <w:ind w:left="705" w:right="167" w:hanging="541"/>
        <w:jc w:val="both"/>
        <w:rPr>
          <w:sz w:val="20"/>
        </w:rPr>
      </w:pPr>
      <w:bookmarkStart w:name="_bookmark1108" w:id="1110"/>
      <w:bookmarkEnd w:id="1110"/>
      <w:r>
        <w:rPr/>
      </w:r>
      <w:hyperlink w:history="true" w:anchor="_bookmark1071">
        <w:r>
          <w:rPr>
            <w:color w:val="005DA1"/>
            <w:position w:val="5"/>
            <w:sz w:val="14"/>
            <w:u w:val="single" w:color="005DA1"/>
          </w:rPr>
          <w:t>567</w:t>
        </w:r>
      </w:hyperlink>
      <w:r>
        <w:rPr>
          <w:position w:val="5"/>
          <w:sz w:val="14"/>
        </w:rPr>
        <w:t>.</w:t>
      </w:r>
      <w:r>
        <w:rPr>
          <w:spacing w:val="80"/>
          <w:position w:val="5"/>
          <w:sz w:val="14"/>
        </w:rPr>
        <w:t>  </w:t>
      </w:r>
      <w:r>
        <w:rPr>
          <w:rFonts w:ascii="Arial" w:hAnsi="Arial"/>
          <w:i/>
          <w:sz w:val="20"/>
        </w:rPr>
        <w:t>(1858) E.B. &amp; E. 148</w:t>
      </w:r>
      <w:r>
        <w:rPr>
          <w:sz w:val="20"/>
        </w:rPr>
        <w:t>. Some dicta in this case were disapproved in </w:t>
      </w:r>
      <w:r>
        <w:rPr>
          <w:rFonts w:ascii="Arial" w:hAnsi="Arial"/>
          <w:i/>
          <w:sz w:val="20"/>
        </w:rPr>
        <w:t>Armstrong v Jackson [1917]</w:t>
      </w:r>
      <w:r>
        <w:rPr>
          <w:rFonts w:ascii="Arial" w:hAnsi="Arial"/>
          <w:i/>
          <w:spacing w:val="40"/>
          <w:sz w:val="20"/>
        </w:rPr>
        <w:t> </w:t>
      </w:r>
      <w:r>
        <w:rPr>
          <w:rFonts w:ascii="Arial" w:hAnsi="Arial"/>
          <w:i/>
          <w:sz w:val="20"/>
        </w:rPr>
        <w:t>2 K.B. 822, 829</w:t>
      </w:r>
      <w:r>
        <w:rPr>
          <w:sz w:val="20"/>
        </w:rPr>
        <w:t>. A Name at Lloyd’s cannot rescind membership because the benefits received are not in their nature returnable: </w:t>
      </w:r>
      <w:r>
        <w:rPr>
          <w:rFonts w:ascii="Arial" w:hAnsi="Arial"/>
          <w:i/>
          <w:sz w:val="20"/>
        </w:rPr>
        <w:t>Lloyd’s of London v Leigh [1997] CA Transcript 1416</w:t>
      </w:r>
      <w:r>
        <w:rPr>
          <w:sz w:val="20"/>
        </w:rPr>
        <w:t>; </w:t>
      </w:r>
      <w:r>
        <w:rPr>
          <w:rFonts w:ascii="Arial" w:hAnsi="Arial"/>
          <w:i/>
          <w:sz w:val="20"/>
        </w:rPr>
        <w:t>Society of Lloyd’s v Khan [1998] 3 F.C.R. 93</w:t>
      </w:r>
      <w:r>
        <w:rPr>
          <w:sz w:val="20"/>
        </w:rPr>
        <w:t>.</w:t>
      </w:r>
    </w:p>
    <w:p>
      <w:pPr>
        <w:pStyle w:val="BodyText"/>
        <w:spacing w:before="4"/>
      </w:pPr>
    </w:p>
    <w:p>
      <w:pPr>
        <w:tabs>
          <w:tab w:pos="705" w:val="left" w:leader="none"/>
        </w:tabs>
        <w:spacing w:before="1"/>
        <w:ind w:left="165" w:right="0" w:firstLine="0"/>
        <w:jc w:val="left"/>
        <w:rPr>
          <w:sz w:val="20"/>
        </w:rPr>
      </w:pPr>
      <w:bookmarkStart w:name="_bookmark1109" w:id="1111"/>
      <w:bookmarkEnd w:id="1111"/>
      <w:r>
        <w:rPr/>
      </w:r>
      <w:hyperlink w:history="true" w:anchor="_bookmark1072">
        <w:r>
          <w:rPr>
            <w:color w:val="005DA1"/>
            <w:spacing w:val="-4"/>
            <w:position w:val="5"/>
            <w:sz w:val="14"/>
            <w:u w:val="single" w:color="005DA1"/>
          </w:rPr>
          <w:t>568</w:t>
        </w:r>
      </w:hyperlink>
      <w:r>
        <w:rPr>
          <w:spacing w:val="-4"/>
          <w:position w:val="5"/>
          <w:sz w:val="14"/>
        </w:rPr>
        <w:t>.</w:t>
      </w:r>
      <w:r>
        <w:rPr>
          <w:position w:val="5"/>
          <w:sz w:val="14"/>
        </w:rPr>
        <w:tab/>
      </w:r>
      <w:r>
        <w:rPr>
          <w:rFonts w:ascii="Arial"/>
          <w:i/>
          <w:sz w:val="20"/>
        </w:rPr>
        <w:t>Vigers v Pike (1842) 8 Cl. &amp; F. </w:t>
      </w:r>
      <w:r>
        <w:rPr>
          <w:rFonts w:ascii="Arial"/>
          <w:i/>
          <w:spacing w:val="-4"/>
          <w:sz w:val="20"/>
        </w:rPr>
        <w:t>562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110" w:id="1112"/>
      <w:bookmarkEnd w:id="1112"/>
      <w:r>
        <w:rPr/>
      </w:r>
      <w:hyperlink w:history="true" w:anchor="_bookmark1073">
        <w:r>
          <w:rPr>
            <w:color w:val="005DA1"/>
            <w:spacing w:val="-4"/>
            <w:position w:val="5"/>
            <w:sz w:val="14"/>
            <w:u w:val="single" w:color="005DA1"/>
          </w:rPr>
          <w:t>569</w:t>
        </w:r>
      </w:hyperlink>
      <w:r>
        <w:rPr>
          <w:spacing w:val="-4"/>
          <w:position w:val="5"/>
          <w:sz w:val="14"/>
        </w:rPr>
        <w:t>.</w:t>
      </w:r>
      <w:r>
        <w:rPr>
          <w:position w:val="5"/>
          <w:sz w:val="14"/>
        </w:rPr>
        <w:tab/>
      </w:r>
      <w:r>
        <w:rPr>
          <w:rFonts w:ascii="Arial" w:hAnsi="Arial"/>
          <w:i/>
          <w:sz w:val="20"/>
        </w:rPr>
        <w:t>Western</w:t>
      </w:r>
      <w:r>
        <w:rPr>
          <w:rFonts w:ascii="Arial" w:hAnsi="Arial"/>
          <w:i/>
          <w:spacing w:val="-2"/>
          <w:sz w:val="20"/>
        </w:rPr>
        <w:t> </w:t>
      </w:r>
      <w:r>
        <w:rPr>
          <w:rFonts w:ascii="Arial" w:hAnsi="Arial"/>
          <w:i/>
          <w:sz w:val="20"/>
        </w:rPr>
        <w:t>Bank of Scotland v Addie (1867) L.R. 1 Sc. &amp; Div. 145, </w:t>
      </w:r>
      <w:r>
        <w:rPr>
          <w:rFonts w:ascii="Arial" w:hAnsi="Arial"/>
          <w:i/>
          <w:spacing w:val="-2"/>
          <w:sz w:val="20"/>
        </w:rPr>
        <w:t>159–160</w:t>
      </w:r>
      <w:r>
        <w:rPr>
          <w:spacing w:val="-2"/>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1111" w:id="1113"/>
      <w:bookmarkEnd w:id="1113"/>
      <w:r>
        <w:rPr/>
      </w:r>
      <w:hyperlink w:history="true" w:anchor="_bookmark1074">
        <w:r>
          <w:rPr>
            <w:color w:val="005DA1"/>
            <w:spacing w:val="-4"/>
            <w:position w:val="5"/>
            <w:sz w:val="14"/>
            <w:u w:val="single" w:color="005DA1"/>
          </w:rPr>
          <w:t>570</w:t>
        </w:r>
      </w:hyperlink>
      <w:r>
        <w:rPr>
          <w:spacing w:val="-4"/>
          <w:position w:val="5"/>
          <w:sz w:val="14"/>
        </w:rPr>
        <w:t>.</w:t>
      </w:r>
      <w:r>
        <w:rPr>
          <w:position w:val="5"/>
          <w:sz w:val="14"/>
        </w:rPr>
        <w:tab/>
      </w:r>
      <w:r>
        <w:rPr>
          <w:rFonts w:ascii="Arial"/>
          <w:i/>
          <w:sz w:val="20"/>
        </w:rPr>
        <w:t>Sheffield</w:t>
      </w:r>
      <w:r>
        <w:rPr>
          <w:rFonts w:ascii="Arial"/>
          <w:i/>
          <w:spacing w:val="34"/>
          <w:sz w:val="20"/>
        </w:rPr>
        <w:t> </w:t>
      </w:r>
      <w:r>
        <w:rPr>
          <w:rFonts w:ascii="Arial"/>
          <w:i/>
          <w:sz w:val="20"/>
        </w:rPr>
        <w:t>Nickel</w:t>
      </w:r>
      <w:r>
        <w:rPr>
          <w:rFonts w:ascii="Arial"/>
          <w:i/>
          <w:spacing w:val="34"/>
          <w:sz w:val="20"/>
        </w:rPr>
        <w:t> </w:t>
      </w:r>
      <w:r>
        <w:rPr>
          <w:rFonts w:ascii="Arial"/>
          <w:i/>
          <w:sz w:val="20"/>
        </w:rPr>
        <w:t>Co</w:t>
      </w:r>
      <w:r>
        <w:rPr>
          <w:rFonts w:ascii="Arial"/>
          <w:i/>
          <w:spacing w:val="34"/>
          <w:sz w:val="20"/>
        </w:rPr>
        <w:t> </w:t>
      </w:r>
      <w:r>
        <w:rPr>
          <w:rFonts w:ascii="Arial"/>
          <w:i/>
          <w:sz w:val="20"/>
        </w:rPr>
        <w:t>v</w:t>
      </w:r>
      <w:r>
        <w:rPr>
          <w:rFonts w:ascii="Arial"/>
          <w:i/>
          <w:spacing w:val="34"/>
          <w:sz w:val="20"/>
        </w:rPr>
        <w:t> </w:t>
      </w:r>
      <w:r>
        <w:rPr>
          <w:rFonts w:ascii="Arial"/>
          <w:i/>
          <w:sz w:val="20"/>
        </w:rPr>
        <w:t>Unwin</w:t>
      </w:r>
      <w:r>
        <w:rPr>
          <w:rFonts w:ascii="Arial"/>
          <w:i/>
          <w:spacing w:val="34"/>
          <w:sz w:val="20"/>
        </w:rPr>
        <w:t> </w:t>
      </w:r>
      <w:r>
        <w:rPr>
          <w:rFonts w:ascii="Arial"/>
          <w:i/>
          <w:sz w:val="20"/>
        </w:rPr>
        <w:t>(1877)</w:t>
      </w:r>
      <w:r>
        <w:rPr>
          <w:rFonts w:ascii="Arial"/>
          <w:i/>
          <w:spacing w:val="34"/>
          <w:sz w:val="20"/>
        </w:rPr>
        <w:t> </w:t>
      </w:r>
      <w:r>
        <w:rPr>
          <w:rFonts w:ascii="Arial"/>
          <w:i/>
          <w:sz w:val="20"/>
        </w:rPr>
        <w:t>2</w:t>
      </w:r>
      <w:r>
        <w:rPr>
          <w:rFonts w:ascii="Arial"/>
          <w:i/>
          <w:spacing w:val="34"/>
          <w:sz w:val="20"/>
        </w:rPr>
        <w:t> </w:t>
      </w:r>
      <w:r>
        <w:rPr>
          <w:rFonts w:ascii="Arial"/>
          <w:i/>
          <w:sz w:val="20"/>
        </w:rPr>
        <w:t>Q.B.D.</w:t>
      </w:r>
      <w:r>
        <w:rPr>
          <w:rFonts w:ascii="Arial"/>
          <w:i/>
          <w:spacing w:val="34"/>
          <w:sz w:val="20"/>
        </w:rPr>
        <w:t> </w:t>
      </w:r>
      <w:r>
        <w:rPr>
          <w:rFonts w:ascii="Arial"/>
          <w:i/>
          <w:sz w:val="20"/>
        </w:rPr>
        <w:t>214</w:t>
      </w:r>
      <w:r>
        <w:rPr>
          <w:sz w:val="20"/>
        </w:rPr>
        <w:t>;</w:t>
      </w:r>
      <w:r>
        <w:rPr>
          <w:spacing w:val="34"/>
          <w:sz w:val="20"/>
        </w:rPr>
        <w:t> </w:t>
      </w:r>
      <w:r>
        <w:rPr>
          <w:sz w:val="20"/>
        </w:rPr>
        <w:t>see</w:t>
      </w:r>
      <w:r>
        <w:rPr>
          <w:spacing w:val="34"/>
          <w:sz w:val="20"/>
        </w:rPr>
        <w:t> </w:t>
      </w:r>
      <w:r>
        <w:rPr>
          <w:sz w:val="20"/>
        </w:rPr>
        <w:t>also</w:t>
      </w:r>
      <w:r>
        <w:rPr>
          <w:spacing w:val="34"/>
          <w:sz w:val="20"/>
        </w:rPr>
        <w:t> </w:t>
      </w:r>
      <w:r>
        <w:rPr>
          <w:rFonts w:ascii="Arial"/>
          <w:i/>
          <w:sz w:val="20"/>
        </w:rPr>
        <w:t>Lagunas</w:t>
      </w:r>
      <w:r>
        <w:rPr>
          <w:rFonts w:ascii="Arial"/>
          <w:i/>
          <w:spacing w:val="34"/>
          <w:sz w:val="20"/>
        </w:rPr>
        <w:t> </w:t>
      </w:r>
      <w:r>
        <w:rPr>
          <w:rFonts w:ascii="Arial"/>
          <w:i/>
          <w:sz w:val="20"/>
        </w:rPr>
        <w:t>Nitrate</w:t>
      </w:r>
      <w:r>
        <w:rPr>
          <w:rFonts w:ascii="Arial"/>
          <w:i/>
          <w:spacing w:val="34"/>
          <w:sz w:val="20"/>
        </w:rPr>
        <w:t> </w:t>
      </w:r>
      <w:r>
        <w:rPr>
          <w:rFonts w:ascii="Arial"/>
          <w:i/>
          <w:sz w:val="20"/>
        </w:rPr>
        <w:t>Co</w:t>
      </w:r>
      <w:r>
        <w:rPr>
          <w:rFonts w:ascii="Arial"/>
          <w:i/>
          <w:spacing w:val="34"/>
          <w:sz w:val="20"/>
        </w:rPr>
        <w:t> </w:t>
      </w:r>
      <w:r>
        <w:rPr>
          <w:rFonts w:ascii="Arial"/>
          <w:i/>
          <w:sz w:val="20"/>
        </w:rPr>
        <w:t>v</w:t>
      </w:r>
      <w:r>
        <w:rPr>
          <w:rFonts w:ascii="Arial"/>
          <w:i/>
          <w:spacing w:val="34"/>
          <w:sz w:val="20"/>
        </w:rPr>
        <w:t> </w:t>
      </w:r>
      <w:r>
        <w:rPr>
          <w:rFonts w:ascii="Arial"/>
          <w:i/>
          <w:sz w:val="20"/>
        </w:rPr>
        <w:t>Lagunas Syndicate [1899] 2 Ch. 392</w:t>
      </w:r>
      <w:r>
        <w:rPr>
          <w:sz w:val="20"/>
        </w:rPr>
        <w:t>.</w:t>
      </w:r>
    </w:p>
    <w:p>
      <w:pPr>
        <w:pStyle w:val="BodyText"/>
        <w:spacing w:before="5"/>
      </w:pPr>
    </w:p>
    <w:p>
      <w:pPr>
        <w:tabs>
          <w:tab w:pos="705" w:val="left" w:leader="none"/>
        </w:tabs>
        <w:spacing w:before="0"/>
        <w:ind w:left="165" w:right="0" w:firstLine="0"/>
        <w:jc w:val="left"/>
        <w:rPr>
          <w:sz w:val="20"/>
        </w:rPr>
      </w:pPr>
      <w:bookmarkStart w:name="_bookmark1112" w:id="1114"/>
      <w:bookmarkEnd w:id="1114"/>
      <w:r>
        <w:rPr/>
      </w:r>
      <w:hyperlink w:history="true" w:anchor="_bookmark1074">
        <w:r>
          <w:rPr>
            <w:color w:val="005DA1"/>
            <w:spacing w:val="-4"/>
            <w:position w:val="5"/>
            <w:sz w:val="14"/>
            <w:u w:val="single" w:color="005DA1"/>
          </w:rPr>
          <w:t>571</w:t>
        </w:r>
      </w:hyperlink>
      <w:r>
        <w:rPr>
          <w:spacing w:val="-4"/>
          <w:position w:val="5"/>
          <w:sz w:val="14"/>
        </w:rPr>
        <w:t>.</w:t>
      </w:r>
      <w:r>
        <w:rPr>
          <w:position w:val="5"/>
          <w:sz w:val="14"/>
        </w:rPr>
        <w:tab/>
      </w:r>
      <w:r>
        <w:rPr>
          <w:rFonts w:ascii="Arial"/>
          <w:i/>
          <w:sz w:val="20"/>
        </w:rPr>
        <w:t>Oakes v Turquand (1867) L.R. 2 H.L. </w:t>
      </w:r>
      <w:r>
        <w:rPr>
          <w:rFonts w:ascii="Arial"/>
          <w:i/>
          <w:spacing w:val="-4"/>
          <w:sz w:val="20"/>
        </w:rPr>
        <w:t>325</w:t>
      </w:r>
      <w:r>
        <w:rPr>
          <w:spacing w:val="-4"/>
          <w:sz w:val="20"/>
        </w:rPr>
        <w:t>.</w:t>
      </w:r>
    </w:p>
    <w:p>
      <w:pPr>
        <w:pStyle w:val="BodyText"/>
        <w:spacing w:before="5"/>
      </w:pPr>
    </w:p>
    <w:p>
      <w:pPr>
        <w:pStyle w:val="BodyText"/>
        <w:tabs>
          <w:tab w:pos="705" w:val="left" w:leader="none"/>
        </w:tabs>
        <w:ind w:left="165"/>
      </w:pPr>
      <w:bookmarkStart w:name="_bookmark1113" w:id="1115"/>
      <w:bookmarkEnd w:id="1115"/>
      <w:r>
        <w:rPr/>
      </w:r>
      <w:hyperlink w:history="true" w:anchor="_bookmark1075">
        <w:r>
          <w:rPr>
            <w:color w:val="005DA1"/>
            <w:spacing w:val="-4"/>
            <w:position w:val="5"/>
            <w:sz w:val="14"/>
            <w:u w:val="single" w:color="005DA1"/>
          </w:rPr>
          <w:t>572</w:t>
        </w:r>
      </w:hyperlink>
      <w:r>
        <w:rPr>
          <w:spacing w:val="-4"/>
          <w:position w:val="5"/>
          <w:sz w:val="14"/>
        </w:rPr>
        <w:t>.</w:t>
      </w:r>
      <w:r>
        <w:rPr>
          <w:position w:val="5"/>
          <w:sz w:val="14"/>
        </w:rPr>
        <w:tab/>
      </w:r>
      <w:r>
        <w:rPr/>
        <w:t>See</w:t>
      </w:r>
      <w:r>
        <w:rPr>
          <w:spacing w:val="-2"/>
        </w:rPr>
        <w:t> </w:t>
      </w:r>
      <w:r>
        <w:rPr/>
        <w:t>now below, para.7-</w:t>
      </w:r>
      <w:r>
        <w:rPr>
          <w:spacing w:val="-4"/>
        </w:rPr>
        <w:t>142.</w:t>
      </w:r>
    </w:p>
    <w:p>
      <w:pPr>
        <w:pStyle w:val="BodyText"/>
        <w:spacing w:before="9"/>
      </w:pPr>
    </w:p>
    <w:p>
      <w:pPr>
        <w:tabs>
          <w:tab w:pos="705" w:val="left" w:leader="none"/>
        </w:tabs>
        <w:spacing w:line="235" w:lineRule="auto" w:before="0"/>
        <w:ind w:left="705" w:right="168" w:hanging="541"/>
        <w:jc w:val="left"/>
        <w:rPr>
          <w:sz w:val="20"/>
        </w:rPr>
      </w:pPr>
      <w:bookmarkStart w:name="_bookmark1114" w:id="1116"/>
      <w:bookmarkEnd w:id="1116"/>
      <w:r>
        <w:rPr/>
      </w:r>
      <w:hyperlink w:history="true" w:anchor="_bookmark1076">
        <w:r>
          <w:rPr>
            <w:color w:val="005DA1"/>
            <w:spacing w:val="-4"/>
            <w:position w:val="5"/>
            <w:sz w:val="14"/>
            <w:u w:val="single" w:color="005DA1"/>
          </w:rPr>
          <w:t>573</w:t>
        </w:r>
      </w:hyperlink>
      <w:r>
        <w:rPr>
          <w:spacing w:val="-4"/>
          <w:position w:val="5"/>
          <w:sz w:val="14"/>
        </w:rPr>
        <w:t>.</w:t>
      </w:r>
      <w:r>
        <w:rPr>
          <w:position w:val="5"/>
          <w:sz w:val="14"/>
        </w:rPr>
        <w:tab/>
      </w:r>
      <w:r>
        <w:rPr>
          <w:rFonts w:ascii="Arial"/>
          <w:i/>
          <w:sz w:val="20"/>
        </w:rPr>
        <w:t>Thorpe v Fasey [1949] Ch. 649</w:t>
      </w:r>
      <w:r>
        <w:rPr>
          <w:sz w:val="20"/>
        </w:rPr>
        <w:t>; cf. </w:t>
      </w:r>
      <w:r>
        <w:rPr>
          <w:rFonts w:ascii="Arial"/>
          <w:i/>
          <w:sz w:val="20"/>
        </w:rPr>
        <w:t>Kupchak v Dayson Holdings Co Ltd (1965) 53 D.L.R. (2d)</w:t>
      </w:r>
      <w:r>
        <w:rPr>
          <w:rFonts w:ascii="Arial"/>
          <w:i/>
          <w:spacing w:val="40"/>
          <w:sz w:val="20"/>
        </w:rPr>
        <w:t> </w:t>
      </w:r>
      <w:r>
        <w:rPr>
          <w:rFonts w:ascii="Arial"/>
          <w:i/>
          <w:spacing w:val="-4"/>
          <w:sz w:val="20"/>
        </w:rPr>
        <w:t>482</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115" w:id="1117"/>
      <w:bookmarkEnd w:id="1117"/>
      <w:r>
        <w:rPr/>
      </w:r>
      <w:hyperlink w:history="true" w:anchor="_bookmark1077">
        <w:r>
          <w:rPr>
            <w:color w:val="005DA1"/>
            <w:spacing w:val="-4"/>
            <w:position w:val="5"/>
            <w:sz w:val="14"/>
            <w:u w:val="single" w:color="005DA1"/>
          </w:rPr>
          <w:t>574</w:t>
        </w:r>
      </w:hyperlink>
      <w:r>
        <w:rPr>
          <w:spacing w:val="-4"/>
          <w:position w:val="5"/>
          <w:sz w:val="14"/>
        </w:rPr>
        <w:t>.</w:t>
      </w:r>
      <w:r>
        <w:rPr>
          <w:position w:val="5"/>
          <w:sz w:val="14"/>
        </w:rPr>
        <w:tab/>
      </w:r>
      <w:r>
        <w:rPr>
          <w:rFonts w:ascii="Arial" w:hAnsi="Arial"/>
          <w:i/>
          <w:sz w:val="20"/>
        </w:rPr>
        <w:t>Armstrong</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Jackson</w:t>
      </w:r>
      <w:r>
        <w:rPr>
          <w:rFonts w:ascii="Arial" w:hAnsi="Arial"/>
          <w:i/>
          <w:spacing w:val="23"/>
          <w:sz w:val="20"/>
        </w:rPr>
        <w:t> </w:t>
      </w:r>
      <w:r>
        <w:rPr>
          <w:rFonts w:ascii="Arial" w:hAnsi="Arial"/>
          <w:i/>
          <w:sz w:val="20"/>
        </w:rPr>
        <w:t>[1917]</w:t>
      </w:r>
      <w:r>
        <w:rPr>
          <w:rFonts w:ascii="Arial" w:hAnsi="Arial"/>
          <w:i/>
          <w:spacing w:val="23"/>
          <w:sz w:val="20"/>
        </w:rPr>
        <w:t> </w:t>
      </w:r>
      <w:r>
        <w:rPr>
          <w:rFonts w:ascii="Arial" w:hAnsi="Arial"/>
          <w:i/>
          <w:sz w:val="20"/>
        </w:rPr>
        <w:t>2</w:t>
      </w:r>
      <w:r>
        <w:rPr>
          <w:rFonts w:ascii="Arial" w:hAnsi="Arial"/>
          <w:i/>
          <w:spacing w:val="23"/>
          <w:sz w:val="20"/>
        </w:rPr>
        <w:t> </w:t>
      </w:r>
      <w:r>
        <w:rPr>
          <w:rFonts w:ascii="Arial" w:hAnsi="Arial"/>
          <w:i/>
          <w:sz w:val="20"/>
        </w:rPr>
        <w:t>K.B.</w:t>
      </w:r>
      <w:r>
        <w:rPr>
          <w:rFonts w:ascii="Arial" w:hAnsi="Arial"/>
          <w:i/>
          <w:spacing w:val="23"/>
          <w:sz w:val="20"/>
        </w:rPr>
        <w:t> </w:t>
      </w:r>
      <w:r>
        <w:rPr>
          <w:rFonts w:ascii="Arial" w:hAnsi="Arial"/>
          <w:i/>
          <w:sz w:val="20"/>
        </w:rPr>
        <w:t>822</w:t>
      </w:r>
      <w:r>
        <w:rPr>
          <w:sz w:val="20"/>
        </w:rPr>
        <w:t>.</w:t>
      </w:r>
      <w:r>
        <w:rPr>
          <w:spacing w:val="23"/>
          <w:sz w:val="20"/>
        </w:rPr>
        <w:t> </w:t>
      </w:r>
      <w:r>
        <w:rPr>
          <w:sz w:val="20"/>
        </w:rPr>
        <w:t>The</w:t>
      </w:r>
      <w:r>
        <w:rPr>
          <w:spacing w:val="23"/>
          <w:sz w:val="20"/>
        </w:rPr>
        <w:t> </w:t>
      </w:r>
      <w:r>
        <w:rPr>
          <w:sz w:val="20"/>
        </w:rPr>
        <w:t>contrary</w:t>
      </w:r>
      <w:r>
        <w:rPr>
          <w:spacing w:val="23"/>
          <w:sz w:val="20"/>
        </w:rPr>
        <w:t> </w:t>
      </w:r>
      <w:r>
        <w:rPr>
          <w:sz w:val="20"/>
        </w:rPr>
        <w:t>suggestion</w:t>
      </w:r>
      <w:r>
        <w:rPr>
          <w:spacing w:val="23"/>
          <w:sz w:val="20"/>
        </w:rPr>
        <w:t> </w:t>
      </w:r>
      <w:r>
        <w:rPr>
          <w:sz w:val="20"/>
        </w:rPr>
        <w:t>in</w:t>
      </w:r>
      <w:r>
        <w:rPr>
          <w:spacing w:val="23"/>
          <w:sz w:val="20"/>
        </w:rPr>
        <w:t> </w:t>
      </w:r>
      <w:r>
        <w:rPr>
          <w:sz w:val="20"/>
        </w:rPr>
        <w:t>McGregor</w:t>
      </w:r>
      <w:r>
        <w:rPr>
          <w:spacing w:val="23"/>
          <w:sz w:val="20"/>
        </w:rPr>
        <w:t> </w:t>
      </w:r>
      <w:r>
        <w:rPr>
          <w:sz w:val="20"/>
        </w:rPr>
        <w:t>on</w:t>
      </w:r>
      <w:r>
        <w:rPr>
          <w:spacing w:val="23"/>
          <w:sz w:val="20"/>
        </w:rPr>
        <w:t> </w:t>
      </w:r>
      <w:r>
        <w:rPr>
          <w:sz w:val="20"/>
        </w:rPr>
        <w:t>Damages, 19th edn (2014), para.47–076 is, with respect, doubtful.</w:t>
      </w:r>
    </w:p>
    <w:p>
      <w:pPr>
        <w:pStyle w:val="BodyText"/>
        <w:spacing w:before="5"/>
      </w:pPr>
    </w:p>
    <w:p>
      <w:pPr>
        <w:tabs>
          <w:tab w:pos="705" w:val="left" w:leader="none"/>
        </w:tabs>
        <w:spacing w:before="1"/>
        <w:ind w:left="165" w:right="0" w:firstLine="0"/>
        <w:jc w:val="left"/>
        <w:rPr>
          <w:sz w:val="20"/>
        </w:rPr>
      </w:pPr>
      <w:bookmarkStart w:name="_bookmark1116" w:id="1118"/>
      <w:bookmarkEnd w:id="1118"/>
      <w:r>
        <w:rPr/>
      </w:r>
      <w:hyperlink w:history="true" w:anchor="_bookmark1078">
        <w:r>
          <w:rPr>
            <w:color w:val="005DA1"/>
            <w:spacing w:val="-4"/>
            <w:position w:val="5"/>
            <w:sz w:val="14"/>
            <w:u w:val="single" w:color="005DA1"/>
          </w:rPr>
          <w:t>575</w:t>
        </w:r>
      </w:hyperlink>
      <w:r>
        <w:rPr>
          <w:spacing w:val="-4"/>
          <w:position w:val="5"/>
          <w:sz w:val="14"/>
        </w:rPr>
        <w:t>.</w:t>
      </w:r>
      <w:r>
        <w:rPr>
          <w:position w:val="5"/>
          <w:sz w:val="14"/>
        </w:rPr>
        <w:tab/>
      </w:r>
      <w:r>
        <w:rPr>
          <w:rFonts w:ascii="Arial"/>
          <w:i/>
          <w:sz w:val="20"/>
        </w:rPr>
        <w:t>(1888) 13 App. Cas. </w:t>
      </w:r>
      <w:r>
        <w:rPr>
          <w:rFonts w:ascii="Arial"/>
          <w:i/>
          <w:spacing w:val="-4"/>
          <w:sz w:val="20"/>
        </w:rPr>
        <w:t>308</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1117" w:id="1119"/>
      <w:bookmarkEnd w:id="1119"/>
      <w:r>
        <w:rPr/>
      </w:r>
      <w:hyperlink w:history="true" w:anchor="_bookmark1079">
        <w:r>
          <w:rPr>
            <w:color w:val="005DA1"/>
            <w:spacing w:val="-4"/>
            <w:position w:val="5"/>
            <w:sz w:val="14"/>
            <w:u w:val="single" w:color="005DA1"/>
          </w:rPr>
          <w:t>576</w:t>
        </w:r>
      </w:hyperlink>
      <w:r>
        <w:rPr>
          <w:spacing w:val="-4"/>
          <w:position w:val="5"/>
          <w:sz w:val="14"/>
        </w:rPr>
        <w:t>.</w:t>
      </w:r>
      <w:r>
        <w:rPr>
          <w:position w:val="5"/>
          <w:sz w:val="14"/>
        </w:rPr>
        <w:tab/>
      </w:r>
      <w:r>
        <w:rPr>
          <w:rFonts w:ascii="Arial" w:hAnsi="Arial"/>
          <w:i/>
          <w:sz w:val="20"/>
        </w:rPr>
        <w:t>Lagunas</w:t>
      </w:r>
      <w:r>
        <w:rPr>
          <w:rFonts w:ascii="Arial" w:hAnsi="Arial"/>
          <w:i/>
          <w:spacing w:val="25"/>
          <w:sz w:val="20"/>
        </w:rPr>
        <w:t> </w:t>
      </w:r>
      <w:r>
        <w:rPr>
          <w:rFonts w:ascii="Arial" w:hAnsi="Arial"/>
          <w:i/>
          <w:sz w:val="20"/>
        </w:rPr>
        <w:t>Nitrate</w:t>
      </w:r>
      <w:r>
        <w:rPr>
          <w:rFonts w:ascii="Arial" w:hAnsi="Arial"/>
          <w:i/>
          <w:spacing w:val="25"/>
          <w:sz w:val="20"/>
        </w:rPr>
        <w:t> </w:t>
      </w:r>
      <w:r>
        <w:rPr>
          <w:rFonts w:ascii="Arial" w:hAnsi="Arial"/>
          <w:i/>
          <w:sz w:val="20"/>
        </w:rPr>
        <w:t>Co</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Lagunas</w:t>
      </w:r>
      <w:r>
        <w:rPr>
          <w:rFonts w:ascii="Arial" w:hAnsi="Arial"/>
          <w:i/>
          <w:spacing w:val="25"/>
          <w:sz w:val="20"/>
        </w:rPr>
        <w:t> </w:t>
      </w:r>
      <w:r>
        <w:rPr>
          <w:rFonts w:ascii="Arial" w:hAnsi="Arial"/>
          <w:i/>
          <w:sz w:val="20"/>
        </w:rPr>
        <w:t>Syndicate</w:t>
      </w:r>
      <w:r>
        <w:rPr>
          <w:rFonts w:ascii="Arial" w:hAnsi="Arial"/>
          <w:i/>
          <w:spacing w:val="25"/>
          <w:sz w:val="20"/>
        </w:rPr>
        <w:t> </w:t>
      </w:r>
      <w:r>
        <w:rPr>
          <w:rFonts w:ascii="Arial" w:hAnsi="Arial"/>
          <w:i/>
          <w:sz w:val="20"/>
        </w:rPr>
        <w:t>[1899]</w:t>
      </w:r>
      <w:r>
        <w:rPr>
          <w:rFonts w:ascii="Arial" w:hAnsi="Arial"/>
          <w:i/>
          <w:spacing w:val="25"/>
          <w:sz w:val="20"/>
        </w:rPr>
        <w:t> </w:t>
      </w:r>
      <w:r>
        <w:rPr>
          <w:rFonts w:ascii="Arial" w:hAnsi="Arial"/>
          <w:i/>
          <w:sz w:val="20"/>
        </w:rPr>
        <w:t>2</w:t>
      </w:r>
      <w:r>
        <w:rPr>
          <w:rFonts w:ascii="Arial" w:hAnsi="Arial"/>
          <w:i/>
          <w:spacing w:val="25"/>
          <w:sz w:val="20"/>
        </w:rPr>
        <w:t> </w:t>
      </w:r>
      <w:r>
        <w:rPr>
          <w:rFonts w:ascii="Arial" w:hAnsi="Arial"/>
          <w:i/>
          <w:sz w:val="20"/>
        </w:rPr>
        <w:t>Ch.</w:t>
      </w:r>
      <w:r>
        <w:rPr>
          <w:rFonts w:ascii="Arial" w:hAnsi="Arial"/>
          <w:i/>
          <w:spacing w:val="25"/>
          <w:sz w:val="20"/>
        </w:rPr>
        <w:t> </w:t>
      </w:r>
      <w:r>
        <w:rPr>
          <w:rFonts w:ascii="Arial" w:hAnsi="Arial"/>
          <w:i/>
          <w:sz w:val="20"/>
        </w:rPr>
        <w:t>392,</w:t>
      </w:r>
      <w:r>
        <w:rPr>
          <w:rFonts w:ascii="Arial" w:hAnsi="Arial"/>
          <w:i/>
          <w:spacing w:val="25"/>
          <w:sz w:val="20"/>
        </w:rPr>
        <w:t> </w:t>
      </w:r>
      <w:r>
        <w:rPr>
          <w:rFonts w:ascii="Arial" w:hAnsi="Arial"/>
          <w:i/>
          <w:sz w:val="20"/>
        </w:rPr>
        <w:t>456,</w:t>
      </w:r>
      <w:r>
        <w:rPr>
          <w:rFonts w:ascii="Arial" w:hAnsi="Arial"/>
          <w:i/>
          <w:spacing w:val="25"/>
          <w:sz w:val="20"/>
        </w:rPr>
        <w:t> </w:t>
      </w:r>
      <w:r>
        <w:rPr>
          <w:rFonts w:ascii="Arial" w:hAnsi="Arial"/>
          <w:i/>
          <w:sz w:val="20"/>
        </w:rPr>
        <w:t>457</w:t>
      </w:r>
      <w:r>
        <w:rPr>
          <w:sz w:val="20"/>
        </w:rPr>
        <w:t>.</w:t>
      </w:r>
      <w:r>
        <w:rPr>
          <w:spacing w:val="25"/>
          <w:sz w:val="20"/>
        </w:rPr>
        <w:t> </w:t>
      </w:r>
      <w:r>
        <w:rPr>
          <w:sz w:val="20"/>
        </w:rPr>
        <w:t>See</w:t>
      </w:r>
      <w:r>
        <w:rPr>
          <w:spacing w:val="25"/>
          <w:sz w:val="20"/>
        </w:rPr>
        <w:t> </w:t>
      </w:r>
      <w:r>
        <w:rPr>
          <w:sz w:val="20"/>
        </w:rPr>
        <w:t>also</w:t>
      </w:r>
      <w:r>
        <w:rPr>
          <w:spacing w:val="25"/>
          <w:sz w:val="20"/>
        </w:rPr>
        <w:t> </w:t>
      </w:r>
      <w:r>
        <w:rPr>
          <w:rFonts w:ascii="Arial" w:hAnsi="Arial"/>
          <w:i/>
          <w:sz w:val="20"/>
        </w:rPr>
        <w:t>O’Sullivan</w:t>
      </w:r>
      <w:r>
        <w:rPr>
          <w:rFonts w:ascii="Arial" w:hAnsi="Arial"/>
          <w:i/>
          <w:spacing w:val="25"/>
          <w:sz w:val="20"/>
        </w:rPr>
        <w:t> </w:t>
      </w:r>
      <w:r>
        <w:rPr>
          <w:rFonts w:ascii="Arial" w:hAnsi="Arial"/>
          <w:i/>
          <w:sz w:val="20"/>
        </w:rPr>
        <w:t>v Management Agency Ltd [1985] Q.B. 428</w:t>
      </w:r>
      <w:r>
        <w:rPr>
          <w:sz w:val="20"/>
        </w:rPr>
        <w:t>, below, para.8-104.</w:t>
      </w:r>
    </w:p>
    <w:p>
      <w:pPr>
        <w:pStyle w:val="BodyText"/>
        <w:spacing w:before="9"/>
      </w:pPr>
    </w:p>
    <w:p>
      <w:pPr>
        <w:spacing w:line="235" w:lineRule="auto" w:before="1"/>
        <w:ind w:left="705" w:right="167" w:hanging="541"/>
        <w:jc w:val="both"/>
        <w:rPr>
          <w:sz w:val="20"/>
        </w:rPr>
      </w:pPr>
      <w:bookmarkStart w:name="_bookmark1118" w:id="1120"/>
      <w:bookmarkEnd w:id="1120"/>
      <w:r>
        <w:rPr/>
      </w:r>
      <w:hyperlink w:history="true" w:anchor="_bookmark1080">
        <w:r>
          <w:rPr>
            <w:color w:val="005DA1"/>
            <w:position w:val="5"/>
            <w:sz w:val="14"/>
            <w:u w:val="single" w:color="005DA1"/>
          </w:rPr>
          <w:t>577</w:t>
        </w:r>
      </w:hyperlink>
      <w:r>
        <w:rPr>
          <w:position w:val="5"/>
          <w:sz w:val="14"/>
        </w:rPr>
        <w:t>.</w:t>
      </w:r>
      <w:r>
        <w:rPr>
          <w:spacing w:val="80"/>
          <w:w w:val="150"/>
          <w:position w:val="5"/>
          <w:sz w:val="14"/>
        </w:rPr>
        <w:t> </w:t>
      </w:r>
      <w:r>
        <w:rPr>
          <w:rFonts w:ascii="Arial" w:hAnsi="Arial"/>
          <w:i/>
          <w:sz w:val="20"/>
        </w:rPr>
        <w:t>Compagnie Chemin de Fer Paris-Orleans v Leeston Shipping Co (1919) 36 T.L.R. 68, 69</w:t>
      </w:r>
      <w:r>
        <w:rPr>
          <w:sz w:val="20"/>
        </w:rPr>
        <w:t>; </w:t>
      </w:r>
      <w:r>
        <w:rPr>
          <w:sz w:val="20"/>
        </w:rPr>
        <w:t>cf. </w:t>
      </w:r>
      <w:r>
        <w:rPr>
          <w:rFonts w:ascii="Arial" w:hAnsi="Arial"/>
          <w:i/>
          <w:sz w:val="20"/>
        </w:rPr>
        <w:t>Wiebe v Butchart’s Motors [1949] 4 D.L.R. 838 </w:t>
      </w:r>
      <w:r>
        <w:rPr>
          <w:sz w:val="20"/>
        </w:rPr>
        <w:t>(contract for sale of car rescinded subject to allowance for depreciation during use); </w:t>
      </w:r>
      <w:r>
        <w:rPr>
          <w:rFonts w:ascii="Arial" w:hAnsi="Arial"/>
          <w:i/>
          <w:sz w:val="20"/>
        </w:rPr>
        <w:t>Salt v Stratstone Specialist Ltd [2015] EWCA Civ 745 </w:t>
      </w:r>
      <w:r>
        <w:rPr>
          <w:sz w:val="20"/>
        </w:rPr>
        <w:t>(buyer of car could rescind despite depreciation and intermittent enjoyment; court could order</w:t>
      </w:r>
      <w:r>
        <w:rPr>
          <w:spacing w:val="40"/>
          <w:sz w:val="20"/>
        </w:rPr>
        <w:t> </w:t>
      </w:r>
      <w:r>
        <w:rPr>
          <w:sz w:val="20"/>
        </w:rPr>
        <w:t>an account and/or an inquiry to determine the terms on which restitution should be made: at [22], referring to these paragraphs in the 31st edition of Chitty on Contracts. The burden of showing</w:t>
      </w:r>
      <w:r>
        <w:rPr>
          <w:spacing w:val="-2"/>
          <w:sz w:val="20"/>
        </w:rPr>
        <w:t> </w:t>
      </w:r>
      <w:r>
        <w:rPr>
          <w:sz w:val="20"/>
        </w:rPr>
        <w:t>that</w:t>
      </w:r>
      <w:r>
        <w:rPr>
          <w:spacing w:val="-2"/>
          <w:sz w:val="20"/>
        </w:rPr>
        <w:t> </w:t>
      </w:r>
      <w:r>
        <w:rPr>
          <w:sz w:val="20"/>
        </w:rPr>
        <w:t>justice</w:t>
      </w:r>
      <w:r>
        <w:rPr>
          <w:spacing w:val="-2"/>
          <w:sz w:val="20"/>
        </w:rPr>
        <w:t> </w:t>
      </w:r>
      <w:r>
        <w:rPr>
          <w:sz w:val="20"/>
        </w:rPr>
        <w:t>requires</w:t>
      </w:r>
      <w:r>
        <w:rPr>
          <w:spacing w:val="-2"/>
          <w:sz w:val="20"/>
        </w:rPr>
        <w:t> </w:t>
      </w:r>
      <w:r>
        <w:rPr>
          <w:sz w:val="20"/>
        </w:rPr>
        <w:t>compensation</w:t>
      </w:r>
      <w:r>
        <w:rPr>
          <w:spacing w:val="-2"/>
          <w:sz w:val="20"/>
        </w:rPr>
        <w:t> </w:t>
      </w:r>
      <w:r>
        <w:rPr>
          <w:sz w:val="20"/>
        </w:rPr>
        <w:t>for</w:t>
      </w:r>
      <w:r>
        <w:rPr>
          <w:spacing w:val="-2"/>
          <w:sz w:val="20"/>
        </w:rPr>
        <w:t> </w:t>
      </w:r>
      <w:r>
        <w:rPr>
          <w:sz w:val="20"/>
        </w:rPr>
        <w:t>depreciation</w:t>
      </w:r>
      <w:r>
        <w:rPr>
          <w:spacing w:val="-2"/>
          <w:sz w:val="20"/>
        </w:rPr>
        <w:t> </w:t>
      </w:r>
      <w:r>
        <w:rPr>
          <w:sz w:val="20"/>
        </w:rPr>
        <w:t>should</w:t>
      </w:r>
      <w:r>
        <w:rPr>
          <w:spacing w:val="-2"/>
          <w:sz w:val="20"/>
        </w:rPr>
        <w:t> </w:t>
      </w:r>
      <w:r>
        <w:rPr>
          <w:sz w:val="20"/>
        </w:rPr>
        <w:t>be</w:t>
      </w:r>
      <w:r>
        <w:rPr>
          <w:spacing w:val="-2"/>
          <w:sz w:val="20"/>
        </w:rPr>
        <w:t> </w:t>
      </w:r>
      <w:r>
        <w:rPr>
          <w:sz w:val="20"/>
        </w:rPr>
        <w:t>on</w:t>
      </w:r>
      <w:r>
        <w:rPr>
          <w:spacing w:val="-2"/>
          <w:sz w:val="20"/>
        </w:rPr>
        <w:t> </w:t>
      </w:r>
      <w:r>
        <w:rPr>
          <w:sz w:val="20"/>
        </w:rPr>
        <w:t>the</w:t>
      </w:r>
      <w:r>
        <w:rPr>
          <w:spacing w:val="-2"/>
          <w:sz w:val="20"/>
        </w:rPr>
        <w:t> </w:t>
      </w:r>
      <w:r>
        <w:rPr>
          <w:sz w:val="20"/>
        </w:rPr>
        <w:t>misrepresentor:</w:t>
      </w:r>
      <w:r>
        <w:rPr>
          <w:spacing w:val="-2"/>
          <w:sz w:val="20"/>
        </w:rPr>
        <w:t> </w:t>
      </w:r>
      <w:r>
        <w:rPr>
          <w:sz w:val="20"/>
        </w:rPr>
        <w:t>at </w:t>
      </w:r>
      <w:r>
        <w:rPr>
          <w:spacing w:val="-2"/>
          <w:sz w:val="20"/>
        </w:rPr>
        <w:t>[30]).</w:t>
      </w:r>
    </w:p>
    <w:p>
      <w:pPr>
        <w:pStyle w:val="BodyText"/>
        <w:spacing w:before="6"/>
      </w:pPr>
    </w:p>
    <w:p>
      <w:pPr>
        <w:tabs>
          <w:tab w:pos="705" w:val="left" w:leader="none"/>
        </w:tabs>
        <w:spacing w:line="235" w:lineRule="auto" w:before="1"/>
        <w:ind w:left="705" w:right="168" w:hanging="541"/>
        <w:jc w:val="left"/>
        <w:rPr>
          <w:sz w:val="20"/>
        </w:rPr>
      </w:pPr>
      <w:bookmarkStart w:name="_bookmark1119" w:id="1121"/>
      <w:bookmarkEnd w:id="1121"/>
      <w:r>
        <w:rPr/>
      </w:r>
      <w:hyperlink w:history="true" w:anchor="_bookmark1081">
        <w:r>
          <w:rPr>
            <w:color w:val="005DA1"/>
            <w:spacing w:val="-4"/>
            <w:position w:val="5"/>
            <w:sz w:val="14"/>
            <w:u w:val="single" w:color="005DA1"/>
          </w:rPr>
          <w:t>578</w:t>
        </w:r>
      </w:hyperlink>
      <w:r>
        <w:rPr>
          <w:spacing w:val="-4"/>
          <w:position w:val="5"/>
          <w:sz w:val="14"/>
        </w:rPr>
        <w:t>.</w:t>
      </w:r>
      <w:r>
        <w:rPr>
          <w:position w:val="5"/>
          <w:sz w:val="14"/>
        </w:rPr>
        <w:tab/>
      </w:r>
      <w:r>
        <w:rPr>
          <w:rFonts w:ascii="Arial"/>
          <w:i/>
          <w:sz w:val="20"/>
        </w:rPr>
        <w:t>Spence v Crawford [1939] 3 All E.R. 271, 288</w:t>
      </w:r>
      <w:r>
        <w:rPr>
          <w:sz w:val="20"/>
        </w:rPr>
        <w:t>. The effect of negligent misrepresentation in </w:t>
      </w:r>
      <w:r>
        <w:rPr>
          <w:sz w:val="20"/>
        </w:rPr>
        <w:t>this respect is an open question.</w:t>
      </w:r>
    </w:p>
    <w:p>
      <w:pPr>
        <w:pStyle w:val="BodyText"/>
        <w:spacing w:before="5"/>
      </w:pPr>
    </w:p>
    <w:p>
      <w:pPr>
        <w:tabs>
          <w:tab w:pos="705" w:val="left" w:leader="none"/>
        </w:tabs>
        <w:spacing w:before="0"/>
        <w:ind w:left="165" w:right="0" w:firstLine="0"/>
        <w:jc w:val="left"/>
        <w:rPr>
          <w:sz w:val="20"/>
        </w:rPr>
      </w:pPr>
      <w:bookmarkStart w:name="_bookmark1120" w:id="1122"/>
      <w:bookmarkEnd w:id="1122"/>
      <w:r>
        <w:rPr/>
      </w:r>
      <w:hyperlink w:history="true" w:anchor="_bookmark1081">
        <w:r>
          <w:rPr>
            <w:color w:val="005DA1"/>
            <w:spacing w:val="-4"/>
            <w:position w:val="5"/>
            <w:sz w:val="14"/>
            <w:u w:val="single" w:color="005DA1"/>
          </w:rPr>
          <w:t>579</w:t>
        </w:r>
      </w:hyperlink>
      <w:r>
        <w:rPr>
          <w:spacing w:val="-4"/>
          <w:position w:val="5"/>
          <w:sz w:val="14"/>
        </w:rPr>
        <w:t>.</w:t>
      </w:r>
      <w:r>
        <w:rPr>
          <w:position w:val="5"/>
          <w:sz w:val="14"/>
        </w:rPr>
        <w:tab/>
      </w:r>
      <w:r>
        <w:rPr>
          <w:rFonts w:ascii="Arial"/>
          <w:i/>
          <w:sz w:val="20"/>
        </w:rPr>
        <w:t>[1917]</w:t>
      </w:r>
      <w:r>
        <w:rPr>
          <w:rFonts w:ascii="Arial"/>
          <w:i/>
          <w:spacing w:val="-2"/>
          <w:sz w:val="20"/>
        </w:rPr>
        <w:t> </w:t>
      </w:r>
      <w:r>
        <w:rPr>
          <w:rFonts w:ascii="Arial"/>
          <w:i/>
          <w:sz w:val="20"/>
        </w:rPr>
        <w:t>1 K.B. </w:t>
      </w:r>
      <w:r>
        <w:rPr>
          <w:rFonts w:ascii="Arial"/>
          <w:i/>
          <w:spacing w:val="-4"/>
          <w:sz w:val="20"/>
        </w:rPr>
        <w:t>813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121" w:id="1123"/>
      <w:bookmarkEnd w:id="1123"/>
      <w:r>
        <w:rPr/>
      </w:r>
      <w:hyperlink w:history="true" w:anchor="_bookmark1082">
        <w:r>
          <w:rPr>
            <w:color w:val="005DA1"/>
            <w:spacing w:val="-4"/>
            <w:position w:val="5"/>
            <w:sz w:val="14"/>
            <w:u w:val="single" w:color="005DA1"/>
          </w:rPr>
          <w:t>580</w:t>
        </w:r>
      </w:hyperlink>
      <w:r>
        <w:rPr>
          <w:spacing w:val="-4"/>
          <w:position w:val="5"/>
          <w:sz w:val="14"/>
        </w:rPr>
        <w:t>.</w:t>
      </w:r>
      <w:r>
        <w:rPr>
          <w:position w:val="5"/>
          <w:sz w:val="14"/>
        </w:rPr>
        <w:tab/>
      </w:r>
      <w:r>
        <w:rPr>
          <w:rFonts w:ascii="Arial"/>
          <w:i/>
          <w:sz w:val="20"/>
        </w:rPr>
        <w:t>(1995) 184 C.L.R. 102, noted in (1997) 113 L.Q.R. </w:t>
      </w:r>
      <w:r>
        <w:rPr>
          <w:rFonts w:ascii="Arial"/>
          <w:i/>
          <w:spacing w:val="-5"/>
          <w:sz w:val="20"/>
        </w:rPr>
        <w:t>16</w:t>
      </w:r>
      <w:r>
        <w:rPr>
          <w:spacing w:val="-5"/>
          <w:sz w:val="20"/>
        </w:rPr>
        <w:t>.</w:t>
      </w:r>
    </w:p>
    <w:p>
      <w:pPr>
        <w:pStyle w:val="BodyText"/>
        <w:spacing w:before="9"/>
      </w:pPr>
    </w:p>
    <w:p>
      <w:pPr>
        <w:pStyle w:val="BodyText"/>
        <w:spacing w:line="235" w:lineRule="auto"/>
        <w:ind w:left="705" w:right="167" w:hanging="541"/>
        <w:jc w:val="both"/>
      </w:pPr>
      <w:bookmarkStart w:name="_bookmark1122" w:id="1124"/>
      <w:bookmarkEnd w:id="1124"/>
      <w:r>
        <w:rPr/>
      </w:r>
      <w:hyperlink w:history="true" w:anchor="_bookmark1083">
        <w:r>
          <w:rPr>
            <w:color w:val="005DA1"/>
            <w:position w:val="5"/>
            <w:sz w:val="14"/>
            <w:u w:val="single" w:color="005DA1"/>
          </w:rPr>
          <w:t>581</w:t>
        </w:r>
      </w:hyperlink>
      <w:r>
        <w:rPr>
          <w:position w:val="5"/>
          <w:sz w:val="14"/>
        </w:rPr>
        <w:t>.</w:t>
      </w:r>
      <w:r>
        <w:rPr>
          <w:spacing w:val="80"/>
          <w:position w:val="5"/>
          <w:sz w:val="14"/>
        </w:rPr>
        <w:t>  </w:t>
      </w:r>
      <w:r>
        <w:rPr>
          <w:rFonts w:ascii="Arial" w:hAnsi="Arial"/>
          <w:i/>
        </w:rPr>
        <w:t>[1995] 1 W.L.R. 430</w:t>
      </w:r>
      <w:r>
        <w:rPr/>
        <w:t>. The case, and </w:t>
      </w:r>
      <w:r>
        <w:rPr>
          <w:rFonts w:ascii="Arial" w:hAnsi="Arial"/>
          <w:i/>
        </w:rPr>
        <w:t>De Molestina v Ponton [2002] EWHC 2413</w:t>
      </w:r>
      <w:r>
        <w:rPr/>
        <w:t>, are criticised</w:t>
      </w:r>
      <w:r>
        <w:rPr>
          <w:spacing w:val="80"/>
        </w:rPr>
        <w:t> </w:t>
      </w:r>
      <w:r>
        <w:rPr/>
        <w:t>by Poole and Keyser (2005) 121 L.Q.R. 273, who argue that in cases of non-fraudulent misrepresentation, where rescission is allowed under equity’s auxiliary jurisdiction, if </w:t>
      </w:r>
      <w:r>
        <w:rPr/>
        <w:t>the misrepresentation is as to the terms, partial rescission can be ordered to bring the contract into line with the misrepresentee’s expectation. This seems doubtful on the authorities, which seem to</w:t>
      </w:r>
      <w:r>
        <w:rPr>
          <w:spacing w:val="-1"/>
        </w:rPr>
        <w:t> </w:t>
      </w:r>
      <w:r>
        <w:rPr/>
        <w:t>recognise</w:t>
      </w:r>
      <w:r>
        <w:rPr>
          <w:spacing w:val="-1"/>
        </w:rPr>
        <w:t> </w:t>
      </w:r>
      <w:r>
        <w:rPr/>
        <w:t>that</w:t>
      </w:r>
      <w:r>
        <w:rPr>
          <w:spacing w:val="-1"/>
        </w:rPr>
        <w:t> </w:t>
      </w:r>
      <w:r>
        <w:rPr/>
        <w:t>even</w:t>
      </w:r>
      <w:r>
        <w:rPr>
          <w:spacing w:val="-1"/>
        </w:rPr>
        <w:t> </w:t>
      </w:r>
      <w:r>
        <w:rPr/>
        <w:t>rescission</w:t>
      </w:r>
      <w:r>
        <w:rPr>
          <w:spacing w:val="-1"/>
        </w:rPr>
        <w:t> </w:t>
      </w:r>
      <w:r>
        <w:rPr/>
        <w:t>for</w:t>
      </w:r>
      <w:r>
        <w:rPr>
          <w:spacing w:val="-1"/>
        </w:rPr>
        <w:t> </w:t>
      </w:r>
      <w:r>
        <w:rPr/>
        <w:t>non-fraudulent</w:t>
      </w:r>
      <w:r>
        <w:rPr>
          <w:spacing w:val="-1"/>
        </w:rPr>
        <w:t> </w:t>
      </w:r>
      <w:r>
        <w:rPr/>
        <w:t>misrepresentation</w:t>
      </w:r>
      <w:r>
        <w:rPr>
          <w:spacing w:val="-1"/>
        </w:rPr>
        <w:t> </w:t>
      </w:r>
      <w:r>
        <w:rPr/>
        <w:t>is</w:t>
      </w:r>
      <w:r>
        <w:rPr>
          <w:spacing w:val="-1"/>
        </w:rPr>
        <w:t> </w:t>
      </w:r>
      <w:r>
        <w:rPr/>
        <w:t>the</w:t>
      </w:r>
      <w:r>
        <w:rPr>
          <w:spacing w:val="-1"/>
        </w:rPr>
        <w:t> </w:t>
      </w:r>
      <w:r>
        <w:rPr/>
        <w:t>act</w:t>
      </w:r>
      <w:r>
        <w:rPr>
          <w:spacing w:val="-1"/>
        </w:rPr>
        <w:t> </w:t>
      </w:r>
      <w:r>
        <w:rPr/>
        <w:t>of</w:t>
      </w:r>
      <w:r>
        <w:rPr>
          <w:spacing w:val="-1"/>
        </w:rPr>
        <w:t> </w:t>
      </w:r>
      <w:r>
        <w:rPr/>
        <w:t>the</w:t>
      </w:r>
      <w:r>
        <w:rPr>
          <w:spacing w:val="-1"/>
        </w:rPr>
        <w:t> </w:t>
      </w:r>
      <w:r>
        <w:rPr/>
        <w:t>party</w:t>
      </w:r>
      <w:r>
        <w:rPr>
          <w:spacing w:val="-1"/>
        </w:rPr>
        <w:t> </w:t>
      </w:r>
      <w:r>
        <w:rPr/>
        <w:t>not of the court. See above, para.7-119.</w:t>
      </w:r>
    </w:p>
    <w:p>
      <w:pPr>
        <w:pStyle w:val="BodyText"/>
        <w:spacing w:before="3"/>
      </w:pPr>
    </w:p>
    <w:p>
      <w:pPr>
        <w:tabs>
          <w:tab w:pos="705" w:val="left" w:leader="none"/>
        </w:tabs>
        <w:spacing w:before="1"/>
        <w:ind w:left="165" w:right="0" w:firstLine="0"/>
        <w:jc w:val="left"/>
        <w:rPr>
          <w:sz w:val="20"/>
        </w:rPr>
      </w:pPr>
      <w:bookmarkStart w:name="_bookmark1123" w:id="1125"/>
      <w:bookmarkEnd w:id="1125"/>
      <w:r>
        <w:rPr/>
      </w:r>
      <w:hyperlink w:history="true" w:anchor="_bookmark1084">
        <w:r>
          <w:rPr>
            <w:color w:val="005DA1"/>
            <w:spacing w:val="-4"/>
            <w:position w:val="5"/>
            <w:sz w:val="14"/>
            <w:u w:val="single" w:color="005DA1"/>
          </w:rPr>
          <w:t>582</w:t>
        </w:r>
      </w:hyperlink>
      <w:r>
        <w:rPr>
          <w:spacing w:val="-4"/>
          <w:position w:val="5"/>
          <w:sz w:val="14"/>
        </w:rPr>
        <w:t>.</w:t>
      </w:r>
      <w:r>
        <w:rPr>
          <w:position w:val="5"/>
          <w:sz w:val="14"/>
        </w:rPr>
        <w:tab/>
      </w:r>
      <w:r>
        <w:rPr>
          <w:rFonts w:ascii="Arial"/>
          <w:i/>
          <w:sz w:val="20"/>
        </w:rPr>
        <w:t>[2001] 1 All E.R. (Comm) </w:t>
      </w:r>
      <w:r>
        <w:rPr>
          <w:rFonts w:ascii="Arial"/>
          <w:i/>
          <w:spacing w:val="-4"/>
          <w:sz w:val="20"/>
        </w:rPr>
        <w:t>319</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124" w:id="1126"/>
      <w:bookmarkEnd w:id="1126"/>
      <w:r>
        <w:rPr/>
      </w:r>
      <w:hyperlink w:history="true" w:anchor="_bookmark1085">
        <w:r>
          <w:rPr>
            <w:color w:val="005DA1"/>
            <w:spacing w:val="-4"/>
            <w:position w:val="5"/>
            <w:sz w:val="14"/>
            <w:u w:val="single" w:color="005DA1"/>
          </w:rPr>
          <w:t>583</w:t>
        </w:r>
      </w:hyperlink>
      <w:r>
        <w:rPr>
          <w:spacing w:val="-4"/>
          <w:position w:val="5"/>
          <w:sz w:val="14"/>
        </w:rPr>
        <w:t>.</w:t>
      </w:r>
      <w:r>
        <w:rPr>
          <w:position w:val="5"/>
          <w:sz w:val="14"/>
        </w:rPr>
        <w:tab/>
      </w:r>
      <w:r>
        <w:rPr>
          <w:rFonts w:ascii="Arial" w:hAnsi="Arial"/>
          <w:i/>
          <w:sz w:val="20"/>
        </w:rPr>
        <w:t>[2002] 1 Lloyd’s Rep. </w:t>
      </w:r>
      <w:r>
        <w:rPr>
          <w:rFonts w:ascii="Arial" w:hAnsi="Arial"/>
          <w:i/>
          <w:spacing w:val="-4"/>
          <w:sz w:val="20"/>
        </w:rPr>
        <w:t>271</w:t>
      </w:r>
      <w:r>
        <w:rPr>
          <w:spacing w:val="-4"/>
          <w:sz w:val="20"/>
        </w:rPr>
        <w:t>.</w:t>
      </w:r>
    </w:p>
    <w:p>
      <w:pPr>
        <w:pStyle w:val="BodyText"/>
        <w:spacing w:before="8"/>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7792">
            <wp:simplePos x="0" y="0"/>
            <wp:positionH relativeFrom="page">
              <wp:posOffset>1257846</wp:posOffset>
            </wp:positionH>
            <wp:positionV relativeFrom="paragraph">
              <wp:posOffset>160620</wp:posOffset>
            </wp:positionV>
            <wp:extent cx="107988" cy="107988"/>
            <wp:effectExtent l="0" t="0" r="0" b="0"/>
            <wp:wrapNone/>
            <wp:docPr id="202" name="Image 202"/>
            <wp:cNvGraphicFramePr>
              <a:graphicFrameLocks/>
            </wp:cNvGraphicFramePr>
            <a:graphic>
              <a:graphicData uri="http://schemas.openxmlformats.org/drawingml/2006/picture">
                <pic:pic>
                  <pic:nvPicPr>
                    <pic:cNvPr id="202" name="Image 20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125" w:id="1127"/>
      <w:bookmarkEnd w:id="1127"/>
      <w:r>
        <w:rPr/>
      </w:r>
      <w:hyperlink w:history="true" w:anchor="_bookmark1086">
        <w:r>
          <w:rPr>
            <w:color w:val="005DA1"/>
            <w:spacing w:val="-4"/>
            <w:sz w:val="14"/>
            <w:u w:val="single" w:color="005DA1"/>
          </w:rPr>
          <w:t>584</w:t>
        </w:r>
      </w:hyperlink>
      <w:r>
        <w:rPr>
          <w:spacing w:val="-4"/>
          <w:sz w:val="14"/>
        </w:rPr>
        <w:t>.</w:t>
      </w:r>
    </w:p>
    <w:p>
      <w:pPr>
        <w:spacing w:before="209"/>
        <w:ind w:left="335" w:right="0" w:firstLine="0"/>
        <w:jc w:val="left"/>
        <w:rPr>
          <w:sz w:val="20"/>
        </w:rPr>
      </w:pPr>
      <w:r>
        <w:rPr/>
        <w:br w:type="column"/>
      </w:r>
      <w:r>
        <w:rPr>
          <w:sz w:val="20"/>
        </w:rPr>
        <w:t>See</w:t>
      </w:r>
      <w:r>
        <w:rPr>
          <w:spacing w:val="40"/>
          <w:sz w:val="20"/>
        </w:rPr>
        <w:t> </w:t>
      </w:r>
      <w:r>
        <w:rPr>
          <w:sz w:val="20"/>
        </w:rPr>
        <w:t>also</w:t>
      </w:r>
      <w:r>
        <w:rPr>
          <w:spacing w:val="40"/>
          <w:sz w:val="20"/>
        </w:rPr>
        <w:t> </w:t>
      </w:r>
      <w:r>
        <w:rPr>
          <w:rFonts w:ascii="Arial"/>
          <w:i/>
          <w:sz w:val="20"/>
        </w:rPr>
        <w:t>Potter</w:t>
      </w:r>
      <w:r>
        <w:rPr>
          <w:rFonts w:ascii="Arial"/>
          <w:i/>
          <w:spacing w:val="41"/>
          <w:sz w:val="20"/>
        </w:rPr>
        <w:t> </w:t>
      </w:r>
      <w:r>
        <w:rPr>
          <w:rFonts w:ascii="Arial"/>
          <w:i/>
          <w:sz w:val="20"/>
        </w:rPr>
        <w:t>v</w:t>
      </w:r>
      <w:r>
        <w:rPr>
          <w:rFonts w:ascii="Arial"/>
          <w:i/>
          <w:spacing w:val="41"/>
          <w:sz w:val="20"/>
        </w:rPr>
        <w:t> </w:t>
      </w:r>
      <w:r>
        <w:rPr>
          <w:rFonts w:ascii="Arial"/>
          <w:i/>
          <w:sz w:val="20"/>
        </w:rPr>
        <w:t>Dyer</w:t>
      </w:r>
      <w:r>
        <w:rPr>
          <w:rFonts w:ascii="Arial"/>
          <w:i/>
          <w:spacing w:val="41"/>
          <w:sz w:val="20"/>
        </w:rPr>
        <w:t> </w:t>
      </w:r>
      <w:r>
        <w:rPr>
          <w:rFonts w:ascii="Arial"/>
          <w:i/>
          <w:sz w:val="20"/>
        </w:rPr>
        <w:t>[2011]</w:t>
      </w:r>
      <w:r>
        <w:rPr>
          <w:rFonts w:ascii="Arial"/>
          <w:i/>
          <w:spacing w:val="41"/>
          <w:sz w:val="20"/>
        </w:rPr>
        <w:t> </w:t>
      </w:r>
      <w:r>
        <w:rPr>
          <w:rFonts w:ascii="Arial"/>
          <w:i/>
          <w:sz w:val="20"/>
        </w:rPr>
        <w:t>EWCA</w:t>
      </w:r>
      <w:r>
        <w:rPr>
          <w:rFonts w:ascii="Arial"/>
          <w:i/>
          <w:spacing w:val="41"/>
          <w:sz w:val="20"/>
        </w:rPr>
        <w:t> </w:t>
      </w:r>
      <w:r>
        <w:rPr>
          <w:rFonts w:ascii="Arial"/>
          <w:i/>
          <w:sz w:val="20"/>
        </w:rPr>
        <w:t>Civ</w:t>
      </w:r>
      <w:r>
        <w:rPr>
          <w:rFonts w:ascii="Arial"/>
          <w:i/>
          <w:spacing w:val="41"/>
          <w:sz w:val="20"/>
        </w:rPr>
        <w:t> </w:t>
      </w:r>
      <w:r>
        <w:rPr>
          <w:rFonts w:ascii="Arial"/>
          <w:i/>
          <w:sz w:val="20"/>
        </w:rPr>
        <w:t>1417</w:t>
      </w:r>
      <w:r>
        <w:rPr>
          <w:sz w:val="20"/>
        </w:rPr>
        <w:t>.</w:t>
      </w:r>
      <w:r>
        <w:rPr>
          <w:spacing w:val="41"/>
          <w:sz w:val="20"/>
        </w:rPr>
        <w:t> </w:t>
      </w:r>
      <w:r>
        <w:rPr>
          <w:sz w:val="20"/>
        </w:rPr>
        <w:t>Note</w:t>
      </w:r>
      <w:r>
        <w:rPr>
          <w:spacing w:val="41"/>
          <w:sz w:val="20"/>
        </w:rPr>
        <w:t> </w:t>
      </w:r>
      <w:r>
        <w:rPr>
          <w:sz w:val="20"/>
        </w:rPr>
        <w:t>that</w:t>
      </w:r>
      <w:r>
        <w:rPr>
          <w:spacing w:val="41"/>
          <w:sz w:val="20"/>
        </w:rPr>
        <w:t> </w:t>
      </w:r>
      <w:r>
        <w:rPr>
          <w:sz w:val="20"/>
        </w:rPr>
        <w:t>in</w:t>
      </w:r>
      <w:r>
        <w:rPr>
          <w:spacing w:val="41"/>
          <w:sz w:val="20"/>
        </w:rPr>
        <w:t> </w:t>
      </w:r>
      <w:r>
        <w:rPr>
          <w:sz w:val="20"/>
        </w:rPr>
        <w:t>cases</w:t>
      </w:r>
      <w:r>
        <w:rPr>
          <w:spacing w:val="41"/>
          <w:sz w:val="20"/>
        </w:rPr>
        <w:t> </w:t>
      </w:r>
      <w:r>
        <w:rPr>
          <w:sz w:val="20"/>
        </w:rPr>
        <w:t>in</w:t>
      </w:r>
      <w:r>
        <w:rPr>
          <w:spacing w:val="41"/>
          <w:sz w:val="20"/>
        </w:rPr>
        <w:t> </w:t>
      </w:r>
      <w:r>
        <w:rPr>
          <w:sz w:val="20"/>
        </w:rPr>
        <w:t>which</w:t>
      </w:r>
      <w:r>
        <w:rPr>
          <w:spacing w:val="41"/>
          <w:sz w:val="20"/>
        </w:rPr>
        <w:t> </w:t>
      </w:r>
      <w:r>
        <w:rPr>
          <w:sz w:val="20"/>
        </w:rPr>
        <w:t>a</w:t>
      </w:r>
      <w:r>
        <w:rPr>
          <w:spacing w:val="41"/>
          <w:sz w:val="20"/>
        </w:rPr>
        <w:t> </w:t>
      </w:r>
      <w:r>
        <w:rPr>
          <w:spacing w:val="-2"/>
          <w:sz w:val="20"/>
        </w:rPr>
        <w:t>voluntary</w:t>
      </w:r>
    </w:p>
    <w:p>
      <w:pPr>
        <w:spacing w:after="0"/>
        <w:jc w:val="left"/>
        <w:rPr>
          <w:sz w:val="20"/>
        </w:rPr>
        <w:sectPr>
          <w:type w:val="continuous"/>
          <w:pgSz w:w="11900" w:h="16840"/>
          <w:pgMar w:header="971" w:footer="0" w:top="1160" w:bottom="280" w:left="1275" w:right="1275"/>
          <w:cols w:num="2" w:equalWidth="0">
            <w:col w:w="478" w:space="63"/>
            <w:col w:w="8809"/>
          </w:cols>
        </w:sectPr>
      </w:pPr>
    </w:p>
    <w:p>
      <w:pPr>
        <w:pStyle w:val="BodyText"/>
        <w:spacing w:before="24"/>
      </w:pPr>
    </w:p>
    <w:p>
      <w:pPr>
        <w:spacing w:line="235" w:lineRule="auto" w:before="1"/>
        <w:ind w:left="705" w:right="167" w:firstLine="0"/>
        <w:jc w:val="both"/>
        <w:rPr>
          <w:sz w:val="20"/>
        </w:rPr>
      </w:pPr>
      <w:r>
        <w:rPr>
          <w:sz w:val="20"/>
        </w:rPr>
        <w:t>settlement is being set aside for mistake (see Main Work, Vol.I, and also above, para.6–025 n.25) or misrepresentation, partial rescission may be allowed: </w:t>
      </w:r>
      <w:r>
        <w:rPr>
          <w:rFonts w:ascii="Arial" w:hAnsi="Arial"/>
          <w:i/>
          <w:sz w:val="20"/>
        </w:rPr>
        <w:t>Kennedy v Kennedy </w:t>
      </w:r>
      <w:r>
        <w:rPr>
          <w:rFonts w:ascii="Arial" w:hAnsi="Arial"/>
          <w:i/>
          <w:sz w:val="20"/>
        </w:rPr>
        <w:t>[2014] EWHC 4129 </w:t>
      </w:r>
      <w:r>
        <w:rPr>
          <w:sz w:val="20"/>
        </w:rPr>
        <w:t>at [46]; </w:t>
      </w:r>
      <w:r>
        <w:rPr>
          <w:rFonts w:ascii="Arial" w:hAnsi="Arial"/>
          <w:i/>
          <w:sz w:val="20"/>
        </w:rPr>
        <w:t>Bainbridge v Bainbridge [2016] EWHC 898 (Ch) </w:t>
      </w:r>
      <w:r>
        <w:rPr>
          <w:sz w:val="20"/>
        </w:rPr>
        <w:t>at [22].</w:t>
      </w:r>
    </w:p>
    <w:p>
      <w:pPr>
        <w:pStyle w:val="BodyText"/>
        <w:spacing w:before="5"/>
      </w:pPr>
    </w:p>
    <w:p>
      <w:pPr>
        <w:tabs>
          <w:tab w:pos="705" w:val="left" w:leader="none"/>
        </w:tabs>
        <w:spacing w:before="0"/>
        <w:ind w:left="165" w:right="0" w:firstLine="0"/>
        <w:jc w:val="left"/>
        <w:rPr>
          <w:sz w:val="20"/>
        </w:rPr>
      </w:pPr>
      <w:bookmarkStart w:name="_bookmark1126" w:id="1128"/>
      <w:bookmarkEnd w:id="1128"/>
      <w:r>
        <w:rPr/>
      </w:r>
      <w:hyperlink w:history="true" w:anchor="_bookmark1087">
        <w:r>
          <w:rPr>
            <w:color w:val="005DA1"/>
            <w:spacing w:val="-4"/>
            <w:position w:val="5"/>
            <w:sz w:val="14"/>
            <w:u w:val="single" w:color="005DA1"/>
          </w:rPr>
          <w:t>585</w:t>
        </w:r>
      </w:hyperlink>
      <w:r>
        <w:rPr>
          <w:spacing w:val="-4"/>
          <w:position w:val="5"/>
          <w:sz w:val="14"/>
        </w:rPr>
        <w:t>.</w:t>
      </w:r>
      <w:r>
        <w:rPr>
          <w:position w:val="5"/>
          <w:sz w:val="14"/>
        </w:rPr>
        <w:tab/>
      </w:r>
      <w:r>
        <w:rPr>
          <w:rFonts w:ascii="Arial" w:hAnsi="Arial"/>
          <w:i/>
          <w:sz w:val="20"/>
        </w:rPr>
        <w:t>[2002] 1 Lloyd’s Rep. 271</w:t>
      </w:r>
      <w:r>
        <w:rPr>
          <w:rFonts w:ascii="Arial" w:hAnsi="Arial"/>
          <w:i/>
          <w:spacing w:val="-1"/>
          <w:sz w:val="20"/>
        </w:rPr>
        <w:t> </w:t>
      </w:r>
      <w:r>
        <w:rPr>
          <w:sz w:val="20"/>
        </w:rPr>
        <w:t>at </w:t>
      </w:r>
      <w:r>
        <w:rPr>
          <w:spacing w:val="-2"/>
          <w:sz w:val="20"/>
        </w:rPr>
        <w:t>[6.2].</w:t>
      </w:r>
    </w:p>
    <w:p>
      <w:pPr>
        <w:pStyle w:val="BodyText"/>
        <w:spacing w:before="5"/>
      </w:pPr>
    </w:p>
    <w:p>
      <w:pPr>
        <w:tabs>
          <w:tab w:pos="705" w:val="left" w:leader="none"/>
        </w:tabs>
        <w:spacing w:before="0"/>
        <w:ind w:left="165" w:right="0" w:firstLine="0"/>
        <w:jc w:val="left"/>
        <w:rPr>
          <w:sz w:val="20"/>
        </w:rPr>
      </w:pPr>
      <w:bookmarkStart w:name="_bookmark1127" w:id="1129"/>
      <w:bookmarkEnd w:id="1129"/>
      <w:r>
        <w:rPr/>
      </w:r>
      <w:hyperlink w:history="true" w:anchor="_bookmark1088">
        <w:r>
          <w:rPr>
            <w:color w:val="005DA1"/>
            <w:spacing w:val="-4"/>
            <w:position w:val="5"/>
            <w:sz w:val="14"/>
            <w:u w:val="single" w:color="005DA1"/>
          </w:rPr>
          <w:t>586</w:t>
        </w:r>
      </w:hyperlink>
      <w:r>
        <w:rPr>
          <w:spacing w:val="-4"/>
          <w:position w:val="5"/>
          <w:sz w:val="14"/>
        </w:rPr>
        <w:t>.</w:t>
      </w:r>
      <w:r>
        <w:rPr>
          <w:position w:val="5"/>
          <w:sz w:val="14"/>
        </w:rPr>
        <w:tab/>
      </w:r>
      <w:r>
        <w:rPr>
          <w:rFonts w:ascii="Arial" w:hAnsi="Arial"/>
          <w:i/>
          <w:sz w:val="20"/>
        </w:rPr>
        <w:t>[2002] 1 Lloyd’s Rep. 271</w:t>
      </w:r>
      <w:r>
        <w:rPr>
          <w:rFonts w:ascii="Arial" w:hAnsi="Arial"/>
          <w:i/>
          <w:spacing w:val="-1"/>
          <w:sz w:val="20"/>
        </w:rPr>
        <w:t> </w:t>
      </w:r>
      <w:r>
        <w:rPr>
          <w:sz w:val="20"/>
        </w:rPr>
        <w:t>at </w:t>
      </w:r>
      <w:r>
        <w:rPr>
          <w:spacing w:val="-2"/>
          <w:sz w:val="20"/>
        </w:rPr>
        <w:t>[6.9].</w:t>
      </w:r>
    </w:p>
    <w:p>
      <w:pPr>
        <w:pStyle w:val="BodyText"/>
        <w:spacing w:before="5"/>
      </w:pPr>
    </w:p>
    <w:p>
      <w:pPr>
        <w:pStyle w:val="BodyText"/>
        <w:tabs>
          <w:tab w:pos="705" w:val="left" w:leader="none"/>
        </w:tabs>
        <w:ind w:left="165"/>
      </w:pPr>
      <w:bookmarkStart w:name="_bookmark1128" w:id="1130"/>
      <w:bookmarkEnd w:id="1130"/>
      <w:r>
        <w:rPr/>
      </w:r>
      <w:hyperlink w:history="true" w:anchor="_bookmark1089">
        <w:r>
          <w:rPr>
            <w:color w:val="005DA1"/>
            <w:spacing w:val="-4"/>
            <w:position w:val="5"/>
            <w:sz w:val="14"/>
            <w:u w:val="single" w:color="005DA1"/>
          </w:rPr>
          <w:t>587</w:t>
        </w:r>
      </w:hyperlink>
      <w:r>
        <w:rPr>
          <w:spacing w:val="-4"/>
          <w:position w:val="5"/>
          <w:sz w:val="14"/>
        </w:rPr>
        <w:t>.</w:t>
      </w:r>
      <w:r>
        <w:rPr>
          <w:position w:val="5"/>
          <w:sz w:val="14"/>
        </w:rPr>
        <w:tab/>
      </w:r>
      <w:r>
        <w:rPr/>
        <w:t>Above, para.7-124 </w:t>
      </w:r>
      <w:r>
        <w:rPr>
          <w:spacing w:val="-2"/>
        </w:rPr>
        <w:t>n.552.</w:t>
      </w:r>
    </w:p>
    <w:p>
      <w:pPr>
        <w:pStyle w:val="BodyText"/>
        <w:spacing w:before="8"/>
      </w:pPr>
    </w:p>
    <w:p>
      <w:pPr>
        <w:tabs>
          <w:tab w:pos="705" w:val="left" w:leader="none"/>
        </w:tabs>
        <w:spacing w:line="235" w:lineRule="auto" w:before="1"/>
        <w:ind w:left="705" w:right="168" w:hanging="541"/>
        <w:jc w:val="left"/>
        <w:rPr>
          <w:sz w:val="20"/>
        </w:rPr>
      </w:pPr>
      <w:bookmarkStart w:name="_bookmark1129" w:id="1131"/>
      <w:bookmarkEnd w:id="1131"/>
      <w:r>
        <w:rPr/>
      </w:r>
      <w:hyperlink w:history="true" w:anchor="_bookmark1090">
        <w:r>
          <w:rPr>
            <w:color w:val="005DA1"/>
            <w:spacing w:val="-4"/>
            <w:position w:val="5"/>
            <w:sz w:val="14"/>
            <w:u w:val="single" w:color="005DA1"/>
          </w:rPr>
          <w:t>588</w:t>
        </w:r>
      </w:hyperlink>
      <w:r>
        <w:rPr>
          <w:spacing w:val="-4"/>
          <w:position w:val="5"/>
          <w:sz w:val="14"/>
        </w:rPr>
        <w:t>.</w:t>
      </w:r>
      <w:r>
        <w:rPr>
          <w:position w:val="5"/>
          <w:sz w:val="14"/>
        </w:rPr>
        <w:tab/>
      </w:r>
      <w:r>
        <w:rPr>
          <w:sz w:val="20"/>
        </w:rPr>
        <w:t>Above, para.7-123. These two sentences were endorsed by the Court of Appeal in </w:t>
      </w:r>
      <w:r>
        <w:rPr>
          <w:rFonts w:ascii="Arial"/>
          <w:i/>
          <w:sz w:val="20"/>
        </w:rPr>
        <w:t>Society </w:t>
      </w:r>
      <w:r>
        <w:rPr>
          <w:rFonts w:ascii="Arial"/>
          <w:i/>
          <w:sz w:val="20"/>
        </w:rPr>
        <w:t>of</w:t>
      </w:r>
      <w:r>
        <w:rPr>
          <w:rFonts w:ascii="Arial"/>
          <w:i/>
          <w:spacing w:val="40"/>
          <w:sz w:val="20"/>
        </w:rPr>
        <w:t> </w:t>
      </w:r>
      <w:r>
        <w:rPr>
          <w:rFonts w:ascii="Arial"/>
          <w:i/>
          <w:sz w:val="20"/>
        </w:rPr>
        <w:t>Lloyds v Lyon unreported August 11, 1997</w:t>
      </w:r>
      <w:r>
        <w:rPr>
          <w:sz w:val="20"/>
        </w:rPr>
        <w:t>.</w:t>
      </w:r>
    </w:p>
    <w:p>
      <w:pPr>
        <w:pStyle w:val="BodyText"/>
        <w:spacing w:before="5"/>
      </w:pPr>
    </w:p>
    <w:p>
      <w:pPr>
        <w:pStyle w:val="BodyText"/>
        <w:tabs>
          <w:tab w:pos="705" w:val="left" w:leader="none"/>
        </w:tabs>
        <w:ind w:left="165"/>
      </w:pPr>
      <w:bookmarkStart w:name="_bookmark1130" w:id="1132"/>
      <w:bookmarkEnd w:id="1132"/>
      <w:r>
        <w:rPr/>
      </w:r>
      <w:hyperlink w:history="true" w:anchor="_bookmark1091">
        <w:r>
          <w:rPr>
            <w:color w:val="005DA1"/>
            <w:spacing w:val="-4"/>
            <w:position w:val="5"/>
            <w:sz w:val="14"/>
            <w:u w:val="single" w:color="005DA1"/>
          </w:rPr>
          <w:t>589</w:t>
        </w:r>
      </w:hyperlink>
      <w:r>
        <w:rPr>
          <w:spacing w:val="-4"/>
          <w:position w:val="5"/>
          <w:sz w:val="14"/>
        </w:rPr>
        <w:t>.</w:t>
      </w:r>
      <w:r>
        <w:rPr>
          <w:position w:val="5"/>
          <w:sz w:val="14"/>
        </w:rPr>
        <w:tab/>
      </w:r>
      <w:r>
        <w:rPr/>
        <w:t>See</w:t>
      </w:r>
      <w:r>
        <w:rPr>
          <w:spacing w:val="-2"/>
        </w:rPr>
        <w:t> </w:t>
      </w:r>
      <w:r>
        <w:rPr/>
        <w:t>below, para.24-</w:t>
      </w:r>
      <w:r>
        <w:rPr>
          <w:spacing w:val="-4"/>
        </w:rPr>
        <w:t>056.</w:t>
      </w:r>
    </w:p>
    <w:p>
      <w:pPr>
        <w:pStyle w:val="BodyText"/>
        <w:spacing w:before="5"/>
      </w:pPr>
    </w:p>
    <w:p>
      <w:pPr>
        <w:tabs>
          <w:tab w:pos="705" w:val="left" w:leader="none"/>
        </w:tabs>
        <w:spacing w:before="0"/>
        <w:ind w:left="165" w:right="0" w:firstLine="0"/>
        <w:jc w:val="left"/>
        <w:rPr>
          <w:sz w:val="20"/>
        </w:rPr>
      </w:pPr>
      <w:bookmarkStart w:name="_bookmark1131" w:id="1133"/>
      <w:bookmarkEnd w:id="1133"/>
      <w:r>
        <w:rPr/>
      </w:r>
      <w:hyperlink w:history="true" w:anchor="_bookmark1092">
        <w:r>
          <w:rPr>
            <w:color w:val="005DA1"/>
            <w:spacing w:val="-4"/>
            <w:position w:val="5"/>
            <w:sz w:val="14"/>
            <w:u w:val="single" w:color="005DA1"/>
          </w:rPr>
          <w:t>590</w:t>
        </w:r>
      </w:hyperlink>
      <w:r>
        <w:rPr>
          <w:spacing w:val="-4"/>
          <w:position w:val="5"/>
          <w:sz w:val="14"/>
        </w:rPr>
        <w:t>.</w:t>
      </w:r>
      <w:r>
        <w:rPr>
          <w:position w:val="5"/>
          <w:sz w:val="14"/>
        </w:rPr>
        <w:tab/>
      </w:r>
      <w:r>
        <w:rPr>
          <w:rFonts w:ascii="Arial" w:hAnsi="Arial"/>
          <w:i/>
          <w:sz w:val="20"/>
        </w:rPr>
        <w:t>[1983] 1 Lloyd’s Rep. 188, </w:t>
      </w:r>
      <w:r>
        <w:rPr>
          <w:rFonts w:ascii="Arial" w:hAnsi="Arial"/>
          <w:i/>
          <w:spacing w:val="-4"/>
          <w:sz w:val="20"/>
        </w:rPr>
        <w:t>202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132" w:id="1134"/>
      <w:bookmarkEnd w:id="1134"/>
      <w:r>
        <w:rPr/>
      </w:r>
      <w:hyperlink w:history="true" w:anchor="_bookmark1093">
        <w:r>
          <w:rPr>
            <w:color w:val="005DA1"/>
            <w:spacing w:val="-4"/>
            <w:position w:val="5"/>
            <w:sz w:val="14"/>
            <w:u w:val="single" w:color="005DA1"/>
          </w:rPr>
          <w:t>591</w:t>
        </w:r>
      </w:hyperlink>
      <w:r>
        <w:rPr>
          <w:spacing w:val="-4"/>
          <w:position w:val="5"/>
          <w:sz w:val="14"/>
        </w:rPr>
        <w:t>.</w:t>
      </w:r>
      <w:r>
        <w:rPr>
          <w:position w:val="5"/>
          <w:sz w:val="14"/>
        </w:rPr>
        <w:tab/>
      </w:r>
      <w:r>
        <w:rPr>
          <w:rFonts w:ascii="Arial"/>
          <w:i/>
          <w:sz w:val="20"/>
        </w:rPr>
        <w:t>(1915) S.C.(H.L.) </w:t>
      </w:r>
      <w:r>
        <w:rPr>
          <w:rFonts w:ascii="Arial"/>
          <w:i/>
          <w:spacing w:val="-5"/>
          <w:sz w:val="20"/>
        </w:rPr>
        <w:t>20</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133" w:id="1135"/>
      <w:bookmarkEnd w:id="1135"/>
      <w:r>
        <w:rPr/>
      </w:r>
      <w:hyperlink w:history="true" w:anchor="_bookmark1094">
        <w:r>
          <w:rPr>
            <w:color w:val="005DA1"/>
            <w:spacing w:val="-4"/>
            <w:position w:val="5"/>
            <w:sz w:val="14"/>
            <w:u w:val="single" w:color="005DA1"/>
          </w:rPr>
          <w:t>592</w:t>
        </w:r>
      </w:hyperlink>
      <w:r>
        <w:rPr>
          <w:spacing w:val="-4"/>
          <w:position w:val="5"/>
          <w:sz w:val="14"/>
        </w:rPr>
        <w:t>.</w:t>
      </w:r>
      <w:r>
        <w:rPr>
          <w:position w:val="5"/>
          <w:sz w:val="14"/>
        </w:rPr>
        <w:tab/>
      </w:r>
      <w:r>
        <w:rPr>
          <w:rFonts w:ascii="Arial"/>
          <w:i/>
          <w:sz w:val="20"/>
        </w:rPr>
        <w:t>Boyd</w:t>
      </w:r>
      <w:r>
        <w:rPr>
          <w:rFonts w:ascii="Arial"/>
          <w:i/>
          <w:spacing w:val="-1"/>
          <w:sz w:val="20"/>
        </w:rPr>
        <w:t> </w:t>
      </w:r>
      <w:r>
        <w:rPr>
          <w:rFonts w:ascii="Arial"/>
          <w:i/>
          <w:sz w:val="20"/>
        </w:rPr>
        <w:t>and Forest v Glasgow Ry (1915) S.C.(H.L.) 20</w:t>
      </w:r>
      <w:r>
        <w:rPr>
          <w:sz w:val="20"/>
        </w:rPr>
        <w:t>; above, para.7-</w:t>
      </w:r>
      <w:r>
        <w:rPr>
          <w:spacing w:val="-4"/>
          <w:sz w:val="20"/>
        </w:rPr>
        <w:t>127.</w:t>
      </w:r>
    </w:p>
    <w:p>
      <w:pPr>
        <w:pStyle w:val="BodyText"/>
        <w:spacing w:before="9"/>
      </w:pPr>
    </w:p>
    <w:p>
      <w:pPr>
        <w:pStyle w:val="BodyText"/>
        <w:spacing w:line="235" w:lineRule="auto"/>
        <w:ind w:left="705" w:right="167" w:hanging="541"/>
        <w:jc w:val="both"/>
      </w:pPr>
      <w:bookmarkStart w:name="_bookmark1134" w:id="1136"/>
      <w:bookmarkEnd w:id="1136"/>
      <w:r>
        <w:rPr/>
      </w:r>
      <w:hyperlink w:history="true" w:anchor="_bookmark1095">
        <w:r>
          <w:rPr>
            <w:color w:val="005DA1"/>
            <w:position w:val="5"/>
            <w:sz w:val="14"/>
            <w:u w:val="single" w:color="005DA1"/>
          </w:rPr>
          <w:t>593</w:t>
        </w:r>
      </w:hyperlink>
      <w:r>
        <w:rPr>
          <w:position w:val="5"/>
          <w:sz w:val="14"/>
        </w:rPr>
        <w:t>.</w:t>
      </w:r>
      <w:r>
        <w:rPr>
          <w:spacing w:val="80"/>
          <w:position w:val="5"/>
          <w:sz w:val="14"/>
        </w:rPr>
        <w:t>  </w:t>
      </w:r>
      <w:r>
        <w:rPr/>
        <w:t>If the misrepresentation had been fraudulent or negligent the problem could be avoided </w:t>
      </w:r>
      <w:r>
        <w:rPr/>
        <w:t>since the victim could claim the cost of performing as part of the damages. In the loosely analogous situation where a contract is terminated for breach after the victim has performed part of the services required, the victim may opt to abandon his remedies on the contract and claim a quantum meruit: </w:t>
      </w:r>
      <w:r>
        <w:rPr>
          <w:rFonts w:ascii="Arial" w:hAnsi="Arial"/>
          <w:i/>
        </w:rPr>
        <w:t>Planché v Colburn (1831) 8 Bing. 14</w:t>
      </w:r>
      <w:r>
        <w:rPr/>
        <w:t>; see below, para.29-072.</w:t>
      </w:r>
    </w:p>
    <w:p>
      <w:pPr>
        <w:pStyle w:val="BodyText"/>
        <w:spacing w:before="4"/>
      </w:pPr>
    </w:p>
    <w:p>
      <w:pPr>
        <w:pStyle w:val="BodyText"/>
        <w:tabs>
          <w:tab w:pos="705" w:val="left" w:leader="none"/>
        </w:tabs>
        <w:ind w:left="165"/>
      </w:pPr>
      <w:bookmarkStart w:name="_bookmark1135" w:id="1137"/>
      <w:bookmarkEnd w:id="1137"/>
      <w:r>
        <w:rPr/>
      </w:r>
      <w:hyperlink w:history="true" w:anchor="_bookmark1096">
        <w:r>
          <w:rPr>
            <w:color w:val="005DA1"/>
            <w:spacing w:val="-4"/>
            <w:position w:val="5"/>
            <w:sz w:val="14"/>
            <w:u w:val="single" w:color="005DA1"/>
          </w:rPr>
          <w:t>594</w:t>
        </w:r>
      </w:hyperlink>
      <w:r>
        <w:rPr>
          <w:spacing w:val="-4"/>
          <w:position w:val="5"/>
          <w:sz w:val="14"/>
        </w:rPr>
        <w:t>.</w:t>
      </w:r>
      <w:r>
        <w:rPr>
          <w:position w:val="5"/>
          <w:sz w:val="14"/>
        </w:rPr>
        <w:tab/>
      </w:r>
      <w:r>
        <w:rPr/>
        <w:t>cf. below, paras 8-103 et </w:t>
      </w:r>
      <w:r>
        <w:rPr>
          <w:spacing w:val="-4"/>
        </w:rPr>
        <w:t>seq.</w:t>
      </w:r>
    </w:p>
    <w:p>
      <w:pPr>
        <w:pStyle w:val="BodyText"/>
        <w:spacing w:before="9"/>
      </w:pPr>
    </w:p>
    <w:p>
      <w:pPr>
        <w:pStyle w:val="BodyText"/>
        <w:spacing w:line="235" w:lineRule="auto"/>
        <w:ind w:left="705" w:right="167" w:hanging="541"/>
        <w:jc w:val="both"/>
      </w:pPr>
      <w:bookmarkStart w:name="_bookmark1136" w:id="1138"/>
      <w:bookmarkEnd w:id="1138"/>
      <w:r>
        <w:rPr/>
      </w:r>
      <w:hyperlink w:history="true" w:anchor="_bookmark1097">
        <w:r>
          <w:rPr>
            <w:color w:val="005DA1"/>
            <w:position w:val="5"/>
            <w:sz w:val="14"/>
            <w:u w:val="single" w:color="005DA1"/>
          </w:rPr>
          <w:t>595</w:t>
        </w:r>
      </w:hyperlink>
      <w:r>
        <w:rPr>
          <w:position w:val="5"/>
          <w:sz w:val="14"/>
        </w:rPr>
        <w:t>.</w:t>
      </w:r>
      <w:r>
        <w:rPr>
          <w:spacing w:val="80"/>
          <w:position w:val="5"/>
          <w:sz w:val="14"/>
        </w:rPr>
        <w:t> </w:t>
      </w:r>
      <w:r>
        <w:rPr/>
        <w:t>Burrows, </w:t>
      </w:r>
      <w:r>
        <w:rPr>
          <w:rFonts w:ascii="Arial" w:hAnsi="Arial"/>
          <w:i/>
        </w:rPr>
        <w:t>Law of Restitution</w:t>
      </w:r>
      <w:r>
        <w:rPr/>
        <w:t>, 3rd edn (2011), pp.249–252, arguing that the requirement of restitution is best rationalised as a form of the “change of position” defence; Birks [1997] </w:t>
      </w:r>
      <w:r>
        <w:rPr/>
        <w:t>R.L.R. </w:t>
      </w:r>
      <w:r>
        <w:rPr>
          <w:spacing w:val="-4"/>
        </w:rPr>
        <w:t>72.</w:t>
      </w:r>
    </w:p>
    <w:p>
      <w:pPr>
        <w:pStyle w:val="BodyText"/>
        <w:spacing w:before="5"/>
      </w:pPr>
    </w:p>
    <w:p>
      <w:pPr>
        <w:pStyle w:val="BodyText"/>
        <w:tabs>
          <w:tab w:pos="705" w:val="left" w:leader="none"/>
        </w:tabs>
        <w:ind w:left="165"/>
      </w:pPr>
      <w:bookmarkStart w:name="_bookmark1137" w:id="1139"/>
      <w:bookmarkEnd w:id="1139"/>
      <w:r>
        <w:rPr/>
      </w:r>
      <w:hyperlink w:history="true" w:anchor="_bookmark1098">
        <w:r>
          <w:rPr>
            <w:color w:val="005DA1"/>
            <w:spacing w:val="-4"/>
            <w:position w:val="5"/>
            <w:sz w:val="14"/>
            <w:u w:val="single" w:color="005DA1"/>
          </w:rPr>
          <w:t>596</w:t>
        </w:r>
      </w:hyperlink>
      <w:r>
        <w:rPr>
          <w:spacing w:val="-4"/>
          <w:position w:val="5"/>
          <w:sz w:val="14"/>
        </w:rPr>
        <w:t>.</w:t>
      </w:r>
      <w:r>
        <w:rPr>
          <w:position w:val="5"/>
          <w:sz w:val="14"/>
        </w:rPr>
        <w:tab/>
      </w:r>
      <w:r>
        <w:rPr/>
        <w:t>See above, para.7-127 </w:t>
      </w:r>
      <w:r>
        <w:rPr>
          <w:spacing w:val="-2"/>
        </w:rPr>
        <w:t>n.573.</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8304">
            <wp:simplePos x="0" y="0"/>
            <wp:positionH relativeFrom="page">
              <wp:posOffset>1257846</wp:posOffset>
            </wp:positionH>
            <wp:positionV relativeFrom="paragraph">
              <wp:posOffset>160467</wp:posOffset>
            </wp:positionV>
            <wp:extent cx="107988" cy="107988"/>
            <wp:effectExtent l="0" t="0" r="0" b="0"/>
            <wp:wrapNone/>
            <wp:docPr id="203" name="Image 203"/>
            <wp:cNvGraphicFramePr>
              <a:graphicFrameLocks/>
            </wp:cNvGraphicFramePr>
            <a:graphic>
              <a:graphicData uri="http://schemas.openxmlformats.org/drawingml/2006/picture">
                <pic:pic>
                  <pic:nvPicPr>
                    <pic:cNvPr id="203" name="Image 20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138" w:id="1140"/>
      <w:bookmarkEnd w:id="1140"/>
      <w:r>
        <w:rPr/>
      </w:r>
      <w:hyperlink w:history="true" w:anchor="_bookmark1099">
        <w:r>
          <w:rPr>
            <w:color w:val="005DA1"/>
            <w:spacing w:val="-4"/>
            <w:sz w:val="14"/>
            <w:u w:val="single" w:color="005DA1"/>
          </w:rPr>
          <w:t>597</w:t>
        </w:r>
      </w:hyperlink>
      <w:r>
        <w:rPr>
          <w:spacing w:val="-4"/>
          <w:sz w:val="14"/>
        </w:rPr>
        <w:t>.</w:t>
      </w:r>
    </w:p>
    <w:p>
      <w:pPr>
        <w:spacing w:line="235" w:lineRule="auto" w:before="212"/>
        <w:ind w:left="165" w:right="167" w:firstLine="170"/>
        <w:jc w:val="both"/>
        <w:rPr>
          <w:sz w:val="20"/>
        </w:rPr>
      </w:pPr>
      <w:r>
        <w:rPr/>
        <w:br w:type="column"/>
      </w:r>
      <w:r>
        <w:rPr>
          <w:rFonts w:ascii="Arial"/>
          <w:i/>
          <w:sz w:val="20"/>
        </w:rPr>
        <w:t>Mahoney v Purnell [1996] 3 All E.R. 61</w:t>
      </w:r>
      <w:r>
        <w:rPr>
          <w:sz w:val="20"/>
        </w:rPr>
        <w:t>, discussed below, para.8-105. Neither this case </w:t>
      </w:r>
      <w:r>
        <w:rPr>
          <w:sz w:val="20"/>
        </w:rPr>
        <w:t>nor </w:t>
      </w:r>
      <w:r>
        <w:rPr>
          <w:rFonts w:ascii="Arial"/>
          <w:i/>
          <w:sz w:val="20"/>
        </w:rPr>
        <w:t>Cheese v Thomas [1994] 1 W.L.R. 129 </w:t>
      </w:r>
      <w:r>
        <w:rPr>
          <w:sz w:val="20"/>
        </w:rPr>
        <w:t>(see below, para.8-106) is authority for allowing a claimant to recover the price paid to the defendant for shares if he is unwilling to return the shares to the defendant: </w:t>
      </w:r>
      <w:r>
        <w:rPr>
          <w:rFonts w:ascii="Arial"/>
          <w:i/>
          <w:sz w:val="20"/>
        </w:rPr>
        <w:t>Gamatronic (UK) Ltd v Hamilton [2016] EWHC 2225 (QB) </w:t>
      </w:r>
      <w:r>
        <w:rPr>
          <w:sz w:val="20"/>
        </w:rPr>
        <w:t>at [218].</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8"/>
      </w:pPr>
    </w:p>
    <w:p>
      <w:pPr>
        <w:tabs>
          <w:tab w:pos="705" w:val="left" w:leader="none"/>
        </w:tabs>
        <w:spacing w:line="235" w:lineRule="auto" w:before="1"/>
        <w:ind w:left="705" w:right="168" w:hanging="541"/>
        <w:jc w:val="left"/>
        <w:rPr>
          <w:sz w:val="20"/>
        </w:rPr>
      </w:pPr>
      <w:bookmarkStart w:name="_bookmark1139" w:id="1141"/>
      <w:bookmarkEnd w:id="1141"/>
      <w:r>
        <w:rPr/>
      </w:r>
      <w:hyperlink w:history="true" w:anchor="_bookmark1100">
        <w:r>
          <w:rPr>
            <w:color w:val="005DA1"/>
            <w:spacing w:val="-4"/>
            <w:position w:val="5"/>
            <w:sz w:val="14"/>
            <w:u w:val="single" w:color="005DA1"/>
          </w:rPr>
          <w:t>598</w:t>
        </w:r>
      </w:hyperlink>
      <w:r>
        <w:rPr>
          <w:spacing w:val="-4"/>
          <w:position w:val="5"/>
          <w:sz w:val="14"/>
        </w:rPr>
        <w:t>.</w:t>
      </w:r>
      <w:r>
        <w:rPr>
          <w:position w:val="5"/>
          <w:sz w:val="14"/>
        </w:rPr>
        <w:tab/>
      </w:r>
      <w:r>
        <w:rPr>
          <w:sz w:val="20"/>
        </w:rPr>
        <w:t>See</w:t>
      </w:r>
      <w:r>
        <w:rPr>
          <w:spacing w:val="38"/>
          <w:sz w:val="20"/>
        </w:rPr>
        <w:t> </w:t>
      </w:r>
      <w:r>
        <w:rPr>
          <w:rFonts w:ascii="Arial" w:hAnsi="Arial"/>
          <w:i/>
          <w:sz w:val="20"/>
        </w:rPr>
        <w:t>Halpern</w:t>
      </w:r>
      <w:r>
        <w:rPr>
          <w:rFonts w:ascii="Arial" w:hAnsi="Arial"/>
          <w:i/>
          <w:spacing w:val="38"/>
          <w:sz w:val="20"/>
        </w:rPr>
        <w:t> </w:t>
      </w:r>
      <w:r>
        <w:rPr>
          <w:rFonts w:ascii="Arial" w:hAnsi="Arial"/>
          <w:i/>
          <w:sz w:val="20"/>
        </w:rPr>
        <w:t>v</w:t>
      </w:r>
      <w:r>
        <w:rPr>
          <w:rFonts w:ascii="Arial" w:hAnsi="Arial"/>
          <w:i/>
          <w:spacing w:val="38"/>
          <w:sz w:val="20"/>
        </w:rPr>
        <w:t> </w:t>
      </w:r>
      <w:r>
        <w:rPr>
          <w:rFonts w:ascii="Arial" w:hAnsi="Arial"/>
          <w:i/>
          <w:sz w:val="20"/>
        </w:rPr>
        <w:t>Halpern</w:t>
      </w:r>
      <w:r>
        <w:rPr>
          <w:rFonts w:ascii="Arial" w:hAnsi="Arial"/>
          <w:i/>
          <w:spacing w:val="38"/>
          <w:sz w:val="20"/>
        </w:rPr>
        <w:t> </w:t>
      </w:r>
      <w:r>
        <w:rPr>
          <w:rFonts w:ascii="Arial" w:hAnsi="Arial"/>
          <w:i/>
          <w:sz w:val="20"/>
        </w:rPr>
        <w:t>(No.2)</w:t>
      </w:r>
      <w:r>
        <w:rPr>
          <w:rFonts w:ascii="Arial" w:hAnsi="Arial"/>
          <w:i/>
          <w:spacing w:val="38"/>
          <w:sz w:val="20"/>
        </w:rPr>
        <w:t> </w:t>
      </w:r>
      <w:r>
        <w:rPr>
          <w:rFonts w:ascii="Arial" w:hAnsi="Arial"/>
          <w:i/>
          <w:sz w:val="20"/>
        </w:rPr>
        <w:t>[2007]</w:t>
      </w:r>
      <w:r>
        <w:rPr>
          <w:rFonts w:ascii="Arial" w:hAnsi="Arial"/>
          <w:i/>
          <w:spacing w:val="38"/>
          <w:sz w:val="20"/>
        </w:rPr>
        <w:t> </w:t>
      </w:r>
      <w:r>
        <w:rPr>
          <w:rFonts w:ascii="Arial" w:hAnsi="Arial"/>
          <w:i/>
          <w:sz w:val="20"/>
        </w:rPr>
        <w:t>EWCA</w:t>
      </w:r>
      <w:r>
        <w:rPr>
          <w:rFonts w:ascii="Arial" w:hAnsi="Arial"/>
          <w:i/>
          <w:spacing w:val="38"/>
          <w:sz w:val="20"/>
        </w:rPr>
        <w:t> </w:t>
      </w:r>
      <w:r>
        <w:rPr>
          <w:rFonts w:ascii="Arial" w:hAnsi="Arial"/>
          <w:i/>
          <w:sz w:val="20"/>
        </w:rPr>
        <w:t>Civ</w:t>
      </w:r>
      <w:r>
        <w:rPr>
          <w:rFonts w:ascii="Arial" w:hAnsi="Arial"/>
          <w:i/>
          <w:spacing w:val="38"/>
          <w:sz w:val="20"/>
        </w:rPr>
        <w:t> </w:t>
      </w:r>
      <w:r>
        <w:rPr>
          <w:rFonts w:ascii="Arial" w:hAnsi="Arial"/>
          <w:i/>
          <w:sz w:val="20"/>
        </w:rPr>
        <w:t>291,</w:t>
      </w:r>
      <w:r>
        <w:rPr>
          <w:rFonts w:ascii="Arial" w:hAnsi="Arial"/>
          <w:i/>
          <w:spacing w:val="38"/>
          <w:sz w:val="20"/>
        </w:rPr>
        <w:t> </w:t>
      </w:r>
      <w:r>
        <w:rPr>
          <w:rFonts w:ascii="Arial" w:hAnsi="Arial"/>
          <w:i/>
          <w:sz w:val="20"/>
        </w:rPr>
        <w:t>[2008]</w:t>
      </w:r>
      <w:r>
        <w:rPr>
          <w:rFonts w:ascii="Arial" w:hAnsi="Arial"/>
          <w:i/>
          <w:spacing w:val="38"/>
          <w:sz w:val="20"/>
        </w:rPr>
        <w:t> </w:t>
      </w:r>
      <w:r>
        <w:rPr>
          <w:rFonts w:ascii="Arial" w:hAnsi="Arial"/>
          <w:i/>
          <w:sz w:val="20"/>
        </w:rPr>
        <w:t>Q.B.</w:t>
      </w:r>
      <w:r>
        <w:rPr>
          <w:rFonts w:ascii="Arial" w:hAnsi="Arial"/>
          <w:i/>
          <w:spacing w:val="38"/>
          <w:sz w:val="20"/>
        </w:rPr>
        <w:t> </w:t>
      </w:r>
      <w:r>
        <w:rPr>
          <w:rFonts w:ascii="Arial" w:hAnsi="Arial"/>
          <w:i/>
          <w:sz w:val="20"/>
        </w:rPr>
        <w:t>195</w:t>
      </w:r>
      <w:r>
        <w:rPr>
          <w:rFonts w:ascii="Arial" w:hAnsi="Arial"/>
          <w:i/>
          <w:spacing w:val="38"/>
          <w:sz w:val="20"/>
        </w:rPr>
        <w:t> </w:t>
      </w:r>
      <w:r>
        <w:rPr>
          <w:sz w:val="20"/>
        </w:rPr>
        <w:t>at</w:t>
      </w:r>
      <w:r>
        <w:rPr>
          <w:spacing w:val="38"/>
          <w:sz w:val="20"/>
        </w:rPr>
        <w:t> </w:t>
      </w:r>
      <w:r>
        <w:rPr>
          <w:sz w:val="20"/>
        </w:rPr>
        <w:t>[70]–[73];</w:t>
      </w:r>
      <w:r>
        <w:rPr>
          <w:spacing w:val="38"/>
          <w:sz w:val="20"/>
        </w:rPr>
        <w:t> </w:t>
      </w:r>
      <w:r>
        <w:rPr>
          <w:sz w:val="20"/>
        </w:rPr>
        <w:t>below, </w:t>
      </w:r>
      <w:r>
        <w:rPr>
          <w:spacing w:val="-2"/>
          <w:sz w:val="20"/>
        </w:rPr>
        <w:t>para.8-055.</w:t>
      </w:r>
    </w:p>
    <w:p>
      <w:pPr>
        <w:pStyle w:val="BodyText"/>
        <w:spacing w:before="9"/>
      </w:pPr>
    </w:p>
    <w:p>
      <w:pPr>
        <w:spacing w:line="235" w:lineRule="auto" w:before="0"/>
        <w:ind w:left="705" w:right="167" w:hanging="541"/>
        <w:jc w:val="both"/>
        <w:rPr>
          <w:sz w:val="20"/>
        </w:rPr>
      </w:pPr>
      <w:bookmarkStart w:name="_bookmark1140" w:id="1142"/>
      <w:bookmarkEnd w:id="1142"/>
      <w:r>
        <w:rPr/>
      </w:r>
      <w:hyperlink w:history="true" w:anchor="_bookmark1101">
        <w:r>
          <w:rPr>
            <w:color w:val="005DA1"/>
            <w:position w:val="5"/>
            <w:sz w:val="14"/>
            <w:u w:val="single" w:color="005DA1"/>
          </w:rPr>
          <w:t>599</w:t>
        </w:r>
      </w:hyperlink>
      <w:r>
        <w:rPr>
          <w:position w:val="5"/>
          <w:sz w:val="14"/>
        </w:rPr>
        <w:t>.</w:t>
      </w:r>
      <w:r>
        <w:rPr>
          <w:spacing w:val="80"/>
          <w:position w:val="5"/>
          <w:sz w:val="14"/>
        </w:rPr>
        <w:t>  </w:t>
      </w:r>
      <w:r>
        <w:rPr>
          <w:rFonts w:ascii="Arial" w:hAnsi="Arial"/>
          <w:i/>
          <w:sz w:val="20"/>
        </w:rPr>
        <w:t>Newbigging</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Adam</w:t>
      </w:r>
      <w:r>
        <w:rPr>
          <w:rFonts w:ascii="Arial" w:hAnsi="Arial"/>
          <w:i/>
          <w:spacing w:val="-2"/>
          <w:sz w:val="20"/>
        </w:rPr>
        <w:t> </w:t>
      </w:r>
      <w:r>
        <w:rPr>
          <w:rFonts w:ascii="Arial" w:hAnsi="Arial"/>
          <w:i/>
          <w:sz w:val="20"/>
        </w:rPr>
        <w:t>(1886)</w:t>
      </w:r>
      <w:r>
        <w:rPr>
          <w:rFonts w:ascii="Arial" w:hAnsi="Arial"/>
          <w:i/>
          <w:spacing w:val="-2"/>
          <w:sz w:val="20"/>
        </w:rPr>
        <w:t> </w:t>
      </w:r>
      <w:r>
        <w:rPr>
          <w:rFonts w:ascii="Arial" w:hAnsi="Arial"/>
          <w:i/>
          <w:sz w:val="20"/>
        </w:rPr>
        <w:t>34</w:t>
      </w:r>
      <w:r>
        <w:rPr>
          <w:rFonts w:ascii="Arial" w:hAnsi="Arial"/>
          <w:i/>
          <w:spacing w:val="-2"/>
          <w:sz w:val="20"/>
        </w:rPr>
        <w:t> </w:t>
      </w:r>
      <w:r>
        <w:rPr>
          <w:rFonts w:ascii="Arial" w:hAnsi="Arial"/>
          <w:i/>
          <w:sz w:val="20"/>
        </w:rPr>
        <w:t>Ch.</w:t>
      </w:r>
      <w:r>
        <w:rPr>
          <w:rFonts w:ascii="Arial" w:hAnsi="Arial"/>
          <w:i/>
          <w:spacing w:val="-2"/>
          <w:sz w:val="20"/>
        </w:rPr>
        <w:t> </w:t>
      </w:r>
      <w:r>
        <w:rPr>
          <w:rFonts w:ascii="Arial" w:hAnsi="Arial"/>
          <w:i/>
          <w:sz w:val="20"/>
        </w:rPr>
        <w:t>D.</w:t>
      </w:r>
      <w:r>
        <w:rPr>
          <w:rFonts w:ascii="Arial" w:hAnsi="Arial"/>
          <w:i/>
          <w:spacing w:val="-2"/>
          <w:sz w:val="20"/>
        </w:rPr>
        <w:t> </w:t>
      </w:r>
      <w:r>
        <w:rPr>
          <w:rFonts w:ascii="Arial" w:hAnsi="Arial"/>
          <w:i/>
          <w:sz w:val="20"/>
        </w:rPr>
        <w:t>582,</w:t>
      </w:r>
      <w:r>
        <w:rPr>
          <w:rFonts w:ascii="Arial" w:hAnsi="Arial"/>
          <w:i/>
          <w:spacing w:val="-2"/>
          <w:sz w:val="20"/>
        </w:rPr>
        <w:t> </w:t>
      </w:r>
      <w:r>
        <w:rPr>
          <w:rFonts w:ascii="Arial" w:hAnsi="Arial"/>
          <w:i/>
          <w:sz w:val="20"/>
        </w:rPr>
        <w:t>594</w:t>
      </w:r>
      <w:r>
        <w:rPr>
          <w:sz w:val="20"/>
        </w:rPr>
        <w:t>,</w:t>
      </w:r>
      <w:r>
        <w:rPr>
          <w:spacing w:val="-2"/>
          <w:sz w:val="20"/>
        </w:rPr>
        <w:t> </w:t>
      </w:r>
      <w:r>
        <w:rPr>
          <w:sz w:val="20"/>
        </w:rPr>
        <w:t>per</w:t>
      </w:r>
      <w:r>
        <w:rPr>
          <w:spacing w:val="-2"/>
          <w:sz w:val="20"/>
        </w:rPr>
        <w:t> </w:t>
      </w:r>
      <w:r>
        <w:rPr>
          <w:sz w:val="20"/>
        </w:rPr>
        <w:t>Bowen</w:t>
      </w:r>
      <w:r>
        <w:rPr>
          <w:spacing w:val="-2"/>
          <w:sz w:val="20"/>
        </w:rPr>
        <w:t> </w:t>
      </w:r>
      <w:r>
        <w:rPr>
          <w:sz w:val="20"/>
        </w:rPr>
        <w:t>L.J.</w:t>
      </w:r>
      <w:r>
        <w:rPr>
          <w:spacing w:val="-2"/>
          <w:sz w:val="20"/>
        </w:rPr>
        <w:t> </w:t>
      </w:r>
      <w:r>
        <w:rPr>
          <w:sz w:val="20"/>
        </w:rPr>
        <w:t>Cotton</w:t>
      </w:r>
      <w:r>
        <w:rPr>
          <w:spacing w:val="-2"/>
          <w:sz w:val="20"/>
        </w:rPr>
        <w:t> </w:t>
      </w:r>
      <w:r>
        <w:rPr>
          <w:sz w:val="20"/>
        </w:rPr>
        <w:t>and</w:t>
      </w:r>
      <w:r>
        <w:rPr>
          <w:spacing w:val="-2"/>
          <w:sz w:val="20"/>
        </w:rPr>
        <w:t> </w:t>
      </w:r>
      <w:r>
        <w:rPr>
          <w:sz w:val="20"/>
        </w:rPr>
        <w:t>Fry</w:t>
      </w:r>
      <w:r>
        <w:rPr>
          <w:spacing w:val="-2"/>
          <w:sz w:val="20"/>
        </w:rPr>
        <w:t> </w:t>
      </w:r>
      <w:r>
        <w:rPr>
          <w:sz w:val="20"/>
        </w:rPr>
        <w:t>L.JJ.</w:t>
      </w:r>
      <w:r>
        <w:rPr>
          <w:spacing w:val="-2"/>
          <w:sz w:val="20"/>
        </w:rPr>
        <w:t> </w:t>
      </w:r>
      <w:r>
        <w:rPr>
          <w:sz w:val="20"/>
        </w:rPr>
        <w:t>interpreted “indemnity” more widely, but their view was not followed in </w:t>
      </w:r>
      <w:r>
        <w:rPr>
          <w:rFonts w:ascii="Arial" w:hAnsi="Arial"/>
          <w:i/>
          <w:sz w:val="20"/>
        </w:rPr>
        <w:t>Whittington v Seale-Hayne (1900)</w:t>
      </w:r>
      <w:r>
        <w:rPr>
          <w:rFonts w:ascii="Arial" w:hAnsi="Arial"/>
          <w:i/>
          <w:spacing w:val="40"/>
          <w:sz w:val="20"/>
        </w:rPr>
        <w:t> </w:t>
      </w:r>
      <w:r>
        <w:rPr>
          <w:rFonts w:ascii="Arial" w:hAnsi="Arial"/>
          <w:i/>
          <w:sz w:val="20"/>
        </w:rPr>
        <w:t>82 L.T. 49</w:t>
      </w:r>
      <w:r>
        <w:rPr>
          <w:sz w:val="20"/>
        </w:rPr>
        <w:t>, below, para.7-130. cf. </w:t>
      </w:r>
      <w:r>
        <w:rPr>
          <w:rFonts w:ascii="Arial" w:hAnsi="Arial"/>
          <w:i/>
          <w:sz w:val="20"/>
        </w:rPr>
        <w:t>Horsler v Zorro [1975] Ch. 302 </w:t>
      </w:r>
      <w:r>
        <w:rPr>
          <w:sz w:val="20"/>
        </w:rPr>
        <w:t>where it was held that, </w:t>
      </w:r>
      <w:r>
        <w:rPr>
          <w:sz w:val="20"/>
        </w:rPr>
        <w:t>on termination for </w:t>
      </w:r>
      <w:r>
        <w:rPr>
          <w:rFonts w:ascii="Arial" w:hAnsi="Arial"/>
          <w:i/>
          <w:sz w:val="20"/>
        </w:rPr>
        <w:t>breach of contract </w:t>
      </w:r>
      <w:r>
        <w:rPr>
          <w:sz w:val="20"/>
        </w:rPr>
        <w:t>the innocent party was entitled to recover expenses thrown </w:t>
      </w:r>
      <w:r>
        <w:rPr>
          <w:spacing w:val="-2"/>
          <w:sz w:val="20"/>
        </w:rPr>
        <w:t>away.</w:t>
      </w:r>
    </w:p>
    <w:p>
      <w:pPr>
        <w:pStyle w:val="BodyText"/>
        <w:spacing w:before="4"/>
      </w:pPr>
    </w:p>
    <w:p>
      <w:pPr>
        <w:tabs>
          <w:tab w:pos="705" w:val="left" w:leader="none"/>
        </w:tabs>
        <w:spacing w:before="0"/>
        <w:ind w:left="165" w:right="0" w:firstLine="0"/>
        <w:jc w:val="left"/>
        <w:rPr>
          <w:sz w:val="20"/>
        </w:rPr>
      </w:pPr>
      <w:bookmarkStart w:name="_bookmark1141" w:id="1143"/>
      <w:bookmarkEnd w:id="1143"/>
      <w:r>
        <w:rPr/>
      </w:r>
      <w:hyperlink w:history="true" w:anchor="_bookmark1102">
        <w:r>
          <w:rPr>
            <w:color w:val="005DA1"/>
            <w:spacing w:val="-4"/>
            <w:position w:val="5"/>
            <w:sz w:val="14"/>
            <w:u w:val="single" w:color="005DA1"/>
          </w:rPr>
          <w:t>600</w:t>
        </w:r>
      </w:hyperlink>
      <w:r>
        <w:rPr>
          <w:spacing w:val="-4"/>
          <w:position w:val="5"/>
          <w:sz w:val="14"/>
        </w:rPr>
        <w:t>.</w:t>
      </w:r>
      <w:r>
        <w:rPr>
          <w:position w:val="5"/>
          <w:sz w:val="14"/>
        </w:rPr>
        <w:tab/>
      </w:r>
      <w:r>
        <w:rPr>
          <w:rFonts w:ascii="Arial"/>
          <w:i/>
          <w:sz w:val="20"/>
        </w:rPr>
        <w:t>(1900) 82 L.T. </w:t>
      </w:r>
      <w:r>
        <w:rPr>
          <w:rFonts w:ascii="Arial"/>
          <w:i/>
          <w:spacing w:val="-5"/>
          <w:sz w:val="20"/>
        </w:rPr>
        <w:t>49</w:t>
      </w:r>
      <w:r>
        <w:rPr>
          <w:spacing w:val="-5"/>
          <w:sz w:val="20"/>
        </w:rPr>
        <w:t>.</w:t>
      </w:r>
    </w:p>
    <w:p>
      <w:pPr>
        <w:pStyle w:val="BodyText"/>
        <w:rPr>
          <w:sz w:val="14"/>
        </w:rPr>
      </w:pPr>
    </w:p>
    <w:p>
      <w:pPr>
        <w:pStyle w:val="BodyText"/>
        <w:spacing w:before="100"/>
        <w:rPr>
          <w:sz w:val="14"/>
        </w:rPr>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539" w:right="2543"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3912704">
                <wp:simplePos x="0" y="0"/>
                <wp:positionH relativeFrom="page">
                  <wp:posOffset>4851958</wp:posOffset>
                </wp:positionH>
                <wp:positionV relativeFrom="paragraph">
                  <wp:posOffset>377436</wp:posOffset>
                </wp:positionV>
                <wp:extent cx="42545"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03776" from="382.044006pt,29.719406pt" to="385.380006pt,29.719406pt" stroked="true" strokeweight=".428pt" strokecolor="#005da1">
                <v:stroke dashstyle="solid"/>
                <w10:wrap type="none"/>
              </v:line>
            </w:pict>
          </mc:Fallback>
        </mc:AlternateContent>
      </w:r>
      <w:r>
        <w:rPr>
          <w:rFonts w:ascii="Arial"/>
          <w:b/>
          <w:sz w:val="24"/>
        </w:rPr>
        <w:t>Part 2 - Formation of Contract Chapter 7 - Misrepresentation</w:t>
      </w:r>
      <w:r>
        <w:rPr>
          <w:rFonts w:ascii="Arial"/>
          <w:b/>
          <w:spacing w:val="-1"/>
          <w:sz w:val="24"/>
        </w:rPr>
        <w:t> </w:t>
      </w:r>
      <w:r>
        <w:rPr>
          <w:rFonts w:ascii="Arial"/>
          <w:b/>
          <w:color w:val="005DA1"/>
          <w:spacing w:val="-10"/>
          <w:position w:val="11"/>
          <w:sz w:val="12"/>
        </w:rPr>
        <w:t>1</w:t>
      </w:r>
    </w:p>
    <w:p>
      <w:pPr>
        <w:spacing w:before="2"/>
        <w:ind w:left="940" w:right="943" w:firstLine="0"/>
        <w:jc w:val="center"/>
        <w:rPr>
          <w:rFonts w:ascii="Arial"/>
          <w:b/>
          <w:sz w:val="24"/>
        </w:rPr>
      </w:pPr>
      <w:r>
        <w:rPr>
          <w:rFonts w:ascii="Arial"/>
          <w:b/>
          <w:sz w:val="24"/>
        </w:rPr>
        <w:t>Section 4. - Rescission for </w:t>
      </w:r>
      <w:r>
        <w:rPr>
          <w:rFonts w:ascii="Arial"/>
          <w:b/>
          <w:spacing w:val="-2"/>
          <w:sz w:val="24"/>
        </w:rPr>
        <w:t>Misrepresentation</w:t>
      </w:r>
    </w:p>
    <w:p>
      <w:pPr>
        <w:spacing w:before="194"/>
        <w:ind w:left="2338" w:right="0" w:firstLine="0"/>
        <w:jc w:val="left"/>
        <w:rPr>
          <w:rFonts w:ascii="Arial"/>
          <w:b/>
          <w:sz w:val="24"/>
        </w:rPr>
      </w:pPr>
      <w:r>
        <w:rPr>
          <w:rFonts w:ascii="Arial"/>
          <w:b/>
          <w:sz w:val="24"/>
        </w:rPr>
        <w:t>(c) - Other Bars to Remedy of </w:t>
      </w:r>
      <w:r>
        <w:rPr>
          <w:rFonts w:ascii="Arial"/>
          <w:b/>
          <w:spacing w:val="-2"/>
          <w:sz w:val="24"/>
        </w:rPr>
        <w:t>Rescission</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Restrictions on the right to </w:t>
      </w:r>
      <w:r>
        <w:rPr>
          <w:rFonts w:ascii="Arial"/>
          <w:b/>
          <w:spacing w:val="-2"/>
          <w:sz w:val="18"/>
        </w:rPr>
        <w:t>rescind</w:t>
      </w:r>
    </w:p>
    <w:p>
      <w:pPr>
        <w:pStyle w:val="BodyText"/>
        <w:spacing w:before="41"/>
        <w:rPr>
          <w:rFonts w:ascii="Arial"/>
          <w:b/>
          <w:sz w:val="18"/>
        </w:rPr>
      </w:pPr>
    </w:p>
    <w:p>
      <w:pPr>
        <w:pStyle w:val="Heading2"/>
        <w:ind w:left="164"/>
      </w:pPr>
      <w:r>
        <w:rPr/>
        <w:t>7-</w:t>
      </w:r>
      <w:r>
        <w:rPr>
          <w:spacing w:val="-5"/>
        </w:rPr>
        <w:t>131</w:t>
      </w:r>
    </w:p>
    <w:p>
      <w:pPr>
        <w:pStyle w:val="BodyText"/>
        <w:spacing w:line="235" w:lineRule="auto" w:before="203"/>
        <w:ind w:left="164" w:right="167"/>
        <w:jc w:val="both"/>
      </w:pPr>
      <w:r>
        <w:rPr/>
        <w:t>The ability to make restitution is an essential to the rescission of a contract, but it does not follow that </w:t>
      </w:r>
      <w:bookmarkStart w:name="_bookmark1142" w:id="1144"/>
      <w:bookmarkEnd w:id="1144"/>
      <w:r>
        <w:rPr/>
        <w:t>because</w:t>
      </w:r>
      <w:r>
        <w:rPr/>
        <w:t> restitution is possible, rescission must result. For (apart altogether from the </w:t>
      </w:r>
      <w:r>
        <w:rPr/>
        <w:t>court’s discretionary power to refuse rescission in cases of innocent or negligent misrepresentation) </w:t>
      </w:r>
      <w:r>
        <w:rPr>
          <w:color w:val="005DA1"/>
          <w:u w:val="single" w:color="005DA1"/>
          <w:vertAlign w:val="superscript"/>
        </w:rPr>
        <w:t>601</w:t>
      </w:r>
      <w:r>
        <w:rPr>
          <w:color w:val="005DA1"/>
          <w:vertAlign w:val="baseline"/>
        </w:rPr>
        <w:t> </w:t>
      </w:r>
      <w:r>
        <w:rPr>
          <w:vertAlign w:val="baseline"/>
        </w:rPr>
        <w:t>the plaintiff may find his claim barred by one of three restrictions on the right to rescind, namely, affirmation</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contract,</w:t>
      </w:r>
      <w:r>
        <w:rPr>
          <w:spacing w:val="40"/>
          <w:vertAlign w:val="baseline"/>
        </w:rPr>
        <w:t> </w:t>
      </w:r>
      <w:r>
        <w:rPr>
          <w:vertAlign w:val="baseline"/>
        </w:rPr>
        <w:t>lapse</w:t>
      </w:r>
      <w:r>
        <w:rPr>
          <w:spacing w:val="40"/>
          <w:vertAlign w:val="baseline"/>
        </w:rPr>
        <w:t> </w:t>
      </w:r>
      <w:r>
        <w:rPr>
          <w:vertAlign w:val="baseline"/>
        </w:rPr>
        <w:t>of</w:t>
      </w:r>
      <w:r>
        <w:rPr>
          <w:spacing w:val="40"/>
          <w:vertAlign w:val="baseline"/>
        </w:rPr>
        <w:t> </w:t>
      </w:r>
      <w:r>
        <w:rPr>
          <w:vertAlign w:val="baseline"/>
        </w:rPr>
        <w:t>time</w:t>
      </w:r>
      <w:r>
        <w:rPr>
          <w:spacing w:val="40"/>
          <w:vertAlign w:val="baseline"/>
        </w:rPr>
        <w:t> </w:t>
      </w:r>
      <w:r>
        <w:rPr>
          <w:vertAlign w:val="baseline"/>
        </w:rPr>
        <w:t>or</w:t>
      </w:r>
      <w:r>
        <w:rPr>
          <w:spacing w:val="40"/>
          <w:vertAlign w:val="baseline"/>
        </w:rPr>
        <w:t> </w:t>
      </w:r>
      <w:r>
        <w:rPr>
          <w:vertAlign w:val="baseline"/>
        </w:rPr>
        <w:t>the</w:t>
      </w:r>
      <w:r>
        <w:rPr>
          <w:spacing w:val="40"/>
          <w:vertAlign w:val="baseline"/>
        </w:rPr>
        <w:t> </w:t>
      </w:r>
      <w:r>
        <w:rPr>
          <w:vertAlign w:val="baseline"/>
        </w:rPr>
        <w:t>acquisition</w:t>
      </w:r>
      <w:r>
        <w:rPr>
          <w:spacing w:val="40"/>
          <w:vertAlign w:val="baseline"/>
        </w:rPr>
        <w:t> </w:t>
      </w:r>
      <w:r>
        <w:rPr>
          <w:vertAlign w:val="baseline"/>
        </w:rPr>
        <w:t>by</w:t>
      </w:r>
      <w:r>
        <w:rPr>
          <w:spacing w:val="40"/>
          <w:vertAlign w:val="baseline"/>
        </w:rPr>
        <w:t> </w:t>
      </w:r>
      <w:r>
        <w:rPr>
          <w:vertAlign w:val="baseline"/>
        </w:rPr>
        <w:t>a</w:t>
      </w:r>
      <w:r>
        <w:rPr>
          <w:spacing w:val="40"/>
          <w:vertAlign w:val="baseline"/>
        </w:rPr>
        <w:t> </w:t>
      </w:r>
      <w:r>
        <w:rPr>
          <w:vertAlign w:val="baseline"/>
        </w:rPr>
        <w:t>third</w:t>
      </w:r>
      <w:r>
        <w:rPr>
          <w:spacing w:val="40"/>
          <w:vertAlign w:val="baseline"/>
        </w:rPr>
        <w:t> </w:t>
      </w:r>
      <w:r>
        <w:rPr>
          <w:vertAlign w:val="baseline"/>
        </w:rPr>
        <w:t>party</w:t>
      </w:r>
      <w:r>
        <w:rPr>
          <w:spacing w:val="40"/>
          <w:vertAlign w:val="baseline"/>
        </w:rPr>
        <w:t> </w:t>
      </w:r>
      <w:r>
        <w:rPr>
          <w:vertAlign w:val="baseline"/>
        </w:rPr>
        <w:t>of</w:t>
      </w:r>
      <w:r>
        <w:rPr>
          <w:spacing w:val="40"/>
          <w:vertAlign w:val="baseline"/>
        </w:rPr>
        <w:t> </w:t>
      </w:r>
      <w:r>
        <w:rPr>
          <w:vertAlign w:val="baseline"/>
        </w:rPr>
        <w:t>rights</w:t>
      </w:r>
      <w:r>
        <w:rPr>
          <w:spacing w:val="40"/>
          <w:vertAlign w:val="baseline"/>
        </w:rPr>
        <w:t> </w:t>
      </w:r>
      <w:r>
        <w:rPr>
          <w:vertAlign w:val="baseline"/>
        </w:rPr>
        <w:t>in</w:t>
      </w:r>
      <w:r>
        <w:rPr>
          <w:spacing w:val="40"/>
          <w:vertAlign w:val="baseline"/>
        </w:rPr>
        <w:t> </w:t>
      </w:r>
      <w:r>
        <w:rPr>
          <w:vertAlign w:val="baseline"/>
        </w:rPr>
        <w:t>the subject-matter of the contract. Until the passing of the Misrepresentation Act there was also a fourth bar to rescission in cases of innocent misrepresentation, namely, the execution of the contract; this has now been abrogated.</w:t>
      </w:r>
    </w:p>
    <w:p>
      <w:pPr>
        <w:pStyle w:val="BodyText"/>
      </w:pPr>
    </w:p>
    <w:p>
      <w:pPr>
        <w:pStyle w:val="BodyText"/>
        <w:spacing w:before="35"/>
      </w:pPr>
    </w:p>
    <w:p>
      <w:pPr>
        <w:spacing w:before="0"/>
        <w:ind w:left="165" w:right="0" w:firstLine="0"/>
        <w:jc w:val="left"/>
        <w:rPr>
          <w:rFonts w:ascii="Arial"/>
          <w:b/>
          <w:sz w:val="18"/>
        </w:rPr>
      </w:pPr>
      <w:r>
        <w:rPr>
          <w:rFonts w:ascii="Arial"/>
          <w:b/>
          <w:sz w:val="18"/>
        </w:rPr>
        <w:t>Affirmation of the </w:t>
      </w:r>
      <w:r>
        <w:rPr>
          <w:rFonts w:ascii="Arial"/>
          <w:b/>
          <w:spacing w:val="-2"/>
          <w:sz w:val="18"/>
        </w:rPr>
        <w:t>contract</w:t>
      </w:r>
    </w:p>
    <w:p>
      <w:pPr>
        <w:pStyle w:val="BodyText"/>
        <w:spacing w:before="42"/>
        <w:rPr>
          <w:rFonts w:ascii="Arial"/>
          <w:b/>
          <w:sz w:val="18"/>
        </w:rPr>
      </w:pPr>
    </w:p>
    <w:p>
      <w:pPr>
        <w:pStyle w:val="Heading2"/>
      </w:pPr>
      <w:r>
        <w:rPr/>
        <w:t>7-</w:t>
      </w:r>
      <w:r>
        <w:rPr>
          <w:spacing w:val="-5"/>
        </w:rPr>
        <w:t>132</w:t>
      </w:r>
    </w:p>
    <w:p>
      <w:pPr>
        <w:pStyle w:val="BodyText"/>
        <w:spacing w:line="235" w:lineRule="auto" w:before="202"/>
        <w:ind w:left="164" w:right="167"/>
        <w:jc w:val="both"/>
      </w:pPr>
      <w:r>
        <w:rPr/>
        <w:t>If the representee, having discovered the misrepresentation, either expressly declares his intention </w:t>
      </w:r>
      <w:r>
        <w:rPr/>
        <w:t>to </w:t>
      </w:r>
      <w:bookmarkStart w:name="_bookmark1143" w:id="1145"/>
      <w:bookmarkEnd w:id="1145"/>
      <w:r>
        <w:rPr/>
        <w:t>proceed</w:t>
      </w:r>
      <w:r>
        <w:rPr/>
        <w:t> with the contract, or does some act inconsistent with an intention to rescind the contract, he</w:t>
      </w:r>
      <w:r>
        <w:rPr>
          <w:spacing w:val="40"/>
        </w:rPr>
        <w:t> </w:t>
      </w:r>
      <w:r>
        <w:rPr/>
        <w:t>is bound by his affirmation. </w:t>
      </w:r>
      <w:r>
        <w:rPr>
          <w:color w:val="005DA1"/>
          <w:u w:val="single" w:color="005DA1"/>
          <w:vertAlign w:val="superscript"/>
        </w:rPr>
        <w:t>602</w:t>
      </w:r>
      <w:r>
        <w:rPr>
          <w:color w:val="005DA1"/>
          <w:vertAlign w:val="baseline"/>
        </w:rPr>
        <w:t> </w:t>
      </w:r>
      <w:r>
        <w:rPr>
          <w:vertAlign w:val="baseline"/>
        </w:rPr>
        <w:t>Thus a shareholder’s right to claim rescission of a contract to take </w:t>
      </w:r>
      <w:bookmarkStart w:name="_bookmark1144" w:id="1146"/>
      <w:bookmarkEnd w:id="1146"/>
      <w:r>
        <w:rPr>
          <w:vertAlign w:val="baseline"/>
        </w:rPr>
        <w:t>shares,</w:t>
      </w:r>
      <w:r>
        <w:rPr>
          <w:vertAlign w:val="baseline"/>
        </w:rPr>
        <w:t> made on the strength of a misrepresentation in the prospectus, may be lost if, after </w:t>
      </w:r>
      <w:bookmarkStart w:name="_bookmark1145" w:id="1147"/>
      <w:bookmarkEnd w:id="1147"/>
      <w:r>
        <w:rPr>
          <w:vertAlign w:val="baseline"/>
        </w:rPr>
        <w:t>discovering</w:t>
      </w:r>
      <w:r>
        <w:rPr>
          <w:vertAlign w:val="baseline"/>
        </w:rPr>
        <w:t> the facts, he carries on the business of which the shares give him control, </w:t>
      </w:r>
      <w:r>
        <w:rPr>
          <w:color w:val="005DA1"/>
          <w:u w:val="single" w:color="005DA1"/>
          <w:vertAlign w:val="superscript"/>
        </w:rPr>
        <w:t>603</w:t>
      </w:r>
      <w:r>
        <w:rPr>
          <w:color w:val="005DA1"/>
          <w:vertAlign w:val="baseline"/>
        </w:rPr>
        <w:t> </w:t>
      </w:r>
      <w:r>
        <w:rPr>
          <w:vertAlign w:val="baseline"/>
        </w:rPr>
        <w:t>or if he attends a shareholders’ meeting </w:t>
      </w:r>
      <w:r>
        <w:rPr>
          <w:color w:val="005DA1"/>
          <w:u w:val="single" w:color="005DA1"/>
          <w:vertAlign w:val="superscript"/>
        </w:rPr>
        <w:t>604</w:t>
      </w:r>
      <w:r>
        <w:rPr>
          <w:color w:val="005DA1"/>
          <w:vertAlign w:val="baseline"/>
        </w:rPr>
        <w:t> </w:t>
      </w:r>
      <w:r>
        <w:rPr>
          <w:vertAlign w:val="baseline"/>
        </w:rPr>
        <w:t>or tries to sell the shares </w:t>
      </w:r>
      <w:r>
        <w:rPr>
          <w:color w:val="005DA1"/>
          <w:u w:val="single" w:color="005DA1"/>
          <w:vertAlign w:val="superscript"/>
        </w:rPr>
        <w:t>605</w:t>
      </w:r>
      <w:r>
        <w:rPr>
          <w:vertAlign w:val="baseline"/>
        </w:rPr>
        <w:t>; for by such acts he is taken to have affirmed the contract. But, where rescission cannot in fact be made without the co-operation of the representor, affirmation is not to be inferred merely because the representee continues to enjoy the fruits of the contract. So where purchasers of shares in a motel company continued to occupy the </w:t>
      </w:r>
      <w:bookmarkStart w:name="_bookmark1146" w:id="1148"/>
      <w:bookmarkEnd w:id="1148"/>
      <w:r>
        <w:rPr>
          <w:vertAlign w:val="baseline"/>
        </w:rPr>
        <w:t>motel</w:t>
      </w:r>
      <w:r>
        <w:rPr>
          <w:vertAlign w:val="baseline"/>
        </w:rPr>
        <w:t> and manage the company after discovering that they had been induced to buy by fraud, this </w:t>
      </w:r>
      <w:bookmarkStart w:name="_bookmark1147" w:id="1149"/>
      <w:bookmarkEnd w:id="1149"/>
      <w:r>
        <w:rPr>
          <w:vertAlign w:val="baseline"/>
        </w:rPr>
        <w:t>was</w:t>
      </w:r>
      <w:r>
        <w:rPr>
          <w:vertAlign w:val="baseline"/>
        </w:rPr>
        <w:t> held insufficient evidence of affirmation </w:t>
      </w:r>
      <w:r>
        <w:rPr>
          <w:color w:val="005DA1"/>
          <w:u w:val="single" w:color="005DA1"/>
          <w:vertAlign w:val="superscript"/>
        </w:rPr>
        <w:t>606</w:t>
      </w:r>
      <w:r>
        <w:rPr>
          <w:vertAlign w:val="baseline"/>
        </w:rPr>
        <w:t>; the purchasers in fact took prompt proceedings for rescission, and they could not have rescinded out of court without the co-operation of the vendors. </w:t>
      </w:r>
      <w:r>
        <w:rPr>
          <w:color w:val="005DA1"/>
          <w:u w:val="single" w:color="005DA1"/>
          <w:vertAlign w:val="superscript"/>
        </w:rPr>
        <w:t>607</w:t>
      </w:r>
      <w:r>
        <w:rPr>
          <w:color w:val="005DA1"/>
          <w:vertAlign w:val="baseline"/>
        </w:rPr>
        <w:t> </w:t>
      </w:r>
      <w:r>
        <w:rPr>
          <w:vertAlign w:val="baseline"/>
        </w:rPr>
        <w:t>And a representee who became suspicious of the truth of representations which induced her to buy a </w:t>
      </w:r>
      <w:bookmarkStart w:name="_bookmark1148" w:id="1150"/>
      <w:bookmarkEnd w:id="1150"/>
      <w:r>
        <w:rPr>
          <w:vertAlign w:val="baseline"/>
        </w:rPr>
        <w:t>share</w:t>
      </w:r>
      <w:r>
        <w:rPr>
          <w:vertAlign w:val="baseline"/>
        </w:rPr>
        <w:t> in a partnership was held not to have affirmed merely because she continued to act as a</w:t>
      </w:r>
      <w:r>
        <w:rPr>
          <w:spacing w:val="40"/>
          <w:vertAlign w:val="baseline"/>
        </w:rPr>
        <w:t> </w:t>
      </w:r>
      <w:r>
        <w:rPr>
          <w:vertAlign w:val="baseline"/>
        </w:rPr>
        <w:t>partner while she took steps to verify her suspicions. </w:t>
      </w:r>
      <w:r>
        <w:rPr>
          <w:color w:val="005DA1"/>
          <w:u w:val="single" w:color="005DA1"/>
          <w:vertAlign w:val="superscript"/>
        </w:rPr>
        <w:t>608</w:t>
      </w:r>
      <w:r>
        <w:rPr>
          <w:color w:val="005DA1"/>
          <w:vertAlign w:val="baseline"/>
        </w:rPr>
        <w:t> </w:t>
      </w:r>
      <w:r>
        <w:rPr>
          <w:vertAlign w:val="baseline"/>
        </w:rPr>
        <w:t>Each case is decided on its own facts, and the courts pay particular attention to the nature of the contract, to any lapse of time which may have </w:t>
      </w:r>
      <w:bookmarkStart w:name="_bookmark1149" w:id="1151"/>
      <w:bookmarkEnd w:id="1151"/>
      <w:r>
        <w:rPr>
          <w:vertAlign w:val="baseline"/>
        </w:rPr>
        <w:t>occurred,</w:t>
      </w:r>
      <w:r>
        <w:rPr>
          <w:vertAlign w:val="baseline"/>
        </w:rPr>
        <w:t> and to the question whether the representor has changed his position in reliance on the absence of a protest by the representee, or whether third parties have been affected by this. </w:t>
      </w:r>
      <w:r>
        <w:rPr>
          <w:color w:val="005DA1"/>
          <w:u w:val="single" w:color="005DA1"/>
          <w:vertAlign w:val="superscript"/>
        </w:rPr>
        <w:t>609</w:t>
      </w:r>
    </w:p>
    <w:p>
      <w:pPr>
        <w:pStyle w:val="BodyText"/>
      </w:pPr>
    </w:p>
    <w:p>
      <w:pPr>
        <w:pStyle w:val="BodyText"/>
        <w:spacing w:before="32"/>
      </w:pPr>
    </w:p>
    <w:p>
      <w:pPr>
        <w:spacing w:before="0"/>
        <w:ind w:left="165" w:right="0" w:firstLine="0"/>
        <w:jc w:val="left"/>
        <w:rPr>
          <w:rFonts w:ascii="Arial"/>
          <w:b/>
          <w:sz w:val="18"/>
        </w:rPr>
      </w:pPr>
      <w:r>
        <w:rPr>
          <w:rFonts w:ascii="Arial"/>
          <w:b/>
          <w:sz w:val="18"/>
        </w:rPr>
        <w:t>Affirmation requires </w:t>
      </w:r>
      <w:r>
        <w:rPr>
          <w:rFonts w:ascii="Arial"/>
          <w:b/>
          <w:spacing w:val="-2"/>
          <w:sz w:val="18"/>
        </w:rPr>
        <w:t>knowledge</w:t>
      </w:r>
    </w:p>
    <w:p>
      <w:pPr>
        <w:pStyle w:val="BodyText"/>
        <w:spacing w:before="41"/>
        <w:rPr>
          <w:rFonts w:ascii="Arial"/>
          <w:b/>
          <w:sz w:val="18"/>
        </w:rPr>
      </w:pPr>
    </w:p>
    <w:p>
      <w:pPr>
        <w:pStyle w:val="Heading2"/>
      </w:pPr>
      <w:r>
        <w:rPr/>
        <w:t>7-</w:t>
      </w:r>
      <w:r>
        <w:rPr>
          <w:spacing w:val="-5"/>
        </w:rPr>
        <w:t>133</w:t>
      </w:r>
    </w:p>
    <w:p>
      <w:pPr>
        <w:pStyle w:val="BodyText"/>
        <w:spacing w:before="199"/>
        <w:ind w:left="165"/>
        <w:jc w:val="both"/>
      </w:pPr>
      <w:r>
        <w:rPr/>
        <w:t>In</w:t>
      </w:r>
      <w:r>
        <w:rPr>
          <w:spacing w:val="7"/>
        </w:rPr>
        <w:t> </w:t>
      </w:r>
      <w:r>
        <w:rPr/>
        <w:t>general,</w:t>
      </w:r>
      <w:r>
        <w:rPr>
          <w:spacing w:val="7"/>
        </w:rPr>
        <w:t> </w:t>
      </w:r>
      <w:r>
        <w:rPr/>
        <w:t>a</w:t>
      </w:r>
      <w:r>
        <w:rPr>
          <w:spacing w:val="7"/>
        </w:rPr>
        <w:t> </w:t>
      </w:r>
      <w:r>
        <w:rPr/>
        <w:t>party</w:t>
      </w:r>
      <w:r>
        <w:rPr>
          <w:spacing w:val="7"/>
        </w:rPr>
        <w:t> </w:t>
      </w:r>
      <w:r>
        <w:rPr/>
        <w:t>entitled</w:t>
      </w:r>
      <w:r>
        <w:rPr>
          <w:spacing w:val="7"/>
        </w:rPr>
        <w:t> </w:t>
      </w:r>
      <w:r>
        <w:rPr/>
        <w:t>to</w:t>
      </w:r>
      <w:r>
        <w:rPr>
          <w:spacing w:val="7"/>
        </w:rPr>
        <w:t> </w:t>
      </w:r>
      <w:r>
        <w:rPr/>
        <w:t>rescind</w:t>
      </w:r>
      <w:r>
        <w:rPr>
          <w:spacing w:val="7"/>
        </w:rPr>
        <w:t> </w:t>
      </w:r>
      <w:r>
        <w:rPr/>
        <w:t>or</w:t>
      </w:r>
      <w:r>
        <w:rPr>
          <w:spacing w:val="7"/>
        </w:rPr>
        <w:t> </w:t>
      </w:r>
      <w:r>
        <w:rPr/>
        <w:t>avoid</w:t>
      </w:r>
      <w:r>
        <w:rPr>
          <w:spacing w:val="7"/>
        </w:rPr>
        <w:t> </w:t>
      </w:r>
      <w:r>
        <w:rPr/>
        <w:t>a</w:t>
      </w:r>
      <w:r>
        <w:rPr>
          <w:spacing w:val="7"/>
        </w:rPr>
        <w:t> </w:t>
      </w:r>
      <w:r>
        <w:rPr/>
        <w:t>contract</w:t>
      </w:r>
      <w:r>
        <w:rPr>
          <w:spacing w:val="7"/>
        </w:rPr>
        <w:t> </w:t>
      </w:r>
      <w:r>
        <w:rPr/>
        <w:t>will</w:t>
      </w:r>
      <w:r>
        <w:rPr>
          <w:spacing w:val="7"/>
        </w:rPr>
        <w:t> </w:t>
      </w:r>
      <w:r>
        <w:rPr/>
        <w:t>not</w:t>
      </w:r>
      <w:r>
        <w:rPr>
          <w:spacing w:val="7"/>
        </w:rPr>
        <w:t> </w:t>
      </w:r>
      <w:r>
        <w:rPr/>
        <w:t>be</w:t>
      </w:r>
      <w:r>
        <w:rPr>
          <w:spacing w:val="7"/>
        </w:rPr>
        <w:t> </w:t>
      </w:r>
      <w:r>
        <w:rPr/>
        <w:t>held</w:t>
      </w:r>
      <w:r>
        <w:rPr>
          <w:spacing w:val="7"/>
        </w:rPr>
        <w:t> </w:t>
      </w:r>
      <w:r>
        <w:rPr/>
        <w:t>to</w:t>
      </w:r>
      <w:r>
        <w:rPr>
          <w:spacing w:val="7"/>
        </w:rPr>
        <w:t> </w:t>
      </w:r>
      <w:r>
        <w:rPr/>
        <w:t>have</w:t>
      </w:r>
      <w:r>
        <w:rPr>
          <w:spacing w:val="7"/>
        </w:rPr>
        <w:t> </w:t>
      </w:r>
      <w:r>
        <w:rPr/>
        <w:t>affirmed</w:t>
      </w:r>
      <w:r>
        <w:rPr>
          <w:spacing w:val="7"/>
        </w:rPr>
        <w:t> </w:t>
      </w:r>
      <w:r>
        <w:rPr/>
        <w:t>it</w:t>
      </w:r>
      <w:r>
        <w:rPr>
          <w:spacing w:val="7"/>
        </w:rPr>
        <w:t> </w:t>
      </w:r>
      <w:r>
        <w:rPr/>
        <w:t>unless</w:t>
      </w:r>
      <w:r>
        <w:rPr>
          <w:spacing w:val="7"/>
        </w:rPr>
        <w:t> </w:t>
      </w:r>
      <w:r>
        <w:rPr>
          <w:spacing w:val="-7"/>
        </w:rPr>
        <w:t>he</w:t>
      </w:r>
    </w:p>
    <w:p>
      <w:pPr>
        <w:pStyle w:val="BodyText"/>
        <w:spacing w:after="0"/>
        <w:jc w:val="both"/>
        <w:sectPr>
          <w:headerReference w:type="default" r:id="rId16"/>
          <w:pgSz w:w="11900" w:h="16840"/>
          <w:pgMar w:header="971" w:footer="0" w:top="1160" w:bottom="280" w:left="1275" w:right="1275"/>
          <w:pgNumType w:start="1"/>
        </w:sectPr>
      </w:pPr>
    </w:p>
    <w:p>
      <w:pPr>
        <w:pStyle w:val="BodyText"/>
        <w:spacing w:before="124"/>
      </w:pPr>
    </w:p>
    <w:p>
      <w:pPr>
        <w:pStyle w:val="BodyText"/>
        <w:spacing w:line="235" w:lineRule="auto" w:before="1"/>
        <w:ind w:left="165" w:right="167"/>
        <w:jc w:val="both"/>
      </w:pPr>
      <w:bookmarkStart w:name="_bookmark1150" w:id="1152"/>
      <w:bookmarkEnd w:id="1152"/>
      <w:r>
        <w:rPr/>
      </w:r>
      <w:r>
        <w:rPr/>
        <w:t>knows the facts, and also is aware that he has a right to rescind or avoid. This was the conclusion </w:t>
      </w:r>
      <w:r>
        <w:rPr/>
        <w:t>of the Court of Appeal in </w:t>
      </w:r>
      <w:r>
        <w:rPr>
          <w:rFonts w:ascii="Arial" w:hAnsi="Arial"/>
          <w:i/>
        </w:rPr>
        <w:t>Peyman v Lanjani</w:t>
      </w:r>
      <w:r>
        <w:rPr/>
        <w:t>, </w:t>
      </w:r>
      <w:r>
        <w:rPr>
          <w:color w:val="005DA1"/>
          <w:u w:val="single" w:color="005DA1"/>
          <w:vertAlign w:val="superscript"/>
        </w:rPr>
        <w:t>610</w:t>
      </w:r>
      <w:r>
        <w:rPr>
          <w:color w:val="005DA1"/>
          <w:vertAlign w:val="baseline"/>
        </w:rPr>
        <w:t> </w:t>
      </w:r>
      <w:r>
        <w:rPr>
          <w:vertAlign w:val="baseline"/>
        </w:rPr>
        <w:t>after a full review of the authorities. </w:t>
      </w:r>
      <w:r>
        <w:rPr>
          <w:color w:val="005DA1"/>
          <w:u w:val="single" w:color="005DA1"/>
          <w:vertAlign w:val="superscript"/>
        </w:rPr>
        <w:t>611</w:t>
      </w:r>
      <w:r>
        <w:rPr>
          <w:color w:val="005DA1"/>
          <w:vertAlign w:val="baseline"/>
        </w:rPr>
        <w:t> </w:t>
      </w:r>
      <w:r>
        <w:rPr>
          <w:vertAlign w:val="baseline"/>
        </w:rPr>
        <w:t>Such an affirmation, where there is such knowledge, is conclusive evidence of the party’s election, whether or not it is acted upon, and whether or not there is any change of position by the other party.</w:t>
      </w:r>
    </w:p>
    <w:p>
      <w:pPr>
        <w:pStyle w:val="BodyText"/>
      </w:pPr>
    </w:p>
    <w:p>
      <w:pPr>
        <w:pStyle w:val="BodyText"/>
        <w:spacing w:before="37"/>
      </w:pPr>
    </w:p>
    <w:p>
      <w:pPr>
        <w:spacing w:before="0"/>
        <w:ind w:left="165" w:right="0" w:firstLine="0"/>
        <w:jc w:val="left"/>
        <w:rPr>
          <w:rFonts w:ascii="Arial"/>
          <w:b/>
          <w:sz w:val="18"/>
        </w:rPr>
      </w:pPr>
      <w:r>
        <w:rPr>
          <w:rFonts w:ascii="Arial"/>
          <w:b/>
          <w:sz w:val="18"/>
        </w:rPr>
        <w:t>Sale of goods </w:t>
      </w:r>
      <w:r>
        <w:rPr>
          <w:rFonts w:ascii="Arial"/>
          <w:b/>
          <w:spacing w:val="-2"/>
          <w:sz w:val="18"/>
        </w:rPr>
        <w:t>cases</w:t>
      </w:r>
    </w:p>
    <w:p>
      <w:pPr>
        <w:pStyle w:val="BodyText"/>
        <w:spacing w:before="41"/>
        <w:rPr>
          <w:rFonts w:ascii="Arial"/>
          <w:b/>
          <w:sz w:val="18"/>
        </w:rPr>
      </w:pPr>
    </w:p>
    <w:p>
      <w:pPr>
        <w:pStyle w:val="Heading2"/>
      </w:pPr>
      <w:r>
        <w:rPr/>
        <w:t>7-</w:t>
      </w:r>
      <w:r>
        <w:rPr>
          <w:spacing w:val="-5"/>
        </w:rPr>
        <w:t>134</w:t>
      </w:r>
    </w:p>
    <w:p>
      <w:pPr>
        <w:pStyle w:val="BodyText"/>
        <w:spacing w:line="235" w:lineRule="auto" w:before="203"/>
        <w:ind w:left="165" w:right="167"/>
        <w:jc w:val="both"/>
      </w:pPr>
      <w:r>
        <w:rPr/>
        <w:t>In contracts for the sale of goods, it has been said that the right to rescind for </w:t>
      </w:r>
      <w:r>
        <w:rPr/>
        <w:t>innocent </w:t>
      </w:r>
      <w:bookmarkStart w:name="_bookmark1151" w:id="1153"/>
      <w:bookmarkEnd w:id="1153"/>
      <w:r>
        <w:rPr/>
        <w:t>misrepresentation</w:t>
      </w:r>
      <w:r>
        <w:rPr/>
        <w:t> will be lost when, had the statement been a condition, the right to reject for breach of condition would have been lost. </w:t>
      </w:r>
      <w:r>
        <w:rPr>
          <w:color w:val="005DA1"/>
          <w:u w:val="single" w:color="005DA1"/>
          <w:vertAlign w:val="superscript"/>
        </w:rPr>
        <w:t>612</w:t>
      </w:r>
      <w:r>
        <w:rPr>
          <w:color w:val="005DA1"/>
          <w:vertAlign w:val="baseline"/>
        </w:rPr>
        <w:t> </w:t>
      </w:r>
      <w:r>
        <w:rPr>
          <w:vertAlign w:val="baseline"/>
        </w:rPr>
        <w:t>In most circumstances an act which constitutes an acceptance of the goods within s.35 of the Sale of Goods Act, and so bars the right to reject the goods for breach of</w:t>
      </w:r>
      <w:r>
        <w:rPr>
          <w:spacing w:val="-2"/>
          <w:vertAlign w:val="baseline"/>
        </w:rPr>
        <w:t> </w:t>
      </w:r>
      <w:r>
        <w:rPr>
          <w:vertAlign w:val="baseline"/>
        </w:rPr>
        <w:t>condition,</w:t>
      </w:r>
      <w:r>
        <w:rPr>
          <w:spacing w:val="-2"/>
          <w:vertAlign w:val="baseline"/>
        </w:rPr>
        <w:t> </w:t>
      </w:r>
      <w:r>
        <w:rPr>
          <w:vertAlign w:val="baseline"/>
        </w:rPr>
        <w:t>would</w:t>
      </w:r>
      <w:r>
        <w:rPr>
          <w:spacing w:val="-2"/>
          <w:vertAlign w:val="baseline"/>
        </w:rPr>
        <w:t> </w:t>
      </w:r>
      <w:r>
        <w:rPr>
          <w:vertAlign w:val="baseline"/>
        </w:rPr>
        <w:t>doubtless</w:t>
      </w:r>
      <w:r>
        <w:rPr>
          <w:spacing w:val="-2"/>
          <w:vertAlign w:val="baseline"/>
        </w:rPr>
        <w:t> </w:t>
      </w:r>
      <w:r>
        <w:rPr>
          <w:vertAlign w:val="baseline"/>
        </w:rPr>
        <w:t>also</w:t>
      </w:r>
      <w:r>
        <w:rPr>
          <w:spacing w:val="-2"/>
          <w:vertAlign w:val="baseline"/>
        </w:rPr>
        <w:t> </w:t>
      </w:r>
      <w:r>
        <w:rPr>
          <w:vertAlign w:val="baseline"/>
        </w:rPr>
        <w:t>constitute</w:t>
      </w:r>
      <w:r>
        <w:rPr>
          <w:spacing w:val="-2"/>
          <w:vertAlign w:val="baseline"/>
        </w:rPr>
        <w:t> </w:t>
      </w:r>
      <w:r>
        <w:rPr>
          <w:vertAlign w:val="baseline"/>
        </w:rPr>
        <w:t>an</w:t>
      </w:r>
      <w:r>
        <w:rPr>
          <w:spacing w:val="-2"/>
          <w:vertAlign w:val="baseline"/>
        </w:rPr>
        <w:t> </w:t>
      </w:r>
      <w:r>
        <w:rPr>
          <w:vertAlign w:val="baseline"/>
        </w:rPr>
        <w:t>affirmation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and</w:t>
      </w:r>
      <w:r>
        <w:rPr>
          <w:spacing w:val="-2"/>
          <w:vertAlign w:val="baseline"/>
        </w:rPr>
        <w:t> </w:t>
      </w:r>
      <w:r>
        <w:rPr>
          <w:vertAlign w:val="baseline"/>
        </w:rPr>
        <w:t>would</w:t>
      </w:r>
      <w:r>
        <w:rPr>
          <w:spacing w:val="-2"/>
          <w:vertAlign w:val="baseline"/>
        </w:rPr>
        <w:t> </w:t>
      </w:r>
      <w:r>
        <w:rPr>
          <w:vertAlign w:val="baseline"/>
        </w:rPr>
        <w:t>also</w:t>
      </w:r>
      <w:r>
        <w:rPr>
          <w:spacing w:val="-2"/>
          <w:vertAlign w:val="baseline"/>
        </w:rPr>
        <w:t> </w:t>
      </w:r>
      <w:r>
        <w:rPr>
          <w:vertAlign w:val="baseline"/>
        </w:rPr>
        <w:t>bar</w:t>
      </w:r>
      <w:r>
        <w:rPr>
          <w:spacing w:val="-2"/>
          <w:vertAlign w:val="baseline"/>
        </w:rPr>
        <w:t> </w:t>
      </w:r>
      <w:r>
        <w:rPr>
          <w:vertAlign w:val="baseline"/>
        </w:rPr>
        <w:t>the</w:t>
      </w:r>
      <w:r>
        <w:rPr>
          <w:spacing w:val="-2"/>
          <w:vertAlign w:val="baseline"/>
        </w:rPr>
        <w:t> </w:t>
      </w:r>
      <w:r>
        <w:rPr>
          <w:vertAlign w:val="baseline"/>
        </w:rPr>
        <w:t>right </w:t>
      </w:r>
      <w:bookmarkStart w:name="_bookmark1152" w:id="1154"/>
      <w:bookmarkEnd w:id="1154"/>
      <w:r>
        <w:rPr>
          <w:vertAlign w:val="baseline"/>
        </w:rPr>
        <w:t>to</w:t>
      </w:r>
      <w:r>
        <w:rPr>
          <w:vertAlign w:val="baseline"/>
        </w:rPr>
        <w:t> rescind. But there may be some cases in which this is not so, because a person can “accept”</w:t>
      </w:r>
      <w:r>
        <w:rPr>
          <w:spacing w:val="40"/>
          <w:vertAlign w:val="baseline"/>
        </w:rPr>
        <w:t> </w:t>
      </w:r>
      <w:r>
        <w:rPr>
          <w:vertAlign w:val="baseline"/>
        </w:rPr>
        <w:t>goods within s.35 </w:t>
      </w:r>
      <w:r>
        <w:rPr>
          <w:color w:val="005DA1"/>
          <w:u w:val="single" w:color="005DA1"/>
          <w:vertAlign w:val="superscript"/>
        </w:rPr>
        <w:t>613</w:t>
      </w:r>
      <w:r>
        <w:rPr>
          <w:color w:val="005DA1"/>
          <w:vertAlign w:val="baseline"/>
        </w:rPr>
        <w:t> </w:t>
      </w:r>
      <w:r>
        <w:rPr>
          <w:vertAlign w:val="baseline"/>
        </w:rPr>
        <w:t>without knowing of his right to reject them, </w:t>
      </w:r>
      <w:r>
        <w:rPr>
          <w:color w:val="005DA1"/>
          <w:u w:val="single" w:color="005DA1"/>
          <w:vertAlign w:val="superscript"/>
        </w:rPr>
        <w:t>614</w:t>
      </w:r>
      <w:r>
        <w:rPr>
          <w:color w:val="005DA1"/>
          <w:vertAlign w:val="baseline"/>
        </w:rPr>
        <w:t> </w:t>
      </w:r>
      <w:r>
        <w:rPr>
          <w:vertAlign w:val="baseline"/>
        </w:rPr>
        <w:t>whereas there can be no affirmation</w:t>
      </w:r>
      <w:r>
        <w:rPr>
          <w:spacing w:val="-1"/>
          <w:vertAlign w:val="baseline"/>
        </w:rPr>
        <w:t> </w:t>
      </w:r>
      <w:r>
        <w:rPr>
          <w:vertAlign w:val="baseline"/>
        </w:rPr>
        <w:t>without</w:t>
      </w:r>
      <w:r>
        <w:rPr>
          <w:spacing w:val="-1"/>
          <w:vertAlign w:val="baseline"/>
        </w:rPr>
        <w:t> </w:t>
      </w:r>
      <w:r>
        <w:rPr>
          <w:vertAlign w:val="baseline"/>
        </w:rPr>
        <w:t>knowledge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facts.</w:t>
      </w:r>
      <w:r>
        <w:rPr>
          <w:spacing w:val="-1"/>
          <w:vertAlign w:val="baseline"/>
        </w:rPr>
        <w:t> </w:t>
      </w:r>
      <w:r>
        <w:rPr>
          <w:vertAlign w:val="baseline"/>
        </w:rPr>
        <w:t>To</w:t>
      </w:r>
      <w:r>
        <w:rPr>
          <w:spacing w:val="-1"/>
          <w:vertAlign w:val="baseline"/>
        </w:rPr>
        <w:t> </w:t>
      </w:r>
      <w:r>
        <w:rPr>
          <w:vertAlign w:val="baseline"/>
        </w:rPr>
        <w:t>this</w:t>
      </w:r>
      <w:r>
        <w:rPr>
          <w:spacing w:val="-1"/>
          <w:vertAlign w:val="baseline"/>
        </w:rPr>
        <w:t> </w:t>
      </w:r>
      <w:r>
        <w:rPr>
          <w:vertAlign w:val="baseline"/>
        </w:rPr>
        <w:t>extent,</w:t>
      </w:r>
      <w:r>
        <w:rPr>
          <w:spacing w:val="-1"/>
          <w:vertAlign w:val="baseline"/>
        </w:rPr>
        <w:t> </w:t>
      </w:r>
      <w:r>
        <w:rPr>
          <w:vertAlign w:val="baseline"/>
        </w:rPr>
        <w:t>sale</w:t>
      </w:r>
      <w:r>
        <w:rPr>
          <w:spacing w:val="-1"/>
          <w:vertAlign w:val="baseline"/>
        </w:rPr>
        <w:t> </w:t>
      </w:r>
      <w:r>
        <w:rPr>
          <w:vertAlign w:val="baseline"/>
        </w:rPr>
        <w:t>of</w:t>
      </w:r>
      <w:r>
        <w:rPr>
          <w:spacing w:val="-1"/>
          <w:vertAlign w:val="baseline"/>
        </w:rPr>
        <w:t> </w:t>
      </w:r>
      <w:r>
        <w:rPr>
          <w:vertAlign w:val="baseline"/>
        </w:rPr>
        <w:t>goods</w:t>
      </w:r>
      <w:r>
        <w:rPr>
          <w:spacing w:val="-1"/>
          <w:vertAlign w:val="baseline"/>
        </w:rPr>
        <w:t> </w:t>
      </w:r>
      <w:r>
        <w:rPr>
          <w:vertAlign w:val="baseline"/>
        </w:rPr>
        <w:t>cases</w:t>
      </w:r>
      <w:r>
        <w:rPr>
          <w:spacing w:val="-1"/>
          <w:vertAlign w:val="baseline"/>
        </w:rPr>
        <w:t> </w:t>
      </w:r>
      <w:r>
        <w:rPr>
          <w:vertAlign w:val="baseline"/>
        </w:rPr>
        <w:t>may</w:t>
      </w:r>
      <w:r>
        <w:rPr>
          <w:spacing w:val="-1"/>
          <w:vertAlign w:val="baseline"/>
        </w:rPr>
        <w:t> </w:t>
      </w:r>
      <w:r>
        <w:rPr>
          <w:vertAlign w:val="baseline"/>
        </w:rPr>
        <w:t>be</w:t>
      </w:r>
      <w:r>
        <w:rPr>
          <w:spacing w:val="-1"/>
          <w:vertAlign w:val="baseline"/>
        </w:rPr>
        <w:t> </w:t>
      </w:r>
      <w:r>
        <w:rPr>
          <w:vertAlign w:val="baseline"/>
        </w:rPr>
        <w:t>an</w:t>
      </w:r>
      <w:r>
        <w:rPr>
          <w:spacing w:val="-1"/>
          <w:vertAlign w:val="baseline"/>
        </w:rPr>
        <w:t> </w:t>
      </w:r>
      <w:r>
        <w:rPr>
          <w:vertAlign w:val="baseline"/>
        </w:rPr>
        <w:t>exception</w:t>
      </w:r>
      <w:r>
        <w:rPr>
          <w:spacing w:val="-1"/>
          <w:vertAlign w:val="baseline"/>
        </w:rPr>
        <w:t> </w:t>
      </w:r>
      <w:r>
        <w:rPr>
          <w:vertAlign w:val="baseline"/>
        </w:rPr>
        <w:t>to the general rule; but in the Court of Appeal it has recently been doubted whether after the enactment </w:t>
      </w:r>
      <w:bookmarkStart w:name="_bookmark1153" w:id="1155"/>
      <w:bookmarkEnd w:id="1155"/>
      <w:r>
        <w:rPr>
          <w:vertAlign w:val="baseline"/>
        </w:rPr>
        <w:t>of</w:t>
      </w:r>
      <w:r>
        <w:rPr>
          <w:vertAlign w:val="baseline"/>
        </w:rPr>
        <w:t> s.1 of the Misrepresentation Act 1967 it is still the law that the right to rescind is lost just because the goods have been accepted. </w:t>
      </w:r>
      <w:r>
        <w:rPr>
          <w:color w:val="005DA1"/>
          <w:u w:val="single" w:color="005DA1"/>
          <w:vertAlign w:val="superscript"/>
        </w:rPr>
        <w:t>615</w:t>
      </w:r>
    </w:p>
    <w:p>
      <w:pPr>
        <w:pStyle w:val="BodyText"/>
      </w:pPr>
    </w:p>
    <w:p>
      <w:pPr>
        <w:pStyle w:val="BodyText"/>
        <w:spacing w:before="34"/>
      </w:pPr>
    </w:p>
    <w:p>
      <w:pPr>
        <w:spacing w:before="0"/>
        <w:ind w:left="165" w:right="0" w:firstLine="0"/>
        <w:jc w:val="left"/>
        <w:rPr>
          <w:rFonts w:ascii="Arial"/>
          <w:b/>
          <w:sz w:val="18"/>
        </w:rPr>
      </w:pPr>
      <w:r>
        <w:rPr>
          <w:rFonts w:ascii="Arial"/>
          <w:b/>
          <w:spacing w:val="-2"/>
          <w:sz w:val="18"/>
        </w:rPr>
        <w:t>Estoppel</w:t>
      </w:r>
    </w:p>
    <w:p>
      <w:pPr>
        <w:pStyle w:val="BodyText"/>
        <w:spacing w:before="41"/>
        <w:rPr>
          <w:rFonts w:ascii="Arial"/>
          <w:b/>
          <w:sz w:val="18"/>
        </w:rPr>
      </w:pPr>
    </w:p>
    <w:p>
      <w:pPr>
        <w:pStyle w:val="Heading2"/>
        <w:spacing w:before="1"/>
      </w:pPr>
      <w:r>
        <w:rPr/>
        <w:t>7-</w:t>
      </w:r>
      <w:r>
        <w:rPr>
          <w:spacing w:val="-5"/>
        </w:rPr>
        <w:t>135</w:t>
      </w:r>
    </w:p>
    <w:p>
      <w:pPr>
        <w:pStyle w:val="BodyText"/>
        <w:spacing w:line="235" w:lineRule="auto" w:before="202"/>
        <w:ind w:left="165" w:right="167"/>
        <w:jc w:val="both"/>
      </w:pPr>
      <w:bookmarkStart w:name="_bookmark1154" w:id="1156"/>
      <w:bookmarkEnd w:id="1156"/>
      <w:r>
        <w:rPr/>
      </w:r>
      <w:r>
        <w:rPr/>
        <w:t>A</w:t>
      </w:r>
      <w:r>
        <w:rPr>
          <w:spacing w:val="-2"/>
        </w:rPr>
        <w:t> </w:t>
      </w:r>
      <w:r>
        <w:rPr/>
        <w:t>party</w:t>
      </w:r>
      <w:r>
        <w:rPr>
          <w:spacing w:val="-2"/>
        </w:rPr>
        <w:t> </w:t>
      </w:r>
      <w:r>
        <w:rPr/>
        <w:t>may,</w:t>
      </w:r>
      <w:r>
        <w:rPr>
          <w:spacing w:val="-2"/>
        </w:rPr>
        <w:t> </w:t>
      </w:r>
      <w:r>
        <w:rPr/>
        <w:t>however,</w:t>
      </w:r>
      <w:r>
        <w:rPr>
          <w:spacing w:val="-2"/>
        </w:rPr>
        <w:t> </w:t>
      </w:r>
      <w:r>
        <w:rPr/>
        <w:t>be</w:t>
      </w:r>
      <w:r>
        <w:rPr>
          <w:spacing w:val="-2"/>
        </w:rPr>
        <w:t> </w:t>
      </w:r>
      <w:r>
        <w:rPr/>
        <w:t>held</w:t>
      </w:r>
      <w:r>
        <w:rPr>
          <w:spacing w:val="-2"/>
        </w:rPr>
        <w:t> </w:t>
      </w:r>
      <w:r>
        <w:rPr/>
        <w:t>estopped</w:t>
      </w:r>
      <w:r>
        <w:rPr>
          <w:spacing w:val="-2"/>
        </w:rPr>
        <w:t> </w:t>
      </w:r>
      <w:r>
        <w:rPr/>
        <w:t>from</w:t>
      </w:r>
      <w:r>
        <w:rPr>
          <w:spacing w:val="-2"/>
        </w:rPr>
        <w:t> </w:t>
      </w:r>
      <w:r>
        <w:rPr/>
        <w:t>rescinding</w:t>
      </w:r>
      <w:r>
        <w:rPr>
          <w:spacing w:val="-2"/>
        </w:rPr>
        <w:t> </w:t>
      </w:r>
      <w:r>
        <w:rPr/>
        <w:t>or</w:t>
      </w:r>
      <w:r>
        <w:rPr>
          <w:spacing w:val="-2"/>
        </w:rPr>
        <w:t> </w:t>
      </w:r>
      <w:r>
        <w:rPr/>
        <w:t>avoiding</w:t>
      </w:r>
      <w:r>
        <w:rPr>
          <w:spacing w:val="-2"/>
        </w:rPr>
        <w:t> </w:t>
      </w:r>
      <w:r>
        <w:rPr/>
        <w:t>the</w:t>
      </w:r>
      <w:r>
        <w:rPr>
          <w:spacing w:val="-2"/>
        </w:rPr>
        <w:t> </w:t>
      </w:r>
      <w:r>
        <w:rPr/>
        <w:t>contract</w:t>
      </w:r>
      <w:r>
        <w:rPr>
          <w:spacing w:val="-2"/>
        </w:rPr>
        <w:t> </w:t>
      </w:r>
      <w:r>
        <w:rPr/>
        <w:t>even</w:t>
      </w:r>
      <w:r>
        <w:rPr>
          <w:spacing w:val="-2"/>
        </w:rPr>
        <w:t> </w:t>
      </w:r>
      <w:r>
        <w:rPr/>
        <w:t>where</w:t>
      </w:r>
      <w:r>
        <w:rPr>
          <w:spacing w:val="-2"/>
        </w:rPr>
        <w:t> </w:t>
      </w:r>
      <w:r>
        <w:rPr/>
        <w:t>he</w:t>
      </w:r>
      <w:r>
        <w:rPr>
          <w:spacing w:val="-2"/>
        </w:rPr>
        <w:t> </w:t>
      </w:r>
      <w:r>
        <w:rPr/>
        <w:t>does not know the facts or his rights, </w:t>
      </w:r>
      <w:r>
        <w:rPr>
          <w:color w:val="005DA1"/>
          <w:u w:val="single" w:color="005DA1"/>
          <w:vertAlign w:val="superscript"/>
        </w:rPr>
        <w:t>616</w:t>
      </w:r>
      <w:r>
        <w:rPr>
          <w:color w:val="005DA1"/>
          <w:vertAlign w:val="baseline"/>
        </w:rPr>
        <w:t> </w:t>
      </w:r>
      <w:r>
        <w:rPr>
          <w:vertAlign w:val="baseline"/>
        </w:rPr>
        <w:t>but in this event, he must have led the other to believe, by unequivocal statements or actions, that he does intend to affirm the contract; and it is unlikely that a </w:t>
      </w:r>
      <w:bookmarkStart w:name="_bookmark1155" w:id="1157"/>
      <w:bookmarkEnd w:id="1157"/>
      <w:r>
        <w:rPr>
          <w:vertAlign w:val="baseline"/>
        </w:rPr>
        <w:t>party</w:t>
      </w:r>
      <w:r>
        <w:rPr>
          <w:vertAlign w:val="baseline"/>
        </w:rPr>
        <w:t> will give a sufficiently clear indication of his intention not to rely on a misrepresentation unless </w:t>
      </w:r>
      <w:bookmarkStart w:name="_bookmark1156" w:id="1158"/>
      <w:bookmarkEnd w:id="1158"/>
      <w:r>
        <w:rPr>
          <w:vertAlign w:val="baseline"/>
        </w:rPr>
        <w:t>his</w:t>
      </w:r>
      <w:r>
        <w:rPr>
          <w:vertAlign w:val="baseline"/>
        </w:rPr>
        <w:t> statements or conduct indicate apparent awareness that he has some rights. </w:t>
      </w:r>
      <w:r>
        <w:rPr>
          <w:color w:val="005DA1"/>
          <w:u w:val="single" w:color="005DA1"/>
          <w:vertAlign w:val="superscript"/>
        </w:rPr>
        <w:t>617</w:t>
      </w:r>
      <w:r>
        <w:rPr>
          <w:color w:val="005DA1"/>
          <w:vertAlign w:val="baseline"/>
        </w:rPr>
        <w:t> </w:t>
      </w:r>
      <w:r>
        <w:rPr>
          <w:vertAlign w:val="baseline"/>
        </w:rPr>
        <w:t>In addition, the other party must show that he has acted on the statement or conduct to his prejudice. </w:t>
      </w:r>
      <w:r>
        <w:rPr>
          <w:color w:val="005DA1"/>
          <w:u w:val="single" w:color="005DA1"/>
          <w:vertAlign w:val="superscript"/>
        </w:rPr>
        <w:t>618</w:t>
      </w:r>
    </w:p>
    <w:p>
      <w:pPr>
        <w:pStyle w:val="BodyText"/>
      </w:pPr>
    </w:p>
    <w:p>
      <w:pPr>
        <w:pStyle w:val="BodyText"/>
        <w:spacing w:before="36"/>
      </w:pPr>
    </w:p>
    <w:p>
      <w:pPr>
        <w:spacing w:before="1"/>
        <w:ind w:left="165" w:right="0" w:firstLine="0"/>
        <w:jc w:val="left"/>
        <w:rPr>
          <w:rFonts w:ascii="Arial"/>
          <w:b/>
          <w:sz w:val="18"/>
        </w:rPr>
      </w:pPr>
      <w:r>
        <w:rPr>
          <w:rFonts w:ascii="Arial"/>
          <w:b/>
          <w:sz w:val="18"/>
        </w:rPr>
        <w:t>Lapse of </w:t>
      </w:r>
      <w:r>
        <w:rPr>
          <w:rFonts w:ascii="Arial"/>
          <w:b/>
          <w:spacing w:val="-4"/>
          <w:sz w:val="18"/>
        </w:rPr>
        <w:t>time</w:t>
      </w:r>
    </w:p>
    <w:p>
      <w:pPr>
        <w:pStyle w:val="BodyText"/>
        <w:spacing w:before="41"/>
        <w:rPr>
          <w:rFonts w:ascii="Arial"/>
          <w:b/>
          <w:sz w:val="18"/>
        </w:rPr>
      </w:pPr>
    </w:p>
    <w:p>
      <w:pPr>
        <w:pStyle w:val="Heading2"/>
      </w:pPr>
      <w:r>
        <w:rPr/>
        <w:t>7-</w:t>
      </w:r>
      <w:r>
        <w:rPr>
          <w:spacing w:val="-5"/>
        </w:rPr>
        <w:t>136</w:t>
      </w:r>
    </w:p>
    <w:p>
      <w:pPr>
        <w:pStyle w:val="BodyText"/>
        <w:spacing w:line="235" w:lineRule="auto" w:before="202"/>
        <w:ind w:left="164" w:right="167"/>
        <w:jc w:val="both"/>
      </w:pPr>
      <w:bookmarkStart w:name="_bookmark1157" w:id="1159"/>
      <w:bookmarkEnd w:id="1159"/>
      <w:r>
        <w:rPr/>
      </w:r>
      <w:bookmarkStart w:name="_bookmark1158" w:id="1160"/>
      <w:bookmarkEnd w:id="1160"/>
      <w:r>
        <w:rPr/>
      </w:r>
      <w:r>
        <w:rPr/>
        <w:t>Lapse</w:t>
      </w:r>
      <w:r>
        <w:rPr>
          <w:spacing w:val="-1"/>
        </w:rPr>
        <w:t> </w:t>
      </w:r>
      <w:r>
        <w:rPr/>
        <w:t>of</w:t>
      </w:r>
      <w:r>
        <w:rPr>
          <w:spacing w:val="-1"/>
        </w:rPr>
        <w:t> </w:t>
      </w:r>
      <w:r>
        <w:rPr/>
        <w:t>time</w:t>
      </w:r>
      <w:r>
        <w:rPr>
          <w:spacing w:val="-1"/>
        </w:rPr>
        <w:t> </w:t>
      </w:r>
      <w:r>
        <w:rPr/>
        <w:t>after</w:t>
      </w:r>
      <w:r>
        <w:rPr>
          <w:spacing w:val="-1"/>
        </w:rPr>
        <w:t> </w:t>
      </w:r>
      <w:r>
        <w:rPr/>
        <w:t>discovery</w:t>
      </w:r>
      <w:r>
        <w:rPr>
          <w:spacing w:val="-1"/>
        </w:rPr>
        <w:t> </w:t>
      </w:r>
      <w:r>
        <w:rPr/>
        <w:t>that</w:t>
      </w:r>
      <w:r>
        <w:rPr>
          <w:spacing w:val="-1"/>
        </w:rPr>
        <w:t> </w:t>
      </w:r>
      <w:r>
        <w:rPr/>
        <w:t>there</w:t>
      </w:r>
      <w:r>
        <w:rPr>
          <w:spacing w:val="-1"/>
        </w:rPr>
        <w:t> </w:t>
      </w:r>
      <w:r>
        <w:rPr/>
        <w:t>has</w:t>
      </w:r>
      <w:r>
        <w:rPr>
          <w:spacing w:val="-1"/>
        </w:rPr>
        <w:t> </w:t>
      </w:r>
      <w:r>
        <w:rPr/>
        <w:t>been</w:t>
      </w:r>
      <w:r>
        <w:rPr>
          <w:spacing w:val="-1"/>
        </w:rPr>
        <w:t> </w:t>
      </w:r>
      <w:r>
        <w:rPr/>
        <w:t>a</w:t>
      </w:r>
      <w:r>
        <w:rPr>
          <w:spacing w:val="-1"/>
        </w:rPr>
        <w:t> </w:t>
      </w:r>
      <w:r>
        <w:rPr/>
        <w:t>misrepresentation</w:t>
      </w:r>
      <w:r>
        <w:rPr>
          <w:spacing w:val="-1"/>
        </w:rPr>
        <w:t> </w:t>
      </w:r>
      <w:r>
        <w:rPr/>
        <w:t>may</w:t>
      </w:r>
      <w:r>
        <w:rPr>
          <w:spacing w:val="-1"/>
        </w:rPr>
        <w:t> </w:t>
      </w:r>
      <w:r>
        <w:rPr/>
        <w:t>be</w:t>
      </w:r>
      <w:r>
        <w:rPr>
          <w:spacing w:val="-1"/>
        </w:rPr>
        <w:t> </w:t>
      </w:r>
      <w:r>
        <w:rPr/>
        <w:t>evidence</w:t>
      </w:r>
      <w:r>
        <w:rPr>
          <w:spacing w:val="-1"/>
        </w:rPr>
        <w:t> </w:t>
      </w:r>
      <w:r>
        <w:rPr/>
        <w:t>of</w:t>
      </w:r>
      <w:r>
        <w:rPr>
          <w:spacing w:val="-1"/>
        </w:rPr>
        <w:t> </w:t>
      </w:r>
      <w:r>
        <w:rPr/>
        <w:t>affirmation. </w:t>
      </w:r>
      <w:r>
        <w:rPr>
          <w:color w:val="005DA1"/>
          <w:u w:val="single" w:color="005DA1"/>
          <w:vertAlign w:val="superscript"/>
        </w:rPr>
        <w:t>619</w:t>
      </w:r>
      <w:r>
        <w:rPr>
          <w:color w:val="005DA1"/>
          <w:vertAlign w:val="baseline"/>
        </w:rPr>
        <w:t> </w:t>
      </w:r>
      <w:r>
        <w:rPr>
          <w:vertAlign w:val="baseline"/>
        </w:rPr>
        <w:t>In </w:t>
      </w:r>
      <w:r>
        <w:rPr>
          <w:rFonts w:ascii="Arial" w:hAnsi="Arial"/>
          <w:i/>
          <w:vertAlign w:val="baseline"/>
        </w:rPr>
        <w:t>Clough v L. &amp; N.W. Ry </w:t>
      </w:r>
      <w:r>
        <w:rPr>
          <w:color w:val="005DA1"/>
          <w:u w:val="single" w:color="005DA1"/>
          <w:vertAlign w:val="superscript"/>
        </w:rPr>
        <w:t>620</w:t>
      </w:r>
      <w:r>
        <w:rPr>
          <w:color w:val="005DA1"/>
          <w:vertAlign w:val="baseline"/>
        </w:rPr>
        <w:t> </w:t>
      </w:r>
      <w:r>
        <w:rPr>
          <w:vertAlign w:val="baseline"/>
        </w:rPr>
        <w:t>it was said that “when the lapse of time is great it probably would be treated in practice as conclusive evidence” of a decision to proceed with the contract. This is </w:t>
      </w:r>
      <w:bookmarkStart w:name="_bookmark1159" w:id="1161"/>
      <w:bookmarkEnd w:id="1161"/>
      <w:r>
        <w:rPr>
          <w:vertAlign w:val="baseline"/>
        </w:rPr>
        <w:t>especially</w:t>
      </w:r>
      <w:r>
        <w:rPr>
          <w:vertAlign w:val="baseline"/>
        </w:rPr>
        <w:t> true of contracts for the sale or allotment of shares in companies, where the utmost promptness is required. </w:t>
      </w:r>
      <w:r>
        <w:rPr>
          <w:color w:val="005DA1"/>
          <w:u w:val="single" w:color="005DA1"/>
          <w:vertAlign w:val="superscript"/>
        </w:rPr>
        <w:t>621</w:t>
      </w:r>
      <w:r>
        <w:rPr>
          <w:color w:val="005DA1"/>
          <w:vertAlign w:val="baseline"/>
        </w:rPr>
        <w:t> </w:t>
      </w:r>
      <w:r>
        <w:rPr>
          <w:vertAlign w:val="baseline"/>
        </w:rPr>
        <w:t>In such a case a delay of even a few weeks after discovery of the </w:t>
      </w:r>
      <w:bookmarkStart w:name="_bookmark1160" w:id="1162"/>
      <w:bookmarkEnd w:id="1162"/>
      <w:r>
        <w:rPr>
          <w:vertAlign w:val="baseline"/>
        </w:rPr>
        <w:t>misrepresentation</w:t>
      </w:r>
      <w:r>
        <w:rPr>
          <w:vertAlign w:val="baseline"/>
        </w:rPr>
        <w:t> is usually fatal, and there cannot, in any event, be rescission of an allotment after </w:t>
      </w:r>
      <w:bookmarkStart w:name="_bookmark1161" w:id="1163"/>
      <w:bookmarkEnd w:id="1163"/>
      <w:r>
        <w:rPr>
          <w:vertAlign w:val="baseline"/>
        </w:rPr>
        <w:t>the</w:t>
      </w:r>
      <w:r>
        <w:rPr>
          <w:vertAlign w:val="baseline"/>
        </w:rPr>
        <w:t> company has gone into liquidation. </w:t>
      </w:r>
      <w:r>
        <w:rPr>
          <w:color w:val="005DA1"/>
          <w:u w:val="single" w:color="005DA1"/>
          <w:vertAlign w:val="superscript"/>
        </w:rPr>
        <w:t>622</w:t>
      </w:r>
      <w:r>
        <w:rPr>
          <w:color w:val="005DA1"/>
          <w:vertAlign w:val="baseline"/>
        </w:rPr>
        <w:t> </w:t>
      </w:r>
      <w:r>
        <w:rPr>
          <w:vertAlign w:val="baseline"/>
        </w:rPr>
        <w:t>But there can normally be no affirmation where the representee is ignorant of the truth and therefore of his right to rescind, </w:t>
      </w:r>
      <w:r>
        <w:rPr>
          <w:color w:val="005DA1"/>
          <w:u w:val="single" w:color="005DA1"/>
          <w:vertAlign w:val="superscript"/>
        </w:rPr>
        <w:t>623</w:t>
      </w:r>
      <w:r>
        <w:rPr>
          <w:color w:val="005DA1"/>
          <w:vertAlign w:val="baseline"/>
        </w:rPr>
        <w:t> </w:t>
      </w:r>
      <w:r>
        <w:rPr>
          <w:vertAlign w:val="baseline"/>
        </w:rPr>
        <w:t>and the inference of </w:t>
      </w:r>
      <w:bookmarkStart w:name="_bookmark1162" w:id="1164"/>
      <w:bookmarkEnd w:id="1164"/>
      <w:r>
        <w:rPr>
          <w:vertAlign w:val="baseline"/>
        </w:rPr>
        <w:t>affirmation</w:t>
      </w:r>
      <w:r>
        <w:rPr>
          <w:vertAlign w:val="baseline"/>
        </w:rPr>
        <w:t> from lapse of time should therefore be rebuttable by proof of lack of knowledge of the untruth. In </w:t>
      </w:r>
      <w:r>
        <w:rPr>
          <w:rFonts w:ascii="Arial" w:hAnsi="Arial"/>
          <w:i/>
          <w:vertAlign w:val="baseline"/>
        </w:rPr>
        <w:t>Leaf v International Galleries </w:t>
      </w:r>
      <w:r>
        <w:rPr>
          <w:color w:val="005DA1"/>
          <w:u w:val="single" w:color="005DA1"/>
          <w:vertAlign w:val="superscript"/>
        </w:rPr>
        <w:t>624</w:t>
      </w:r>
      <w:r>
        <w:rPr>
          <w:color w:val="005DA1"/>
          <w:vertAlign w:val="baseline"/>
        </w:rPr>
        <w:t> </w:t>
      </w:r>
      <w:r>
        <w:rPr>
          <w:vertAlign w:val="baseline"/>
        </w:rPr>
        <w:t>the right to rescind a contract for the sale of goods was held barred by five years’ delay despite the fact that the representee only discovered the truth shortly </w:t>
      </w:r>
      <w:bookmarkStart w:name="_bookmark1163" w:id="1165"/>
      <w:bookmarkEnd w:id="1165"/>
      <w:r>
        <w:rPr>
          <w:vertAlign w:val="baseline"/>
        </w:rPr>
        <w:t>before</w:t>
      </w:r>
      <w:r>
        <w:rPr>
          <w:spacing w:val="-2"/>
          <w:vertAlign w:val="baseline"/>
        </w:rPr>
        <w:t> </w:t>
      </w:r>
      <w:r>
        <w:rPr>
          <w:vertAlign w:val="baseline"/>
        </w:rPr>
        <w:t>the</w:t>
      </w:r>
      <w:r>
        <w:rPr>
          <w:spacing w:val="-2"/>
          <w:vertAlign w:val="baseline"/>
        </w:rPr>
        <w:t> </w:t>
      </w:r>
      <w:r>
        <w:rPr>
          <w:vertAlign w:val="baseline"/>
        </w:rPr>
        <w:t>proceedings</w:t>
      </w:r>
      <w:r>
        <w:rPr>
          <w:spacing w:val="-2"/>
          <w:vertAlign w:val="baseline"/>
        </w:rPr>
        <w:t> </w:t>
      </w:r>
      <w:r>
        <w:rPr>
          <w:vertAlign w:val="baseline"/>
        </w:rPr>
        <w:t>but</w:t>
      </w:r>
      <w:r>
        <w:rPr>
          <w:spacing w:val="-2"/>
          <w:vertAlign w:val="baseline"/>
        </w:rPr>
        <w:t> </w:t>
      </w:r>
      <w:r>
        <w:rPr>
          <w:vertAlign w:val="baseline"/>
        </w:rPr>
        <w:t>that</w:t>
      </w:r>
      <w:r>
        <w:rPr>
          <w:spacing w:val="-2"/>
          <w:vertAlign w:val="baseline"/>
        </w:rPr>
        <w:t> </w:t>
      </w:r>
      <w:r>
        <w:rPr>
          <w:vertAlign w:val="baseline"/>
        </w:rPr>
        <w:t>was</w:t>
      </w:r>
      <w:r>
        <w:rPr>
          <w:spacing w:val="-2"/>
          <w:vertAlign w:val="baseline"/>
        </w:rPr>
        <w:t> </w:t>
      </w:r>
      <w:r>
        <w:rPr>
          <w:vertAlign w:val="baseline"/>
        </w:rPr>
        <w:t>a</w:t>
      </w:r>
      <w:r>
        <w:rPr>
          <w:spacing w:val="-2"/>
          <w:vertAlign w:val="baseline"/>
        </w:rPr>
        <w:t> </w:t>
      </w:r>
      <w:r>
        <w:rPr>
          <w:vertAlign w:val="baseline"/>
        </w:rPr>
        <w:t>case</w:t>
      </w:r>
      <w:r>
        <w:rPr>
          <w:spacing w:val="-2"/>
          <w:vertAlign w:val="baseline"/>
        </w:rPr>
        <w:t> </w:t>
      </w:r>
      <w:r>
        <w:rPr>
          <w:vertAlign w:val="baseline"/>
        </w:rPr>
        <w:t>in</w:t>
      </w:r>
      <w:r>
        <w:rPr>
          <w:spacing w:val="-2"/>
          <w:vertAlign w:val="baseline"/>
        </w:rPr>
        <w:t> </w:t>
      </w:r>
      <w:r>
        <w:rPr>
          <w:vertAlign w:val="baseline"/>
        </w:rPr>
        <w:t>which</w:t>
      </w:r>
      <w:r>
        <w:rPr>
          <w:spacing w:val="-2"/>
          <w:vertAlign w:val="baseline"/>
        </w:rPr>
        <w:t> </w:t>
      </w:r>
      <w:r>
        <w:rPr>
          <w:vertAlign w:val="baseline"/>
        </w:rPr>
        <w:t>the</w:t>
      </w:r>
      <w:r>
        <w:rPr>
          <w:spacing w:val="-2"/>
          <w:vertAlign w:val="baseline"/>
        </w:rPr>
        <w:t> </w:t>
      </w:r>
      <w:r>
        <w:rPr>
          <w:vertAlign w:val="baseline"/>
        </w:rPr>
        <w:t>delay</w:t>
      </w:r>
      <w:r>
        <w:rPr>
          <w:spacing w:val="-2"/>
          <w:vertAlign w:val="baseline"/>
        </w:rPr>
        <w:t> </w:t>
      </w:r>
      <w:r>
        <w:rPr>
          <w:vertAlign w:val="baseline"/>
        </w:rPr>
        <w:t>would</w:t>
      </w:r>
      <w:r>
        <w:rPr>
          <w:spacing w:val="-2"/>
          <w:vertAlign w:val="baseline"/>
        </w:rPr>
        <w:t> </w:t>
      </w:r>
      <w:r>
        <w:rPr>
          <w:vertAlign w:val="baseline"/>
        </w:rPr>
        <w:t>have</w:t>
      </w:r>
      <w:r>
        <w:rPr>
          <w:spacing w:val="-2"/>
          <w:vertAlign w:val="baseline"/>
        </w:rPr>
        <w:t> </w:t>
      </w:r>
      <w:r>
        <w:rPr>
          <w:vertAlign w:val="baseline"/>
        </w:rPr>
        <w:t>amounted</w:t>
      </w:r>
      <w:r>
        <w:rPr>
          <w:spacing w:val="-2"/>
          <w:vertAlign w:val="baseline"/>
        </w:rPr>
        <w:t> </w:t>
      </w:r>
      <w:r>
        <w:rPr>
          <w:vertAlign w:val="baseline"/>
        </w:rPr>
        <w:t>to</w:t>
      </w:r>
      <w:r>
        <w:rPr>
          <w:spacing w:val="-2"/>
          <w:vertAlign w:val="baseline"/>
        </w:rPr>
        <w:t> </w:t>
      </w:r>
      <w:r>
        <w:rPr>
          <w:vertAlign w:val="baseline"/>
        </w:rPr>
        <w:t>acceptance</w:t>
      </w:r>
      <w:r>
        <w:rPr>
          <w:spacing w:val="-2"/>
          <w:vertAlign w:val="baseline"/>
        </w:rPr>
        <w:t> </w:t>
      </w:r>
      <w:r>
        <w:rPr>
          <w:vertAlign w:val="baseline"/>
        </w:rPr>
        <w:t>of the goods and appears to be an exception to the general rule </w:t>
      </w:r>
      <w:r>
        <w:rPr>
          <w:color w:val="005DA1"/>
          <w:u w:val="single" w:color="005DA1"/>
          <w:vertAlign w:val="superscript"/>
        </w:rPr>
        <w:t>625</w:t>
      </w:r>
      <w:r>
        <w:rPr>
          <w:vertAlign w:val="baseline"/>
        </w:rPr>
        <w:t>; and in the Court of Appeal it has </w:t>
      </w:r>
      <w:bookmarkStart w:name="_bookmark1164" w:id="1166"/>
      <w:bookmarkEnd w:id="1166"/>
      <w:r>
        <w:rPr>
          <w:vertAlign w:val="baseline"/>
        </w:rPr>
        <w:t>recently</w:t>
      </w:r>
      <w:r>
        <w:rPr>
          <w:vertAlign w:val="baseline"/>
        </w:rPr>
        <w:t> been doubted whether </w:t>
      </w:r>
      <w:r>
        <w:rPr>
          <w:rFonts w:ascii="Arial" w:hAnsi="Arial"/>
          <w:i/>
          <w:vertAlign w:val="baseline"/>
        </w:rPr>
        <w:t>Leaf v International Galleries </w:t>
      </w:r>
      <w:r>
        <w:rPr>
          <w:vertAlign w:val="baseline"/>
        </w:rPr>
        <w:t>is good law after the enactment of s.1 of the Misrepresentation Act 1967. </w:t>
      </w:r>
      <w:r>
        <w:rPr>
          <w:color w:val="005DA1"/>
          <w:u w:val="single" w:color="005DA1"/>
          <w:vertAlign w:val="superscript"/>
        </w:rPr>
        <w:t>626</w:t>
      </w:r>
      <w:r>
        <w:rPr>
          <w:color w:val="005DA1"/>
          <w:vertAlign w:val="baseline"/>
        </w:rPr>
        <w:t> </w:t>
      </w:r>
      <w:r>
        <w:rPr>
          <w:vertAlign w:val="baseline"/>
        </w:rPr>
        <w:t>It seems doubtful whether mere lapse of time will bar rescission in </w:t>
      </w:r>
      <w:bookmarkStart w:name="_bookmark1165" w:id="1167"/>
      <w:bookmarkEnd w:id="1167"/>
      <w:r>
        <w:rPr>
          <w:vertAlign w:val="baseline"/>
        </w:rPr>
        <w:t>other</w:t>
      </w:r>
      <w:r>
        <w:rPr>
          <w:vertAlign w:val="baseline"/>
        </w:rPr>
        <w:t> cases of completely innocent misrepresentation, and this will not be so in cases of fraud, nor where there has been breach of a fiduciary duty. </w:t>
      </w:r>
      <w:r>
        <w:rPr>
          <w:color w:val="005DA1"/>
          <w:u w:val="single" w:color="005DA1"/>
          <w:vertAlign w:val="superscript"/>
        </w:rPr>
        <w:t>627</w:t>
      </w:r>
    </w:p>
    <w:p>
      <w:pPr>
        <w:pStyle w:val="BodyText"/>
      </w:pPr>
    </w:p>
    <w:p>
      <w:pPr>
        <w:pStyle w:val="BodyText"/>
        <w:spacing w:before="33"/>
      </w:pPr>
    </w:p>
    <w:p>
      <w:pPr>
        <w:spacing w:before="0"/>
        <w:ind w:left="164" w:right="0" w:firstLine="0"/>
        <w:jc w:val="left"/>
        <w:rPr>
          <w:rFonts w:ascii="Arial"/>
          <w:b/>
          <w:sz w:val="18"/>
        </w:rPr>
      </w:pPr>
      <w:r>
        <w:rPr>
          <w:rFonts w:ascii="Arial"/>
          <w:b/>
          <w:sz w:val="18"/>
        </w:rPr>
        <w:t>Effect on </w:t>
      </w:r>
      <w:r>
        <w:rPr>
          <w:rFonts w:ascii="Arial"/>
          <w:b/>
          <w:spacing w:val="-2"/>
          <w:sz w:val="18"/>
        </w:rPr>
        <w:t>representee</w:t>
      </w:r>
    </w:p>
    <w:p>
      <w:pPr>
        <w:spacing w:after="0"/>
        <w:jc w:val="left"/>
        <w:rPr>
          <w:rFonts w:ascii="Arial"/>
          <w:b/>
          <w:sz w:val="18"/>
        </w:rPr>
        <w:sectPr>
          <w:pgSz w:w="11900" w:h="16840"/>
          <w:pgMar w:header="971" w:footer="0" w:top="1160" w:bottom="280" w:left="1275" w:right="1275"/>
        </w:sectPr>
      </w:pPr>
    </w:p>
    <w:p>
      <w:pPr>
        <w:pStyle w:val="BodyText"/>
        <w:spacing w:before="130"/>
        <w:rPr>
          <w:rFonts w:ascii="Arial"/>
          <w:b/>
          <w:sz w:val="24"/>
        </w:rPr>
      </w:pPr>
    </w:p>
    <w:p>
      <w:pPr>
        <w:pStyle w:val="Heading2"/>
      </w:pPr>
      <w:r>
        <w:rPr/>
        <w:t>7-</w:t>
      </w:r>
      <w:r>
        <w:rPr>
          <w:spacing w:val="-5"/>
        </w:rPr>
        <w:t>137</w:t>
      </w:r>
    </w:p>
    <w:p>
      <w:pPr>
        <w:pStyle w:val="BodyText"/>
        <w:spacing w:line="235" w:lineRule="auto" w:before="203"/>
        <w:ind w:left="165" w:right="167"/>
        <w:jc w:val="both"/>
      </w:pPr>
      <w:bookmarkStart w:name="_bookmark1166" w:id="1168"/>
      <w:bookmarkEnd w:id="1168"/>
      <w:r>
        <w:rPr/>
      </w:r>
      <w:r>
        <w:rPr/>
        <w:t>Older cases indicate that in considering whether the representee has lost his right to rescind by lapse </w:t>
      </w:r>
      <w:bookmarkStart w:name="_bookmark1167" w:id="1169"/>
      <w:bookmarkEnd w:id="1169"/>
      <w:r>
        <w:rPr/>
        <w:t>of</w:t>
      </w:r>
      <w:r>
        <w:rPr/>
        <w:t> time, it may be important to inquire if the representee has been adversely affected by the delay. </w:t>
      </w:r>
      <w:r>
        <w:rPr>
          <w:color w:val="005DA1"/>
          <w:u w:val="single" w:color="005DA1"/>
          <w:vertAlign w:val="superscript"/>
        </w:rPr>
        <w:t>628</w:t>
      </w:r>
      <w:r>
        <w:rPr>
          <w:color w:val="005DA1"/>
          <w:vertAlign w:val="baseline"/>
        </w:rPr>
        <w:t> </w:t>
      </w:r>
      <w:r>
        <w:rPr>
          <w:vertAlign w:val="baseline"/>
        </w:rPr>
        <w:t>Thus in </w:t>
      </w:r>
      <w:r>
        <w:rPr>
          <w:rFonts w:ascii="Arial"/>
          <w:i/>
          <w:vertAlign w:val="baseline"/>
        </w:rPr>
        <w:t>Morrison v Universal Marine Insurance Co </w:t>
      </w:r>
      <w:r>
        <w:rPr>
          <w:color w:val="005DA1"/>
          <w:u w:val="single" w:color="005DA1"/>
          <w:vertAlign w:val="superscript"/>
        </w:rPr>
        <w:t>629</w:t>
      </w:r>
      <w:r>
        <w:rPr>
          <w:color w:val="005DA1"/>
          <w:vertAlign w:val="baseline"/>
        </w:rPr>
        <w:t> </w:t>
      </w:r>
      <w:r>
        <w:rPr>
          <w:vertAlign w:val="baseline"/>
        </w:rPr>
        <w:t>it was said that rescission of a contract of marine insurance, the policy of which was voidable for non-disclosure of a material fact, would have been refused if there had been any evidence that the failure of the underwriters to avoid the contract after they had become aware of the defect had led the insured party to refrain from insuring elsewhere.</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submitted</w:t>
      </w:r>
      <w:r>
        <w:rPr>
          <w:spacing w:val="-2"/>
          <w:vertAlign w:val="baseline"/>
        </w:rPr>
        <w:t> </w:t>
      </w:r>
      <w:r>
        <w:rPr>
          <w:vertAlign w:val="baseline"/>
        </w:rPr>
        <w:t>that</w:t>
      </w:r>
      <w:r>
        <w:rPr>
          <w:spacing w:val="-2"/>
          <w:vertAlign w:val="baseline"/>
        </w:rPr>
        <w:t> </w:t>
      </w:r>
      <w:r>
        <w:rPr>
          <w:vertAlign w:val="baseline"/>
        </w:rPr>
        <w:t>if</w:t>
      </w:r>
      <w:r>
        <w:rPr>
          <w:spacing w:val="-2"/>
          <w:vertAlign w:val="baseline"/>
        </w:rPr>
        <w:t> </w:t>
      </w:r>
      <w:r>
        <w:rPr>
          <w:vertAlign w:val="baseline"/>
        </w:rPr>
        <w:t>the</w:t>
      </w:r>
      <w:r>
        <w:rPr>
          <w:spacing w:val="-2"/>
          <w:vertAlign w:val="baseline"/>
        </w:rPr>
        <w:t> </w:t>
      </w:r>
      <w:r>
        <w:rPr>
          <w:vertAlign w:val="baseline"/>
        </w:rPr>
        <w:t>misrepresentee</w:t>
      </w:r>
      <w:r>
        <w:rPr>
          <w:spacing w:val="-2"/>
          <w:vertAlign w:val="baseline"/>
        </w:rPr>
        <w:t> </w:t>
      </w:r>
      <w:r>
        <w:rPr>
          <w:vertAlign w:val="baseline"/>
        </w:rPr>
        <w:t>has</w:t>
      </w:r>
      <w:r>
        <w:rPr>
          <w:spacing w:val="-2"/>
          <w:vertAlign w:val="baseline"/>
        </w:rPr>
        <w:t> </w:t>
      </w:r>
      <w:r>
        <w:rPr>
          <w:vertAlign w:val="baseline"/>
        </w:rPr>
        <w:t>delayed</w:t>
      </w:r>
      <w:r>
        <w:rPr>
          <w:spacing w:val="-2"/>
          <w:vertAlign w:val="baseline"/>
        </w:rPr>
        <w:t> </w:t>
      </w:r>
      <w:r>
        <w:rPr>
          <w:vertAlign w:val="baseline"/>
        </w:rPr>
        <w:t>in</w:t>
      </w:r>
      <w:r>
        <w:rPr>
          <w:spacing w:val="-2"/>
          <w:vertAlign w:val="baseline"/>
        </w:rPr>
        <w:t> </w:t>
      </w:r>
      <w:r>
        <w:rPr>
          <w:vertAlign w:val="baseline"/>
        </w:rPr>
        <w:t>exercising</w:t>
      </w:r>
      <w:r>
        <w:rPr>
          <w:spacing w:val="-2"/>
          <w:vertAlign w:val="baseline"/>
        </w:rPr>
        <w:t> </w:t>
      </w:r>
      <w:r>
        <w:rPr>
          <w:vertAlign w:val="baseline"/>
        </w:rPr>
        <w:t>his</w:t>
      </w:r>
      <w:r>
        <w:rPr>
          <w:spacing w:val="-2"/>
          <w:vertAlign w:val="baseline"/>
        </w:rPr>
        <w:t> </w:t>
      </w:r>
      <w:r>
        <w:rPr>
          <w:vertAlign w:val="baseline"/>
        </w:rPr>
        <w:t>right</w:t>
      </w:r>
      <w:r>
        <w:rPr>
          <w:spacing w:val="-2"/>
          <w:vertAlign w:val="baseline"/>
        </w:rPr>
        <w:t> </w:t>
      </w:r>
      <w:r>
        <w:rPr>
          <w:vertAlign w:val="baseline"/>
        </w:rPr>
        <w:t>for</w:t>
      </w:r>
      <w:r>
        <w:rPr>
          <w:spacing w:val="-2"/>
          <w:vertAlign w:val="baseline"/>
        </w:rPr>
        <w:t> </w:t>
      </w:r>
      <w:r>
        <w:rPr>
          <w:vertAlign w:val="baseline"/>
        </w:rPr>
        <w:t>so</w:t>
      </w:r>
      <w:r>
        <w:rPr>
          <w:spacing w:val="-2"/>
          <w:vertAlign w:val="baseline"/>
        </w:rPr>
        <w:t> </w:t>
      </w:r>
      <w:r>
        <w:rPr>
          <w:vertAlign w:val="baseline"/>
        </w:rPr>
        <w:t>long</w:t>
      </w:r>
      <w:r>
        <w:rPr>
          <w:spacing w:val="-2"/>
          <w:vertAlign w:val="baseline"/>
        </w:rPr>
        <w:t> </w:t>
      </w:r>
      <w:r>
        <w:rPr>
          <w:vertAlign w:val="baseline"/>
        </w:rPr>
        <w:t>that </w:t>
      </w:r>
      <w:bookmarkStart w:name="_bookmark1168" w:id="1170"/>
      <w:bookmarkEnd w:id="1170"/>
      <w:r>
        <w:rPr>
          <w:vertAlign w:val="baseline"/>
        </w:rPr>
        <w:t>he</w:t>
      </w:r>
      <w:r>
        <w:rPr>
          <w:vertAlign w:val="baseline"/>
        </w:rPr>
        <w:t> reasonably appears to be indicating that he will not do so, and the other party acts on that assumption, the misrepresentee will be barred by estoppel </w:t>
      </w:r>
      <w:r>
        <w:rPr>
          <w:color w:val="005DA1"/>
          <w:u w:val="single" w:color="005DA1"/>
          <w:vertAlign w:val="superscript"/>
        </w:rPr>
        <w:t>630</w:t>
      </w:r>
      <w:r>
        <w:rPr>
          <w:color w:val="005DA1"/>
          <w:vertAlign w:val="baseline"/>
        </w:rPr>
        <w:t> </w:t>
      </w:r>
      <w:r>
        <w:rPr>
          <w:vertAlign w:val="baseline"/>
        </w:rPr>
        <w:t>or acquiescence. </w:t>
      </w:r>
      <w:r>
        <w:rPr>
          <w:color w:val="005DA1"/>
          <w:u w:val="single" w:color="005DA1"/>
          <w:vertAlign w:val="superscript"/>
        </w:rPr>
        <w:t>631</w:t>
      </w:r>
      <w:r>
        <w:rPr>
          <w:color w:val="005DA1"/>
          <w:vertAlign w:val="baseline"/>
        </w:rPr>
        <w:t> </w:t>
      </w:r>
      <w:r>
        <w:rPr>
          <w:vertAlign w:val="baseline"/>
        </w:rPr>
        <w:t>But the fact that the representor has changed his position is not by itself a bar to rescission, so, e.g. a contract of </w:t>
      </w:r>
      <w:bookmarkStart w:name="_bookmark1169" w:id="1171"/>
      <w:bookmarkEnd w:id="1171"/>
      <w:r>
        <w:rPr>
          <w:vertAlign w:val="baseline"/>
        </w:rPr>
        <w:t>guarantee</w:t>
      </w:r>
      <w:r>
        <w:rPr>
          <w:vertAlign w:val="baseline"/>
        </w:rPr>
        <w:t> can be rescinded by the guarantor notwithstanding that money has been lent by the representor in reliance on the guarantee. </w:t>
      </w:r>
      <w:r>
        <w:rPr>
          <w:color w:val="005DA1"/>
          <w:u w:val="single" w:color="005DA1"/>
          <w:vertAlign w:val="superscript"/>
        </w:rPr>
        <w:t>632</w:t>
      </w:r>
      <w:r>
        <w:rPr>
          <w:color w:val="005DA1"/>
          <w:vertAlign w:val="baseline"/>
        </w:rPr>
        <w:t> </w:t>
      </w:r>
      <w:r>
        <w:rPr>
          <w:vertAlign w:val="baseline"/>
        </w:rPr>
        <w:t>Prompt action would doubtless be required once the representee knows the truth in a case of this nature.</w:t>
      </w:r>
    </w:p>
    <w:p>
      <w:pPr>
        <w:pStyle w:val="BodyText"/>
      </w:pPr>
    </w:p>
    <w:p>
      <w:pPr>
        <w:pStyle w:val="BodyText"/>
        <w:spacing w:before="33"/>
      </w:pPr>
    </w:p>
    <w:p>
      <w:pPr>
        <w:spacing w:before="0"/>
        <w:ind w:left="165" w:right="0" w:firstLine="0"/>
        <w:jc w:val="both"/>
        <w:rPr>
          <w:rFonts w:ascii="Arial"/>
          <w:b/>
          <w:sz w:val="18"/>
        </w:rPr>
      </w:pPr>
      <w:r>
        <w:rPr>
          <w:rFonts w:ascii="Arial"/>
          <w:b/>
          <w:sz w:val="18"/>
        </w:rPr>
        <w:t>Third-party </w:t>
      </w:r>
      <w:r>
        <w:rPr>
          <w:rFonts w:ascii="Arial"/>
          <w:b/>
          <w:spacing w:val="-2"/>
          <w:sz w:val="18"/>
        </w:rPr>
        <w:t>rights</w:t>
      </w:r>
    </w:p>
    <w:p>
      <w:pPr>
        <w:pStyle w:val="BodyText"/>
        <w:spacing w:before="42"/>
        <w:rPr>
          <w:rFonts w:ascii="Arial"/>
          <w:b/>
          <w:sz w:val="18"/>
        </w:rPr>
      </w:pPr>
    </w:p>
    <w:p>
      <w:pPr>
        <w:pStyle w:val="Heading2"/>
      </w:pPr>
      <w:r>
        <w:rPr/>
        <w:t>7-</w:t>
      </w:r>
      <w:r>
        <w:rPr>
          <w:spacing w:val="-5"/>
        </w:rPr>
        <w:t>138</w:t>
      </w:r>
    </w:p>
    <w:p>
      <w:pPr>
        <w:pStyle w:val="BodyText"/>
        <w:spacing w:before="88"/>
        <w:rPr>
          <w:rFonts w:ascii="Arial"/>
          <w:b/>
        </w:rPr>
      </w:pPr>
    </w:p>
    <w:p>
      <w:pPr>
        <w:pStyle w:val="BodyText"/>
        <w:spacing w:before="1"/>
        <w:ind w:left="165"/>
        <w:jc w:val="both"/>
      </w:pPr>
      <w:r>
        <w:rPr>
          <w:position w:val="-2"/>
        </w:rPr>
        <w:drawing>
          <wp:inline distT="0" distB="0" distL="0" distR="0">
            <wp:extent cx="107988" cy="107988"/>
            <wp:effectExtent l="0" t="0" r="0" b="0"/>
            <wp:docPr id="206" name="Image 206"/>
            <wp:cNvGraphicFramePr>
              <a:graphicFrameLocks/>
            </wp:cNvGraphicFramePr>
            <a:graphic>
              <a:graphicData uri="http://schemas.openxmlformats.org/drawingml/2006/picture">
                <pic:pic>
                  <pic:nvPicPr>
                    <pic:cNvPr id="206" name="Image 20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9"/>
        </w:rPr>
        <w:t> </w:t>
      </w:r>
      <w:bookmarkStart w:name="_bookmark1170" w:id="1172"/>
      <w:bookmarkEnd w:id="1172"/>
      <w:r>
        <w:rPr>
          <w:rFonts w:ascii="Times New Roman"/>
          <w:spacing w:val="19"/>
        </w:rPr>
      </w:r>
      <w:r>
        <w:rPr/>
        <w:t>The</w:t>
      </w:r>
      <w:r>
        <w:rPr>
          <w:spacing w:val="16"/>
        </w:rPr>
        <w:t> </w:t>
      </w:r>
      <w:r>
        <w:rPr/>
        <w:t>intervention</w:t>
      </w:r>
      <w:r>
        <w:rPr>
          <w:spacing w:val="16"/>
        </w:rPr>
        <w:t> </w:t>
      </w:r>
      <w:r>
        <w:rPr/>
        <w:t>of</w:t>
      </w:r>
      <w:r>
        <w:rPr>
          <w:spacing w:val="16"/>
        </w:rPr>
        <w:t> </w:t>
      </w:r>
      <w:r>
        <w:rPr/>
        <w:t>third-party</w:t>
      </w:r>
      <w:r>
        <w:rPr>
          <w:spacing w:val="16"/>
        </w:rPr>
        <w:t> </w:t>
      </w:r>
      <w:r>
        <w:rPr/>
        <w:t>rights</w:t>
      </w:r>
      <w:r>
        <w:rPr>
          <w:spacing w:val="16"/>
        </w:rPr>
        <w:t> </w:t>
      </w:r>
      <w:r>
        <w:rPr/>
        <w:t>may</w:t>
      </w:r>
      <w:r>
        <w:rPr>
          <w:spacing w:val="16"/>
        </w:rPr>
        <w:t> </w:t>
      </w:r>
      <w:r>
        <w:rPr/>
        <w:t>prevent</w:t>
      </w:r>
      <w:r>
        <w:rPr>
          <w:spacing w:val="16"/>
        </w:rPr>
        <w:t> </w:t>
      </w:r>
      <w:r>
        <w:rPr/>
        <w:t>the</w:t>
      </w:r>
      <w:r>
        <w:rPr>
          <w:spacing w:val="16"/>
        </w:rPr>
        <w:t> </w:t>
      </w:r>
      <w:r>
        <w:rPr/>
        <w:t>misrepresentee</w:t>
      </w:r>
      <w:r>
        <w:rPr>
          <w:spacing w:val="16"/>
        </w:rPr>
        <w:t> </w:t>
      </w:r>
      <w:r>
        <w:rPr/>
        <w:t>from</w:t>
      </w:r>
      <w:r>
        <w:rPr>
          <w:spacing w:val="16"/>
        </w:rPr>
        <w:t> </w:t>
      </w:r>
      <w:r>
        <w:rPr/>
        <w:t>rescinding</w:t>
      </w:r>
      <w:r>
        <w:rPr>
          <w:spacing w:val="16"/>
        </w:rPr>
        <w:t> </w:t>
      </w:r>
      <w:r>
        <w:rPr/>
        <w:t>the</w:t>
      </w:r>
      <w:r>
        <w:rPr>
          <w:spacing w:val="16"/>
        </w:rPr>
        <w:t> </w:t>
      </w:r>
      <w:r>
        <w:rPr/>
        <w:t>contract</w:t>
      </w:r>
    </w:p>
    <w:p>
      <w:pPr>
        <w:pStyle w:val="BodyText"/>
        <w:spacing w:line="235" w:lineRule="auto" w:before="118"/>
        <w:ind w:left="165" w:right="167"/>
        <w:jc w:val="both"/>
      </w:pPr>
      <w:r>
        <w:rPr/>
        <w:t>and reclaiming property transferred under it. </w:t>
      </w:r>
      <w:r>
        <w:rPr>
          <w:color w:val="005DA1"/>
          <w:u w:val="single" w:color="005DA1"/>
          <w:vertAlign w:val="superscript"/>
        </w:rPr>
        <w:t>633</w:t>
      </w:r>
      <w:r>
        <w:rPr>
          <w:color w:val="005DA1"/>
          <w:spacing w:val="80"/>
          <w:w w:val="150"/>
          <w:vertAlign w:val="baseline"/>
        </w:rPr>
        <w:t> </w:t>
      </w:r>
      <w:r>
        <w:rPr>
          <w:color w:val="005DA1"/>
          <w:spacing w:val="-23"/>
          <w:position w:val="-2"/>
          <w:vertAlign w:val="baseline"/>
        </w:rPr>
        <w:drawing>
          <wp:inline distT="0" distB="0" distL="0" distR="0">
            <wp:extent cx="107988" cy="107988"/>
            <wp:effectExtent l="0" t="0" r="0" b="0"/>
            <wp:docPr id="207" name="Image 207"/>
            <wp:cNvGraphicFramePr>
              <a:graphicFrameLocks/>
            </wp:cNvGraphicFramePr>
            <a:graphic>
              <a:graphicData uri="http://schemas.openxmlformats.org/drawingml/2006/picture">
                <pic:pic>
                  <pic:nvPicPr>
                    <pic:cNvPr id="207" name="Image 20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hAnsi="Times New Roman"/>
          <w:color w:val="005DA1"/>
          <w:spacing w:val="35"/>
          <w:vertAlign w:val="baseline"/>
        </w:rPr>
        <w:t> </w:t>
      </w:r>
      <w:r>
        <w:rPr>
          <w:vertAlign w:val="baseline"/>
        </w:rPr>
        <w:t>This is one of the risks run by the injured party </w:t>
      </w:r>
      <w:r>
        <w:rPr>
          <w:vertAlign w:val="baseline"/>
        </w:rPr>
        <w:t>if </w:t>
      </w:r>
      <w:bookmarkStart w:name="_bookmark1171" w:id="1173"/>
      <w:bookmarkEnd w:id="1173"/>
      <w:r>
        <w:rPr>
          <w:vertAlign w:val="baseline"/>
        </w:rPr>
        <w:t>he</w:t>
      </w:r>
      <w:r>
        <w:rPr>
          <w:vertAlign w:val="baseline"/>
        </w:rPr>
        <w:t> delays in taking action, for if a third party acquires an interest in the subject matter of the contract </w:t>
      </w:r>
      <w:bookmarkStart w:name="_bookmark1172" w:id="1174"/>
      <w:bookmarkEnd w:id="1174"/>
      <w:r>
        <w:rPr>
          <w:vertAlign w:val="baseline"/>
        </w:rPr>
        <w:t>before</w:t>
      </w:r>
      <w:r>
        <w:rPr>
          <w:vertAlign w:val="baseline"/>
        </w:rPr>
        <w:t> the contract has been avoided a claim for rescission will not lie,</w:t>
      </w:r>
      <w:r>
        <w:rPr>
          <w:spacing w:val="-1"/>
          <w:vertAlign w:val="baseline"/>
        </w:rPr>
        <w:t> </w:t>
      </w:r>
      <w:r>
        <w:rPr>
          <w:color w:val="005DA1"/>
          <w:u w:val="single" w:color="005DA1"/>
          <w:vertAlign w:val="superscript"/>
        </w:rPr>
        <w:t>634</w:t>
      </w:r>
      <w:r>
        <w:rPr>
          <w:color w:val="005DA1"/>
          <w:vertAlign w:val="baseline"/>
        </w:rPr>
        <w:t> </w:t>
      </w:r>
      <w:r>
        <w:rPr>
          <w:vertAlign w:val="baseline"/>
        </w:rPr>
        <w:t>provided that the third party acted in good faith and gave consideration. </w:t>
      </w:r>
      <w:r>
        <w:rPr>
          <w:color w:val="005DA1"/>
          <w:u w:val="single" w:color="005DA1"/>
          <w:vertAlign w:val="superscript"/>
        </w:rPr>
        <w:t>635</w:t>
      </w:r>
      <w:r>
        <w:rPr>
          <w:color w:val="005DA1"/>
          <w:vertAlign w:val="baseline"/>
        </w:rPr>
        <w:t> </w:t>
      </w:r>
      <w:r>
        <w:rPr>
          <w:vertAlign w:val="baseline"/>
        </w:rPr>
        <w:t>Thus, although there may be no duty to act within a prescribed time, it is in the representee’s interest to act promptly, for the longer the delay, the greater </w:t>
      </w:r>
      <w:bookmarkStart w:name="_bookmark1173" w:id="1175"/>
      <w:bookmarkEnd w:id="1175"/>
      <w:r>
        <w:rPr>
          <w:vertAlign w:val="baseline"/>
        </w:rPr>
        <w:t>the</w:t>
      </w:r>
      <w:r>
        <w:rPr>
          <w:vertAlign w:val="baseline"/>
        </w:rPr>
        <w:t> possibility of a third party acquiring rights in the subject-matter of the contract. This rule does not </w:t>
      </w:r>
      <w:bookmarkStart w:name="_bookmark1174" w:id="1176"/>
      <w:bookmarkEnd w:id="1176"/>
      <w:r>
        <w:rPr>
          <w:vertAlign w:val="baseline"/>
        </w:rPr>
        <w:t>apply</w:t>
      </w:r>
      <w:r>
        <w:rPr>
          <w:vertAlign w:val="baseline"/>
        </w:rPr>
        <w:t> to void contracts, for in such cases the transferee has no title to pass to the third party </w:t>
      </w:r>
      <w:r>
        <w:rPr>
          <w:color w:val="005DA1"/>
          <w:u w:val="single" w:color="005DA1"/>
          <w:vertAlign w:val="superscript"/>
        </w:rPr>
        <w:t>636</w:t>
      </w:r>
      <w:r>
        <w:rPr>
          <w:vertAlign w:val="baseline"/>
        </w:rPr>
        <w:t>; it does apply to voidable contracts, for here the transferee has a good title until the contract is avoided. </w:t>
      </w:r>
      <w:r>
        <w:rPr>
          <w:color w:val="005DA1"/>
          <w:u w:val="single" w:color="005DA1"/>
          <w:vertAlign w:val="superscript"/>
        </w:rPr>
        <w:t>637</w:t>
      </w:r>
      <w:r>
        <w:rPr>
          <w:color w:val="005DA1"/>
          <w:vertAlign w:val="baseline"/>
        </w:rPr>
        <w:t> </w:t>
      </w:r>
      <w:bookmarkStart w:name="_bookmark1175" w:id="1177"/>
      <w:bookmarkEnd w:id="1177"/>
      <w:r>
        <w:rPr>
          <w:color w:val="005DA1"/>
          <w:spacing w:val="-5"/>
          <w:vertAlign w:val="baseline"/>
        </w:rPr>
      </w:r>
      <w:r>
        <w:rPr>
          <w:vertAlign w:val="baseline"/>
        </w:rPr>
        <w:t>Thus the rule may operate in all cases of misrepresentation (whether innocent, negligent or fraudulent) unless the effect of the misrepresentation is to make the contract void for mistake. </w:t>
      </w:r>
      <w:r>
        <w:rPr>
          <w:color w:val="005DA1"/>
          <w:u w:val="single" w:color="005DA1"/>
          <w:vertAlign w:val="superscript"/>
        </w:rPr>
        <w:t>638</w:t>
      </w:r>
      <w:r>
        <w:rPr>
          <w:color w:val="005DA1"/>
          <w:vertAlign w:val="baseline"/>
        </w:rPr>
        <w:t> </w:t>
      </w:r>
      <w:r>
        <w:rPr>
          <w:vertAlign w:val="baseline"/>
        </w:rPr>
        <w:t>The </w:t>
      </w:r>
      <w:bookmarkStart w:name="_bookmark1176" w:id="1178"/>
      <w:bookmarkEnd w:id="1178"/>
      <w:r>
        <w:rPr>
          <w:vertAlign w:val="baseline"/>
        </w:rPr>
        <w:t>effect</w:t>
      </w:r>
      <w:r>
        <w:rPr>
          <w:vertAlign w:val="baseline"/>
        </w:rPr>
        <w:t> on third parties, in this case insured persons, may also prevent a name at Lloyd’s from rescinding her agreement to become a name. </w:t>
      </w:r>
      <w:r>
        <w:rPr>
          <w:color w:val="005DA1"/>
          <w:u w:val="single" w:color="005DA1"/>
          <w:vertAlign w:val="superscript"/>
        </w:rPr>
        <w:t>639</w:t>
      </w:r>
    </w:p>
    <w:p>
      <w:pPr>
        <w:pStyle w:val="BodyText"/>
      </w:pPr>
    </w:p>
    <w:p>
      <w:pPr>
        <w:pStyle w:val="BodyText"/>
        <w:spacing w:before="34"/>
      </w:pPr>
    </w:p>
    <w:p>
      <w:pPr>
        <w:spacing w:before="1"/>
        <w:ind w:left="165" w:right="0" w:firstLine="0"/>
        <w:jc w:val="both"/>
        <w:rPr>
          <w:rFonts w:ascii="Arial"/>
          <w:b/>
          <w:sz w:val="18"/>
        </w:rPr>
      </w:pPr>
      <w:r>
        <w:rPr>
          <w:rFonts w:ascii="Arial"/>
          <w:b/>
          <w:sz w:val="18"/>
        </w:rPr>
        <w:t>Tracing proceeds of </w:t>
      </w:r>
      <w:r>
        <w:rPr>
          <w:rFonts w:ascii="Arial"/>
          <w:b/>
          <w:spacing w:val="-2"/>
          <w:sz w:val="18"/>
        </w:rPr>
        <w:t>disposition.</w:t>
      </w:r>
    </w:p>
    <w:p>
      <w:pPr>
        <w:pStyle w:val="BodyText"/>
        <w:spacing w:before="41"/>
        <w:rPr>
          <w:rFonts w:ascii="Arial"/>
          <w:b/>
          <w:sz w:val="18"/>
        </w:rPr>
      </w:pPr>
    </w:p>
    <w:p>
      <w:pPr>
        <w:pStyle w:val="Heading2"/>
      </w:pPr>
      <w:r>
        <w:rPr/>
        <w:t>7-</w:t>
      </w:r>
      <w:r>
        <w:rPr>
          <w:spacing w:val="-4"/>
        </w:rPr>
        <w:t>138A</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Even though the fact that, before rescission, an innocent third party has acquired rights over the property transferred under the contract that was induced by misrepresentation will prevent </w:t>
      </w:r>
      <w:r>
        <w:rPr/>
        <w:t>the misrepresentee from recovering the property as such, the misrepresentee obtains an equity on which </w:t>
      </w:r>
      <w:bookmarkStart w:name="_bookmark1177" w:id="1179"/>
      <w:bookmarkEnd w:id="1179"/>
      <w:r>
        <w:rPr/>
        <w:t>it</w:t>
      </w:r>
      <w:r>
        <w:rPr>
          <w:spacing w:val="38"/>
        </w:rPr>
        <w:t> </w:t>
      </w:r>
      <w:r>
        <w:rPr/>
        <w:t>may</w:t>
      </w:r>
      <w:r>
        <w:rPr>
          <w:spacing w:val="38"/>
        </w:rPr>
        <w:t> </w:t>
      </w:r>
      <w:r>
        <w:rPr/>
        <w:t>rely</w:t>
      </w:r>
      <w:r>
        <w:rPr>
          <w:spacing w:val="38"/>
        </w:rPr>
        <w:t> </w:t>
      </w:r>
      <w:r>
        <w:rPr/>
        <w:t>to</w:t>
      </w:r>
      <w:r>
        <w:rPr>
          <w:spacing w:val="38"/>
        </w:rPr>
        <w:t> </w:t>
      </w:r>
      <w:r>
        <w:rPr/>
        <w:t>trace</w:t>
      </w:r>
      <w:r>
        <w:rPr>
          <w:spacing w:val="38"/>
        </w:rPr>
        <w:t> </w:t>
      </w:r>
      <w:r>
        <w:rPr/>
        <w:t>into</w:t>
      </w:r>
      <w:r>
        <w:rPr>
          <w:spacing w:val="38"/>
        </w:rPr>
        <w:t> </w:t>
      </w:r>
      <w:r>
        <w:rPr/>
        <w:t>other</w:t>
      </w:r>
      <w:r>
        <w:rPr>
          <w:spacing w:val="38"/>
        </w:rPr>
        <w:t> </w:t>
      </w:r>
      <w:r>
        <w:rPr/>
        <w:t>property</w:t>
      </w:r>
      <w:r>
        <w:rPr>
          <w:spacing w:val="38"/>
        </w:rPr>
        <w:t> </w:t>
      </w:r>
      <w:r>
        <w:rPr/>
        <w:t>that</w:t>
      </w:r>
      <w:r>
        <w:rPr>
          <w:spacing w:val="38"/>
        </w:rPr>
        <w:t> </w:t>
      </w:r>
      <w:r>
        <w:rPr/>
        <w:t>represents</w:t>
      </w:r>
      <w:r>
        <w:rPr>
          <w:spacing w:val="38"/>
        </w:rPr>
        <w:t> </w:t>
      </w:r>
      <w:r>
        <w:rPr/>
        <w:t>the</w:t>
      </w:r>
      <w:r>
        <w:rPr>
          <w:spacing w:val="38"/>
        </w:rPr>
        <w:t> </w:t>
      </w:r>
      <w:r>
        <w:rPr/>
        <w:t>proceeds</w:t>
      </w:r>
      <w:r>
        <w:rPr>
          <w:spacing w:val="38"/>
        </w:rPr>
        <w:t> </w:t>
      </w:r>
      <w:r>
        <w:rPr/>
        <w:t>of</w:t>
      </w:r>
      <w:r>
        <w:rPr>
          <w:spacing w:val="38"/>
        </w:rPr>
        <w:t> </w:t>
      </w:r>
      <w:r>
        <w:rPr/>
        <w:t>disposition</w:t>
      </w:r>
      <w:r>
        <w:rPr>
          <w:spacing w:val="38"/>
        </w:rPr>
        <w:t> </w:t>
      </w:r>
      <w:r>
        <w:rPr/>
        <w:t>of</w:t>
      </w:r>
      <w:r>
        <w:rPr>
          <w:spacing w:val="38"/>
        </w:rPr>
        <w:t> </w:t>
      </w:r>
      <w:r>
        <w:rPr/>
        <w:t>the</w:t>
      </w:r>
      <w:r>
        <w:rPr>
          <w:spacing w:val="38"/>
        </w:rPr>
        <w:t> </w:t>
      </w:r>
      <w:r>
        <w:rPr>
          <w:spacing w:val="-2"/>
        </w:rPr>
        <w:t>original</w:t>
      </w:r>
    </w:p>
    <w:p>
      <w:pPr>
        <w:pStyle w:val="BodyText"/>
        <w:spacing w:line="360" w:lineRule="auto" w:before="115"/>
        <w:ind w:left="165" w:right="167"/>
        <w:jc w:val="both"/>
        <w:rPr>
          <w:position w:val="-2"/>
        </w:rPr>
      </w:pPr>
      <w:bookmarkStart w:name="_bookmark1178" w:id="1180"/>
      <w:bookmarkEnd w:id="1180"/>
      <w:r>
        <w:rPr/>
      </w:r>
      <w:r>
        <w:rPr/>
        <w:t>property, </w:t>
      </w:r>
      <w:r>
        <w:rPr>
          <w:color w:val="005DA1"/>
          <w:u w:val="single" w:color="005DA1"/>
          <w:vertAlign w:val="superscript"/>
        </w:rPr>
        <w:t>640</w:t>
      </w:r>
      <w:r>
        <w:rPr>
          <w:color w:val="005DA1"/>
          <w:spacing w:val="80"/>
          <w:vertAlign w:val="baseline"/>
        </w:rPr>
        <w:t> </w:t>
      </w:r>
      <w:r>
        <w:rPr>
          <w:color w:val="005DA1"/>
          <w:spacing w:val="-21"/>
          <w:position w:val="-2"/>
          <w:vertAlign w:val="baseline"/>
        </w:rPr>
        <w:drawing>
          <wp:inline distT="0" distB="0" distL="0" distR="0">
            <wp:extent cx="107988" cy="107988"/>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color w:val="005DA1"/>
          <w:spacing w:val="40"/>
          <w:vertAlign w:val="baseline"/>
        </w:rPr>
        <w:t> </w:t>
      </w:r>
      <w:r>
        <w:rPr>
          <w:vertAlign w:val="baseline"/>
        </w:rPr>
        <w:t>thus giving it a proprietary claim rather than merely a personal claim against </w:t>
      </w:r>
      <w:r>
        <w:rPr>
          <w:vertAlign w:val="baseline"/>
        </w:rPr>
        <w:t>the misrepresentor. </w:t>
      </w:r>
      <w:r>
        <w:rPr>
          <w:color w:val="005DA1"/>
          <w:u w:val="single" w:color="005DA1"/>
          <w:vertAlign w:val="superscript"/>
        </w:rPr>
        <w:t>641</w:t>
      </w:r>
      <w:r>
        <w:rPr>
          <w:color w:val="005DA1"/>
          <w:spacing w:val="80"/>
          <w:vertAlign w:val="baseline"/>
        </w:rPr>
        <w:t> </w:t>
      </w:r>
      <w:r>
        <w:rPr>
          <w:color w:val="005DA1"/>
          <w:position w:val="-2"/>
          <w:vertAlign w:val="baseline"/>
        </w:rPr>
        <w:drawing>
          <wp:inline distT="0" distB="0" distL="0" distR="0">
            <wp:extent cx="107988" cy="107988"/>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75"/>
        <w:rPr>
          <w:sz w:val="18"/>
        </w:rPr>
      </w:pPr>
    </w:p>
    <w:p>
      <w:pPr>
        <w:spacing w:before="1"/>
        <w:ind w:left="165" w:right="0" w:firstLine="0"/>
        <w:jc w:val="left"/>
        <w:rPr>
          <w:rFonts w:ascii="Arial" w:hAnsi="Arial"/>
          <w:b/>
          <w:sz w:val="18"/>
        </w:rPr>
      </w:pPr>
      <w:r>
        <w:rPr>
          <w:rFonts w:ascii="Arial" w:hAnsi="Arial"/>
          <w:b/>
          <w:sz w:val="18"/>
        </w:rPr>
        <w:t>A “mere </w:t>
      </w:r>
      <w:r>
        <w:rPr>
          <w:rFonts w:ascii="Arial" w:hAnsi="Arial"/>
          <w:b/>
          <w:spacing w:val="-2"/>
          <w:sz w:val="18"/>
        </w:rPr>
        <w:t>equity”</w:t>
      </w:r>
    </w:p>
    <w:p>
      <w:pPr>
        <w:pStyle w:val="BodyText"/>
        <w:spacing w:before="41"/>
        <w:rPr>
          <w:rFonts w:ascii="Arial"/>
          <w:b/>
          <w:sz w:val="18"/>
        </w:rPr>
      </w:pPr>
    </w:p>
    <w:p>
      <w:pPr>
        <w:pStyle w:val="Heading2"/>
      </w:pPr>
      <w:r>
        <w:rPr/>
        <w:t>7-</w:t>
      </w:r>
      <w:r>
        <w:rPr>
          <w:spacing w:val="-5"/>
        </w:rPr>
        <w:t>139</w:t>
      </w:r>
    </w:p>
    <w:p>
      <w:pPr>
        <w:pStyle w:val="BodyText"/>
        <w:spacing w:before="89"/>
        <w:rPr>
          <w:rFonts w:ascii="Arial"/>
          <w:b/>
        </w:rPr>
      </w:pPr>
    </w:p>
    <w:p>
      <w:pPr>
        <w:pStyle w:val="BodyText"/>
        <w:spacing w:line="360" w:lineRule="auto"/>
        <w:ind w:left="165"/>
        <w:rPr>
          <w:position w:val="-2"/>
        </w:rPr>
      </w:pPr>
      <w:r>
        <w:rPr>
          <w:position w:val="-2"/>
        </w:rPr>
        <w:drawing>
          <wp:inline distT="0" distB="0" distL="0" distR="0">
            <wp:extent cx="107988" cy="107988"/>
            <wp:effectExtent l="0" t="0" r="0" b="0"/>
            <wp:docPr id="211" name="Image 211"/>
            <wp:cNvGraphicFramePr>
              <a:graphicFrameLocks/>
            </wp:cNvGraphicFramePr>
            <a:graphic>
              <a:graphicData uri="http://schemas.openxmlformats.org/drawingml/2006/picture">
                <pic:pic>
                  <pic:nvPicPr>
                    <pic:cNvPr id="211" name="Image 21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32"/>
        </w:rPr>
        <w:t> </w:t>
      </w:r>
      <w:bookmarkStart w:name="_bookmark1179" w:id="1181"/>
      <w:bookmarkEnd w:id="1181"/>
      <w:r>
        <w:rPr>
          <w:rFonts w:ascii="Times New Roman" w:hAnsi="Times New Roman"/>
          <w:spacing w:val="-16"/>
        </w:rPr>
      </w:r>
      <w:r>
        <w:rPr/>
        <w:t>Until</w:t>
      </w:r>
      <w:r>
        <w:rPr>
          <w:spacing w:val="26"/>
        </w:rPr>
        <w:t> </w:t>
      </w:r>
      <w:r>
        <w:rPr/>
        <w:t>the</w:t>
      </w:r>
      <w:r>
        <w:rPr>
          <w:spacing w:val="26"/>
        </w:rPr>
        <w:t> </w:t>
      </w:r>
      <w:r>
        <w:rPr/>
        <w:t>contract</w:t>
      </w:r>
      <w:r>
        <w:rPr>
          <w:spacing w:val="26"/>
        </w:rPr>
        <w:t> </w:t>
      </w:r>
      <w:r>
        <w:rPr/>
        <w:t>is</w:t>
      </w:r>
      <w:r>
        <w:rPr>
          <w:spacing w:val="26"/>
        </w:rPr>
        <w:t> </w:t>
      </w:r>
      <w:r>
        <w:rPr/>
        <w:t>rescinded,</w:t>
      </w:r>
      <w:r>
        <w:rPr>
          <w:spacing w:val="26"/>
        </w:rPr>
        <w:t> </w:t>
      </w:r>
      <w:r>
        <w:rPr/>
        <w:t>the</w:t>
      </w:r>
      <w:r>
        <w:rPr>
          <w:spacing w:val="26"/>
        </w:rPr>
        <w:t> </w:t>
      </w:r>
      <w:r>
        <w:rPr/>
        <w:t>accepted</w:t>
      </w:r>
      <w:r>
        <w:rPr>
          <w:spacing w:val="26"/>
        </w:rPr>
        <w:t> </w:t>
      </w:r>
      <w:r>
        <w:rPr/>
        <w:t>view</w:t>
      </w:r>
      <w:r>
        <w:rPr>
          <w:spacing w:val="26"/>
        </w:rPr>
        <w:t> </w:t>
      </w:r>
      <w:r>
        <w:rPr/>
        <w:t>is</w:t>
      </w:r>
      <w:r>
        <w:rPr>
          <w:spacing w:val="26"/>
        </w:rPr>
        <w:t> </w:t>
      </w:r>
      <w:r>
        <w:rPr/>
        <w:t>that</w:t>
      </w:r>
      <w:r>
        <w:rPr>
          <w:spacing w:val="26"/>
        </w:rPr>
        <w:t> </w:t>
      </w:r>
      <w:r>
        <w:rPr/>
        <w:t>the</w:t>
      </w:r>
      <w:r>
        <w:rPr>
          <w:spacing w:val="26"/>
        </w:rPr>
        <w:t> </w:t>
      </w:r>
      <w:r>
        <w:rPr/>
        <w:t>misrepresentee</w:t>
      </w:r>
      <w:r>
        <w:rPr>
          <w:spacing w:val="26"/>
        </w:rPr>
        <w:t> </w:t>
      </w:r>
      <w:r>
        <w:rPr/>
        <w:t>has</w:t>
      </w:r>
      <w:r>
        <w:rPr>
          <w:spacing w:val="26"/>
        </w:rPr>
        <w:t> </w:t>
      </w:r>
      <w:r>
        <w:rPr/>
        <w:t>no</w:t>
      </w:r>
      <w:r>
        <w:rPr>
          <w:spacing w:val="26"/>
        </w:rPr>
        <w:t> </w:t>
      </w:r>
      <w:r>
        <w:rPr/>
        <w:t>proprietary right in the property transferred but only a “mere equity”. </w:t>
      </w:r>
      <w:r>
        <w:rPr>
          <w:color w:val="005DA1"/>
          <w:u w:val="single" w:color="005DA1"/>
          <w:vertAlign w:val="superscript"/>
        </w:rPr>
        <w:t>642</w:t>
      </w:r>
      <w:r>
        <w:rPr>
          <w:color w:val="005DA1"/>
          <w:spacing w:val="80"/>
          <w:vertAlign w:val="baseline"/>
        </w:rPr>
        <w:t> </w:t>
      </w:r>
      <w:r>
        <w:rPr>
          <w:color w:val="005DA1"/>
          <w:position w:val="-2"/>
          <w:vertAlign w:val="baseline"/>
        </w:rPr>
        <w:drawing>
          <wp:inline distT="0" distB="0" distL="0" distR="0">
            <wp:extent cx="107988" cy="107988"/>
            <wp:effectExtent l="0" t="0" r="0" b="0"/>
            <wp:docPr id="212" name="Image 212"/>
            <wp:cNvGraphicFramePr>
              <a:graphicFrameLocks/>
            </wp:cNvGraphicFramePr>
            <a:graphic>
              <a:graphicData uri="http://schemas.openxmlformats.org/drawingml/2006/picture">
                <pic:pic>
                  <pic:nvPicPr>
                    <pic:cNvPr id="212" name="Image 21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after="0" w:line="360" w:lineRule="auto"/>
        <w:rPr>
          <w:position w:val="-2"/>
        </w:rPr>
        <w:sectPr>
          <w:pgSz w:w="11900" w:h="16840"/>
          <w:pgMar w:header="971" w:footer="0" w:top="1160" w:bottom="280" w:left="1275" w:right="1275"/>
        </w:sectPr>
      </w:pPr>
    </w:p>
    <w:p>
      <w:pPr>
        <w:pStyle w:val="BodyText"/>
        <w:spacing w:before="146"/>
        <w:rPr>
          <w:sz w:val="18"/>
        </w:rPr>
      </w:pPr>
    </w:p>
    <w:p>
      <w:pPr>
        <w:spacing w:before="0"/>
        <w:ind w:left="165" w:right="0" w:firstLine="0"/>
        <w:jc w:val="left"/>
        <w:rPr>
          <w:rFonts w:ascii="Arial" w:hAnsi="Arial"/>
          <w:b/>
          <w:sz w:val="18"/>
        </w:rPr>
      </w:pPr>
      <w:r>
        <w:rPr>
          <w:rFonts w:ascii="Arial" w:hAnsi="Arial"/>
          <w:b/>
          <w:sz w:val="18"/>
        </w:rPr>
        <w:t>Assignments “subject to </w:t>
      </w:r>
      <w:r>
        <w:rPr>
          <w:rFonts w:ascii="Arial" w:hAnsi="Arial"/>
          <w:b/>
          <w:spacing w:val="-2"/>
          <w:sz w:val="18"/>
        </w:rPr>
        <w:t>equities”</w:t>
      </w:r>
    </w:p>
    <w:p>
      <w:pPr>
        <w:pStyle w:val="BodyText"/>
        <w:spacing w:before="41"/>
        <w:rPr>
          <w:rFonts w:ascii="Arial"/>
          <w:b/>
          <w:sz w:val="18"/>
        </w:rPr>
      </w:pPr>
    </w:p>
    <w:p>
      <w:pPr>
        <w:pStyle w:val="Heading2"/>
        <w:spacing w:before="1"/>
      </w:pPr>
      <w:r>
        <w:rPr/>
        <w:t>7-</w:t>
      </w:r>
      <w:r>
        <w:rPr>
          <w:spacing w:val="-5"/>
        </w:rPr>
        <w:t>140</w:t>
      </w:r>
    </w:p>
    <w:p>
      <w:pPr>
        <w:pStyle w:val="BodyText"/>
        <w:spacing w:line="235" w:lineRule="auto" w:before="202"/>
        <w:ind w:left="165" w:right="167"/>
        <w:jc w:val="both"/>
      </w:pPr>
      <w:r>
        <w:rPr/>
        <w:t>The principle that the intervention of third party rights will prevent rescission only applies to a transfer of goods and not to an assignment of contractual rights. If A is induced to sell goods to B by the fraud of B, and B resells the goods to C who takes in good faith and for value, C acquires a good title to the </w:t>
      </w:r>
      <w:bookmarkStart w:name="_bookmark1180" w:id="1182"/>
      <w:bookmarkEnd w:id="1182"/>
      <w:r>
        <w:rPr/>
        <w:t>goods.</w:t>
      </w:r>
      <w:r>
        <w:rPr/>
        <w:t> But if A is induced to buy goods from B by the fraud of B, and B assigns the right to receive</w:t>
      </w:r>
      <w:r>
        <w:rPr>
          <w:spacing w:val="40"/>
        </w:rPr>
        <w:t> </w:t>
      </w:r>
      <w:r>
        <w:rPr/>
        <w:t>the purchase price to C, the rule that assignments are “subject to equities” </w:t>
      </w:r>
      <w:r>
        <w:rPr>
          <w:color w:val="005DA1"/>
          <w:u w:val="single" w:color="005DA1"/>
          <w:vertAlign w:val="superscript"/>
        </w:rPr>
        <w:t>643</w:t>
      </w:r>
      <w:r>
        <w:rPr>
          <w:color w:val="005DA1"/>
          <w:vertAlign w:val="baseline"/>
        </w:rPr>
        <w:t> </w:t>
      </w:r>
      <w:r>
        <w:rPr>
          <w:vertAlign w:val="baseline"/>
        </w:rPr>
        <w:t>means that C gets </w:t>
      </w:r>
      <w:r>
        <w:rPr>
          <w:vertAlign w:val="baseline"/>
        </w:rPr>
        <w:t>no better right than B.</w:t>
      </w:r>
    </w:p>
    <w:p>
      <w:pPr>
        <w:pStyle w:val="BodyText"/>
      </w:pPr>
    </w:p>
    <w:p>
      <w:pPr>
        <w:pStyle w:val="BodyText"/>
        <w:spacing w:before="36"/>
      </w:pPr>
    </w:p>
    <w:p>
      <w:pPr>
        <w:spacing w:before="1"/>
        <w:ind w:left="165" w:right="0" w:firstLine="0"/>
        <w:jc w:val="left"/>
        <w:rPr>
          <w:rFonts w:ascii="Arial"/>
          <w:b/>
          <w:sz w:val="18"/>
        </w:rPr>
      </w:pPr>
      <w:r>
        <w:rPr>
          <w:rFonts w:ascii="Arial"/>
          <w:b/>
          <w:sz w:val="18"/>
        </w:rPr>
        <w:t>Rescission by sub-</w:t>
      </w:r>
      <w:r>
        <w:rPr>
          <w:rFonts w:ascii="Arial"/>
          <w:b/>
          <w:spacing w:val="-2"/>
          <w:sz w:val="18"/>
        </w:rPr>
        <w:t>buyer</w:t>
      </w:r>
    </w:p>
    <w:p>
      <w:pPr>
        <w:pStyle w:val="BodyText"/>
        <w:spacing w:before="41"/>
        <w:rPr>
          <w:rFonts w:ascii="Arial"/>
          <w:b/>
          <w:sz w:val="18"/>
        </w:rPr>
      </w:pPr>
    </w:p>
    <w:p>
      <w:pPr>
        <w:pStyle w:val="Heading2"/>
      </w:pPr>
      <w:r>
        <w:rPr/>
        <w:t>7-</w:t>
      </w:r>
      <w:r>
        <w:rPr>
          <w:spacing w:val="-5"/>
        </w:rPr>
        <w:t>141</w:t>
      </w:r>
    </w:p>
    <w:p>
      <w:pPr>
        <w:pStyle w:val="BodyText"/>
        <w:spacing w:line="235" w:lineRule="auto" w:before="203"/>
        <w:ind w:left="165" w:right="167"/>
        <w:jc w:val="both"/>
      </w:pPr>
      <w:r>
        <w:rPr/>
        <w:t>If</w:t>
      </w:r>
      <w:r>
        <w:rPr>
          <w:spacing w:val="-1"/>
        </w:rPr>
        <w:t> </w:t>
      </w:r>
      <w:r>
        <w:rPr/>
        <w:t>a</w:t>
      </w:r>
      <w:r>
        <w:rPr>
          <w:spacing w:val="-1"/>
        </w:rPr>
        <w:t> </w:t>
      </w:r>
      <w:r>
        <w:rPr/>
        <w:t>contract</w:t>
      </w:r>
      <w:r>
        <w:rPr>
          <w:spacing w:val="-1"/>
        </w:rPr>
        <w:t> </w:t>
      </w:r>
      <w:r>
        <w:rPr/>
        <w:t>is</w:t>
      </w:r>
      <w:r>
        <w:rPr>
          <w:spacing w:val="-1"/>
        </w:rPr>
        <w:t> </w:t>
      </w:r>
      <w:r>
        <w:rPr/>
        <w:t>induced</w:t>
      </w:r>
      <w:r>
        <w:rPr>
          <w:spacing w:val="-1"/>
        </w:rPr>
        <w:t> </w:t>
      </w:r>
      <w:r>
        <w:rPr/>
        <w:t>by</w:t>
      </w:r>
      <w:r>
        <w:rPr>
          <w:spacing w:val="-1"/>
        </w:rPr>
        <w:t> </w:t>
      </w:r>
      <w:r>
        <w:rPr/>
        <w:t>an</w:t>
      </w:r>
      <w:r>
        <w:rPr>
          <w:spacing w:val="-1"/>
        </w:rPr>
        <w:t> </w:t>
      </w:r>
      <w:r>
        <w:rPr/>
        <w:t>innocent</w:t>
      </w:r>
      <w:r>
        <w:rPr>
          <w:spacing w:val="-1"/>
        </w:rPr>
        <w:t> </w:t>
      </w:r>
      <w:r>
        <w:rPr/>
        <w:t>misrepresentation</w:t>
      </w:r>
      <w:r>
        <w:rPr>
          <w:spacing w:val="-1"/>
        </w:rPr>
        <w:t> </w:t>
      </w:r>
      <w:r>
        <w:rPr/>
        <w:t>and</w:t>
      </w:r>
      <w:r>
        <w:rPr>
          <w:spacing w:val="-1"/>
        </w:rPr>
        <w:t> </w:t>
      </w:r>
      <w:r>
        <w:rPr/>
        <w:t>that</w:t>
      </w:r>
      <w:r>
        <w:rPr>
          <w:spacing w:val="-1"/>
        </w:rPr>
        <w:t> </w:t>
      </w:r>
      <w:r>
        <w:rPr/>
        <w:t>same</w:t>
      </w:r>
      <w:r>
        <w:rPr>
          <w:spacing w:val="-1"/>
        </w:rPr>
        <w:t> </w:t>
      </w:r>
      <w:r>
        <w:rPr/>
        <w:t>innocent</w:t>
      </w:r>
      <w:r>
        <w:rPr>
          <w:spacing w:val="-1"/>
        </w:rPr>
        <w:t> </w:t>
      </w:r>
      <w:r>
        <w:rPr/>
        <w:t>misrepresentation</w:t>
      </w:r>
      <w:r>
        <w:rPr>
          <w:spacing w:val="-1"/>
        </w:rPr>
        <w:t> </w:t>
      </w:r>
      <w:r>
        <w:rPr/>
        <w:t>is passed on to a sub-buyer and in turn induces a subcontract, the sub-buyer may rescind the </w:t>
      </w:r>
      <w:bookmarkStart w:name="_bookmark1181" w:id="1183"/>
      <w:bookmarkEnd w:id="1183"/>
      <w:r>
        <w:rPr/>
        <w:t>subcontract;</w:t>
      </w:r>
      <w:r>
        <w:rPr>
          <w:spacing w:val="-1"/>
        </w:rPr>
        <w:t> </w:t>
      </w:r>
      <w:r>
        <w:rPr/>
        <w:t>if</w:t>
      </w:r>
      <w:r>
        <w:rPr>
          <w:spacing w:val="-1"/>
        </w:rPr>
        <w:t> </w:t>
      </w:r>
      <w:r>
        <w:rPr/>
        <w:t>he</w:t>
      </w:r>
      <w:r>
        <w:rPr>
          <w:spacing w:val="-1"/>
        </w:rPr>
        <w:t> </w:t>
      </w:r>
      <w:r>
        <w:rPr/>
        <w:t>does</w:t>
      </w:r>
      <w:r>
        <w:rPr>
          <w:spacing w:val="-2"/>
        </w:rPr>
        <w:t> </w:t>
      </w:r>
      <w:r>
        <w:rPr/>
        <w:t>so,</w:t>
      </w:r>
      <w:r>
        <w:rPr>
          <w:spacing w:val="-1"/>
        </w:rPr>
        <w:t> </w:t>
      </w:r>
      <w:r>
        <w:rPr/>
        <w:t>there</w:t>
      </w:r>
      <w:r>
        <w:rPr>
          <w:spacing w:val="-1"/>
        </w:rPr>
        <w:t> </w:t>
      </w:r>
      <w:r>
        <w:rPr/>
        <w:t>is</w:t>
      </w:r>
      <w:r>
        <w:rPr>
          <w:spacing w:val="-1"/>
        </w:rPr>
        <w:t> </w:t>
      </w:r>
      <w:r>
        <w:rPr/>
        <w:t>nothing</w:t>
      </w:r>
      <w:r>
        <w:rPr>
          <w:spacing w:val="-2"/>
        </w:rPr>
        <w:t> </w:t>
      </w:r>
      <w:r>
        <w:rPr/>
        <w:t>to</w:t>
      </w:r>
      <w:r>
        <w:rPr>
          <w:spacing w:val="-1"/>
        </w:rPr>
        <w:t> </w:t>
      </w:r>
      <w:r>
        <w:rPr/>
        <w:t>prevent</w:t>
      </w:r>
      <w:r>
        <w:rPr>
          <w:spacing w:val="-1"/>
        </w:rPr>
        <w:t> </w:t>
      </w:r>
      <w:r>
        <w:rPr/>
        <w:t>the</w:t>
      </w:r>
      <w:r>
        <w:rPr>
          <w:spacing w:val="-1"/>
        </w:rPr>
        <w:t> </w:t>
      </w:r>
      <w:r>
        <w:rPr/>
        <w:t>first</w:t>
      </w:r>
      <w:r>
        <w:rPr>
          <w:spacing w:val="-2"/>
        </w:rPr>
        <w:t> </w:t>
      </w:r>
      <w:r>
        <w:rPr/>
        <w:t>representee</w:t>
      </w:r>
      <w:r>
        <w:rPr>
          <w:spacing w:val="-1"/>
        </w:rPr>
        <w:t> </w:t>
      </w:r>
      <w:r>
        <w:rPr/>
        <w:t>from</w:t>
      </w:r>
      <w:r>
        <w:rPr>
          <w:spacing w:val="-1"/>
        </w:rPr>
        <w:t> </w:t>
      </w:r>
      <w:r>
        <w:rPr/>
        <w:t>rescinding</w:t>
      </w:r>
      <w:r>
        <w:rPr>
          <w:spacing w:val="-1"/>
        </w:rPr>
        <w:t> </w:t>
      </w:r>
      <w:r>
        <w:rPr/>
        <w:t>the</w:t>
      </w:r>
      <w:r>
        <w:rPr>
          <w:spacing w:val="-2"/>
        </w:rPr>
        <w:t> </w:t>
      </w:r>
      <w:r>
        <w:rPr/>
        <w:t>original contract. </w:t>
      </w:r>
      <w:r>
        <w:rPr>
          <w:color w:val="005DA1"/>
          <w:u w:val="single" w:color="005DA1"/>
          <w:vertAlign w:val="superscript"/>
        </w:rPr>
        <w:t>644</w:t>
      </w:r>
    </w:p>
    <w:p>
      <w:pPr>
        <w:pStyle w:val="BodyText"/>
      </w:pPr>
    </w:p>
    <w:p>
      <w:pPr>
        <w:pStyle w:val="BodyText"/>
        <w:spacing w:before="37"/>
      </w:pPr>
    </w:p>
    <w:p>
      <w:pPr>
        <w:spacing w:before="0"/>
        <w:ind w:left="165" w:right="0" w:firstLine="0"/>
        <w:jc w:val="left"/>
        <w:rPr>
          <w:rFonts w:ascii="Arial"/>
          <w:b/>
          <w:sz w:val="18"/>
        </w:rPr>
      </w:pPr>
      <w:r>
        <w:rPr>
          <w:rFonts w:ascii="Arial"/>
          <w:b/>
          <w:sz w:val="18"/>
        </w:rPr>
        <w:t>Executed </w:t>
      </w:r>
      <w:r>
        <w:rPr>
          <w:rFonts w:ascii="Arial"/>
          <w:b/>
          <w:spacing w:val="-2"/>
          <w:sz w:val="18"/>
        </w:rPr>
        <w:t>contracts</w:t>
      </w:r>
    </w:p>
    <w:p>
      <w:pPr>
        <w:pStyle w:val="BodyText"/>
        <w:spacing w:before="41"/>
        <w:rPr>
          <w:rFonts w:ascii="Arial"/>
          <w:b/>
          <w:sz w:val="18"/>
        </w:rPr>
      </w:pPr>
    </w:p>
    <w:p>
      <w:pPr>
        <w:pStyle w:val="Heading2"/>
      </w:pPr>
      <w:r>
        <w:rPr/>
        <w:t>7-</w:t>
      </w:r>
      <w:r>
        <w:rPr>
          <w:spacing w:val="-5"/>
        </w:rPr>
        <w:t>142</w:t>
      </w:r>
    </w:p>
    <w:p>
      <w:pPr>
        <w:pStyle w:val="BodyText"/>
        <w:spacing w:line="235" w:lineRule="auto" w:before="203"/>
        <w:ind w:left="164" w:right="167"/>
        <w:jc w:val="both"/>
      </w:pPr>
      <w:r>
        <w:rPr/>
        <w:t>Until the passing of the Misrepresentation Act 1967 there was a further bar to rescission in </w:t>
      </w:r>
      <w:r>
        <w:rPr/>
        <w:t>certain </w:t>
      </w:r>
      <w:bookmarkStart w:name="_bookmark1182" w:id="1184"/>
      <w:bookmarkEnd w:id="1184"/>
      <w:r>
        <w:rPr/>
        <w:t>cases</w:t>
      </w:r>
      <w:r>
        <w:rPr/>
        <w:t> of innocent misrepresentation, namely, the execution of the contract. This rule, often known as </w:t>
      </w:r>
      <w:bookmarkStart w:name="_bookmark1183" w:id="1185"/>
      <w:bookmarkEnd w:id="1185"/>
      <w:r>
        <w:rPr/>
        <w:t>the</w:t>
      </w:r>
      <w:r>
        <w:rPr/>
        <w:t> rule in </w:t>
      </w:r>
      <w:r>
        <w:rPr>
          <w:rFonts w:ascii="Arial" w:hAnsi="Arial"/>
          <w:i/>
        </w:rPr>
        <w:t>Seddon v North Eastern Salt Co Ltd</w:t>
      </w:r>
      <w:r>
        <w:rPr/>
        <w:t>, </w:t>
      </w:r>
      <w:r>
        <w:rPr>
          <w:color w:val="005DA1"/>
          <w:u w:val="single" w:color="005DA1"/>
          <w:vertAlign w:val="superscript"/>
        </w:rPr>
        <w:t>645</w:t>
      </w:r>
      <w:r>
        <w:rPr>
          <w:color w:val="005DA1"/>
          <w:vertAlign w:val="baseline"/>
        </w:rPr>
        <w:t> </w:t>
      </w:r>
      <w:r>
        <w:rPr>
          <w:vertAlign w:val="baseline"/>
        </w:rPr>
        <w:t>did not apply to cases of fraud, nor to cases of breach of fiduciary relationships, </w:t>
      </w:r>
      <w:r>
        <w:rPr>
          <w:color w:val="005DA1"/>
          <w:u w:val="single" w:color="005DA1"/>
          <w:vertAlign w:val="superscript"/>
        </w:rPr>
        <w:t>646</w:t>
      </w:r>
      <w:r>
        <w:rPr>
          <w:color w:val="005DA1"/>
          <w:vertAlign w:val="baseline"/>
        </w:rPr>
        <w:t> </w:t>
      </w:r>
      <w:r>
        <w:rPr>
          <w:vertAlign w:val="baseline"/>
        </w:rPr>
        <w:t>and its application to particular types of contract was much disputed. The rule was, however, completely abrogated by s.1(b) of the Misrepresentation Act which provides that the performance of the contract shall be no bar to rescission for any misrepresentation where it would not have barred rescission for fraud. Although the Law Reform Committee (on whose </w:t>
      </w:r>
      <w:bookmarkStart w:name="_bookmark1184" w:id="1186"/>
      <w:bookmarkEnd w:id="1186"/>
      <w:r>
        <w:rPr>
          <w:vertAlign w:val="baseline"/>
        </w:rPr>
        <w:t>Report</w:t>
      </w:r>
      <w:r>
        <w:rPr>
          <w:vertAlign w:val="baseline"/>
        </w:rPr>
        <w:t> the Act was based) had recommended that this rule should be retained for contracts for the sale of an interest in land, except for leases not exceeding three years,</w:t>
      </w:r>
      <w:r>
        <w:rPr>
          <w:spacing w:val="-1"/>
          <w:vertAlign w:val="baseline"/>
        </w:rPr>
        <w:t> </w:t>
      </w:r>
      <w:r>
        <w:rPr>
          <w:color w:val="005DA1"/>
          <w:u w:val="single" w:color="005DA1"/>
          <w:vertAlign w:val="superscript"/>
        </w:rPr>
        <w:t>647</w:t>
      </w:r>
      <w:r>
        <w:rPr>
          <w:color w:val="005DA1"/>
          <w:vertAlign w:val="baseline"/>
        </w:rPr>
        <w:t> </w:t>
      </w:r>
      <w:r>
        <w:rPr>
          <w:vertAlign w:val="baseline"/>
        </w:rPr>
        <w:t>the Act contains no special provision for such contracts. And despite the fact that the word “performed” is perhaps not wholly appropriate to contracts for the sale of an interest in land, it is thought that there can be no doubt that rescission of such contracts is now possible after execution of a conveyance or other grant in all</w:t>
      </w:r>
      <w:r>
        <w:rPr>
          <w:spacing w:val="40"/>
          <w:vertAlign w:val="baseline"/>
        </w:rPr>
        <w:t> </w:t>
      </w:r>
      <w:bookmarkStart w:name="_bookmark1185" w:id="1187"/>
      <w:bookmarkEnd w:id="1187"/>
      <w:r>
        <w:rPr>
          <w:vertAlign w:val="baseline"/>
        </w:rPr>
        <w:t>cases</w:t>
      </w:r>
      <w:r>
        <w:rPr>
          <w:spacing w:val="-2"/>
          <w:vertAlign w:val="baseline"/>
        </w:rPr>
        <w:t> </w:t>
      </w:r>
      <w:r>
        <w:rPr>
          <w:vertAlign w:val="baseline"/>
        </w:rPr>
        <w:t>of</w:t>
      </w:r>
      <w:r>
        <w:rPr>
          <w:spacing w:val="-2"/>
          <w:vertAlign w:val="baseline"/>
        </w:rPr>
        <w:t> </w:t>
      </w:r>
      <w:r>
        <w:rPr>
          <w:vertAlign w:val="baseline"/>
        </w:rPr>
        <w:t>misrepresentation.</w:t>
      </w:r>
      <w:r>
        <w:rPr>
          <w:spacing w:val="-2"/>
          <w:vertAlign w:val="baseline"/>
        </w:rPr>
        <w:t> </w:t>
      </w:r>
      <w:r>
        <w:rPr>
          <w:vertAlign w:val="baseline"/>
        </w:rPr>
        <w:t>Of</w:t>
      </w:r>
      <w:r>
        <w:rPr>
          <w:spacing w:val="-2"/>
          <w:vertAlign w:val="baseline"/>
        </w:rPr>
        <w:t> </w:t>
      </w:r>
      <w:r>
        <w:rPr>
          <w:vertAlign w:val="baseline"/>
        </w:rPr>
        <w:t>course,</w:t>
      </w:r>
      <w:r>
        <w:rPr>
          <w:spacing w:val="-2"/>
          <w:vertAlign w:val="baseline"/>
        </w:rPr>
        <w:t> </w:t>
      </w:r>
      <w:r>
        <w:rPr>
          <w:vertAlign w:val="baseline"/>
        </w:rPr>
        <w:t>the</w:t>
      </w:r>
      <w:r>
        <w:rPr>
          <w:spacing w:val="-2"/>
          <w:vertAlign w:val="baseline"/>
        </w:rPr>
        <w:t> </w:t>
      </w:r>
      <w:r>
        <w:rPr>
          <w:vertAlign w:val="baseline"/>
        </w:rPr>
        <w:t>execution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may</w:t>
      </w:r>
      <w:r>
        <w:rPr>
          <w:spacing w:val="-2"/>
          <w:vertAlign w:val="baseline"/>
        </w:rPr>
        <w:t> </w:t>
      </w:r>
      <w:r>
        <w:rPr>
          <w:vertAlign w:val="baseline"/>
        </w:rPr>
        <w:t>still</w:t>
      </w:r>
      <w:r>
        <w:rPr>
          <w:spacing w:val="-2"/>
          <w:vertAlign w:val="baseline"/>
        </w:rPr>
        <w:t> </w:t>
      </w:r>
      <w:r>
        <w:rPr>
          <w:vertAlign w:val="baseline"/>
        </w:rPr>
        <w:t>be</w:t>
      </w:r>
      <w:r>
        <w:rPr>
          <w:spacing w:val="-2"/>
          <w:vertAlign w:val="baseline"/>
        </w:rPr>
        <w:t> </w:t>
      </w:r>
      <w:r>
        <w:rPr>
          <w:vertAlign w:val="baseline"/>
        </w:rPr>
        <w:t>a</w:t>
      </w:r>
      <w:r>
        <w:rPr>
          <w:spacing w:val="-2"/>
          <w:vertAlign w:val="baseline"/>
        </w:rPr>
        <w:t> </w:t>
      </w:r>
      <w:r>
        <w:rPr>
          <w:vertAlign w:val="baseline"/>
        </w:rPr>
        <w:t>bar</w:t>
      </w:r>
      <w:r>
        <w:rPr>
          <w:spacing w:val="-2"/>
          <w:vertAlign w:val="baseline"/>
        </w:rPr>
        <w:t> </w:t>
      </w:r>
      <w:r>
        <w:rPr>
          <w:vertAlign w:val="baseline"/>
        </w:rPr>
        <w:t>to</w:t>
      </w:r>
      <w:r>
        <w:rPr>
          <w:spacing w:val="-2"/>
          <w:vertAlign w:val="baseline"/>
        </w:rPr>
        <w:t> </w:t>
      </w:r>
      <w:r>
        <w:rPr>
          <w:vertAlign w:val="baseline"/>
        </w:rPr>
        <w:t>rescission</w:t>
      </w:r>
      <w:r>
        <w:rPr>
          <w:spacing w:val="-2"/>
          <w:vertAlign w:val="baseline"/>
        </w:rPr>
        <w:t> </w:t>
      </w:r>
      <w:r>
        <w:rPr>
          <w:vertAlign w:val="baseline"/>
        </w:rPr>
        <w:t>on </w:t>
      </w:r>
      <w:bookmarkStart w:name="_bookmark1186" w:id="1188"/>
      <w:bookmarkEnd w:id="1188"/>
      <w:r>
        <w:rPr>
          <w:vertAlign w:val="baseline"/>
        </w:rPr>
        <w:t>other</w:t>
      </w:r>
      <w:r>
        <w:rPr>
          <w:vertAlign w:val="baseline"/>
        </w:rPr>
        <w:t> grounds, for example, because it is evidence of affirmation, </w:t>
      </w:r>
      <w:r>
        <w:rPr>
          <w:color w:val="005DA1"/>
          <w:u w:val="single" w:color="005DA1"/>
          <w:vertAlign w:val="superscript"/>
        </w:rPr>
        <w:t>648</w:t>
      </w:r>
      <w:r>
        <w:rPr>
          <w:color w:val="005DA1"/>
          <w:vertAlign w:val="baseline"/>
        </w:rPr>
        <w:t> </w:t>
      </w:r>
      <w:r>
        <w:rPr>
          <w:vertAlign w:val="baseline"/>
        </w:rPr>
        <w:t>or because restitutio in integrum is no longer possible. </w:t>
      </w:r>
      <w:r>
        <w:rPr>
          <w:color w:val="005DA1"/>
          <w:u w:val="single" w:color="005DA1"/>
          <w:vertAlign w:val="superscript"/>
        </w:rPr>
        <w:t>649</w:t>
      </w:r>
      <w:r>
        <w:rPr>
          <w:color w:val="005DA1"/>
          <w:vertAlign w:val="baseline"/>
        </w:rPr>
        <w:t> </w:t>
      </w:r>
      <w:r>
        <w:rPr>
          <w:vertAlign w:val="baseline"/>
        </w:rPr>
        <w:t>Moreover, it is to be anticipated that a court might be more ready to exercise </w:t>
      </w:r>
      <w:bookmarkStart w:name="_bookmark1187" w:id="1189"/>
      <w:bookmarkEnd w:id="1189"/>
      <w:r>
        <w:rPr>
          <w:vertAlign w:val="baseline"/>
        </w:rPr>
        <w:t>its</w:t>
      </w:r>
      <w:r>
        <w:rPr>
          <w:vertAlign w:val="baseline"/>
        </w:rPr>
        <w:t> discretion under s.2(2) of the Act of 1967 to award damages in lieu of rescission in cases where</w:t>
      </w:r>
      <w:r>
        <w:rPr>
          <w:spacing w:val="40"/>
          <w:vertAlign w:val="baseline"/>
        </w:rPr>
        <w:t> </w:t>
      </w:r>
      <w:r>
        <w:rPr>
          <w:vertAlign w:val="baseline"/>
        </w:rPr>
        <w:t>the contract has been executed.</w:t>
      </w:r>
      <w:r>
        <w:rPr>
          <w:spacing w:val="-1"/>
          <w:vertAlign w:val="baseline"/>
        </w:rPr>
        <w:t> </w:t>
      </w:r>
      <w:r>
        <w:rPr>
          <w:color w:val="005DA1"/>
          <w:u w:val="single" w:color="005DA1"/>
          <w:vertAlign w:val="superscript"/>
        </w:rPr>
        <w:t>650</w:t>
      </w:r>
      <w:r>
        <w:rPr>
          <w:color w:val="005DA1"/>
          <w:spacing w:val="-1"/>
          <w:vertAlign w:val="baseline"/>
        </w:rPr>
        <w:t> </w:t>
      </w:r>
      <w:r>
        <w:rPr>
          <w:vertAlign w:val="baseline"/>
        </w:rPr>
        <w:t>But execution of the contract will no longer in itself be an absolute bar to rescission.</w:t>
      </w:r>
    </w:p>
    <w:p>
      <w:pPr>
        <w:pStyle w:val="BodyText"/>
      </w:pPr>
    </w:p>
    <w:p>
      <w:pPr>
        <w:pStyle w:val="BodyText"/>
        <w:spacing w:before="32"/>
      </w:pPr>
      <w:r>
        <w:rPr/>
        <mc:AlternateContent>
          <mc:Choice Requires="wps">
            <w:drawing>
              <wp:anchor distT="0" distB="0" distL="0" distR="0" allowOverlap="1" layoutInCell="1" locked="0" behindDoc="1" simplePos="0" relativeHeight="487638528">
                <wp:simplePos x="0" y="0"/>
                <wp:positionH relativeFrom="page">
                  <wp:posOffset>914400</wp:posOffset>
                </wp:positionH>
                <wp:positionV relativeFrom="paragraph">
                  <wp:posOffset>182207</wp:posOffset>
                </wp:positionV>
                <wp:extent cx="5724525" cy="1270"/>
                <wp:effectExtent l="0" t="0" r="0" b="0"/>
                <wp:wrapTopAndBottom/>
                <wp:docPr id="213" name="Graphic 213"/>
                <wp:cNvGraphicFramePr>
                  <a:graphicFrameLocks/>
                </wp:cNvGraphicFramePr>
                <a:graphic>
                  <a:graphicData uri="http://schemas.microsoft.com/office/word/2010/wordprocessingShape">
                    <wps:wsp>
                      <wps:cNvPr id="213" name="Graphic 21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347035pt;width:450.75pt;height:.1pt;mso-position-horizontal-relative:page;mso-position-vertical-relative:paragraph;z-index:-15677952;mso-wrap-distance-left:0;mso-wrap-distance-right:0" id="docshape22" coordorigin="1440,287" coordsize="9015,0" path="m1440,287l10454,287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3913728">
                <wp:simplePos x="0" y="0"/>
                <wp:positionH relativeFrom="page">
                  <wp:posOffset>914400</wp:posOffset>
                </wp:positionH>
                <wp:positionV relativeFrom="paragraph">
                  <wp:posOffset>94576</wp:posOffset>
                </wp:positionV>
                <wp:extent cx="49530"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02752" from="72pt,7.446977pt" to="75.892pt,7.446977pt" stroked="true" strokeweight=".5pt" strokecolor="#005da1">
                <v:stroke dashstyle="solid"/>
                <w10:wrap type="none"/>
              </v:line>
            </w:pict>
          </mc:Fallback>
        </mc:AlternateContent>
      </w:r>
      <w:hyperlink w:history="true" w:anchor="_bookmark1576">
        <w:r>
          <w:rPr>
            <w:color w:val="005DA1"/>
            <w:spacing w:val="-6"/>
            <w:position w:val="5"/>
            <w:sz w:val="14"/>
          </w:rPr>
          <w:t>1</w:t>
        </w:r>
      </w:hyperlink>
      <w:r>
        <w:rPr>
          <w:spacing w:val="-6"/>
          <w:position w:val="5"/>
          <w:sz w:val="14"/>
        </w:rPr>
        <w:t>.</w:t>
      </w:r>
      <w:r>
        <w:rPr>
          <w:position w:val="5"/>
          <w:sz w:val="14"/>
        </w:rPr>
        <w:tab/>
      </w:r>
      <w:r>
        <w:rPr>
          <w:sz w:val="20"/>
        </w:rPr>
        <w:t>See Allen, </w:t>
      </w:r>
      <w:r>
        <w:rPr>
          <w:rFonts w:ascii="Arial"/>
          <w:i/>
          <w:sz w:val="20"/>
        </w:rPr>
        <w:t>Misrepresentation </w:t>
      </w:r>
      <w:r>
        <w:rPr>
          <w:sz w:val="20"/>
        </w:rPr>
        <w:t>(1988); Cartwright, </w:t>
      </w:r>
      <w:r>
        <w:rPr>
          <w:rFonts w:ascii="Arial"/>
          <w:i/>
          <w:sz w:val="20"/>
        </w:rPr>
        <w:t>Unequal Bargaining </w:t>
      </w:r>
      <w:r>
        <w:rPr>
          <w:sz w:val="20"/>
        </w:rPr>
        <w:t>(1991), Ch.3; </w:t>
      </w:r>
      <w:r>
        <w:rPr>
          <w:sz w:val="20"/>
        </w:rPr>
        <w:t>Cartwright, Misrepresentation, Mistake and Non-disclosure, 4th edn (2016); Spencer Bower and Handley, </w:t>
      </w:r>
      <w:r>
        <w:rPr>
          <w:rFonts w:ascii="Arial"/>
          <w:i/>
          <w:sz w:val="20"/>
        </w:rPr>
        <w:t>Actionable Misrepresentation</w:t>
      </w:r>
      <w:r>
        <w:rPr>
          <w:sz w:val="20"/>
        </w:rPr>
        <w:t>, 5th edn (2014).</w:t>
      </w:r>
    </w:p>
    <w:p>
      <w:pPr>
        <w:pStyle w:val="BodyText"/>
        <w:spacing w:before="5"/>
      </w:pPr>
    </w:p>
    <w:p>
      <w:pPr>
        <w:pStyle w:val="BodyText"/>
        <w:tabs>
          <w:tab w:pos="705" w:val="left" w:leader="none"/>
        </w:tabs>
        <w:ind w:left="165"/>
      </w:pPr>
      <w:bookmarkStart w:name="_bookmark1188" w:id="1190"/>
      <w:bookmarkEnd w:id="1190"/>
      <w:r>
        <w:rPr/>
      </w:r>
      <w:hyperlink w:history="true" w:anchor="_bookmark1142">
        <w:r>
          <w:rPr>
            <w:color w:val="005DA1"/>
            <w:spacing w:val="-4"/>
            <w:position w:val="5"/>
            <w:sz w:val="14"/>
            <w:u w:val="single" w:color="005DA1"/>
          </w:rPr>
          <w:t>601</w:t>
        </w:r>
      </w:hyperlink>
      <w:r>
        <w:rPr>
          <w:spacing w:val="-4"/>
          <w:position w:val="5"/>
          <w:sz w:val="14"/>
        </w:rPr>
        <w:t>.</w:t>
      </w:r>
      <w:r>
        <w:rPr>
          <w:position w:val="5"/>
          <w:sz w:val="14"/>
        </w:rPr>
        <w:tab/>
      </w:r>
      <w:r>
        <w:rPr/>
        <w:t>Above,</w:t>
      </w:r>
      <w:r>
        <w:rPr>
          <w:spacing w:val="-2"/>
        </w:rPr>
        <w:t> </w:t>
      </w:r>
      <w:r>
        <w:rPr/>
        <w:t>paras 7-104 et </w:t>
      </w:r>
      <w:r>
        <w:rPr>
          <w:spacing w:val="-4"/>
        </w:rPr>
        <w:t>seq.</w:t>
      </w:r>
    </w:p>
    <w:p>
      <w:pPr>
        <w:pStyle w:val="BodyText"/>
        <w:spacing w:before="5"/>
      </w:pPr>
    </w:p>
    <w:p>
      <w:pPr>
        <w:tabs>
          <w:tab w:pos="705" w:val="left" w:leader="none"/>
        </w:tabs>
        <w:spacing w:line="227" w:lineRule="exact" w:before="0"/>
        <w:ind w:left="165" w:right="0" w:firstLine="0"/>
        <w:jc w:val="left"/>
        <w:rPr>
          <w:sz w:val="20"/>
        </w:rPr>
      </w:pPr>
      <w:bookmarkStart w:name="_bookmark1189" w:id="1191"/>
      <w:bookmarkEnd w:id="1191"/>
      <w:r>
        <w:rPr/>
      </w:r>
      <w:hyperlink w:history="true" w:anchor="_bookmark1143">
        <w:r>
          <w:rPr>
            <w:color w:val="005DA1"/>
            <w:spacing w:val="-4"/>
            <w:position w:val="5"/>
            <w:sz w:val="14"/>
            <w:u w:val="single" w:color="005DA1"/>
          </w:rPr>
          <w:t>602</w:t>
        </w:r>
      </w:hyperlink>
      <w:r>
        <w:rPr>
          <w:spacing w:val="-4"/>
          <w:position w:val="5"/>
          <w:sz w:val="14"/>
        </w:rPr>
        <w:t>.</w:t>
      </w:r>
      <w:r>
        <w:rPr>
          <w:position w:val="5"/>
          <w:sz w:val="14"/>
        </w:rPr>
        <w:tab/>
      </w:r>
      <w:r>
        <w:rPr>
          <w:rFonts w:ascii="Arial"/>
          <w:i/>
          <w:sz w:val="20"/>
        </w:rPr>
        <w:t>Ormes</w:t>
      </w:r>
      <w:r>
        <w:rPr>
          <w:rFonts w:ascii="Arial"/>
          <w:i/>
          <w:spacing w:val="15"/>
          <w:sz w:val="20"/>
        </w:rPr>
        <w:t> </w:t>
      </w:r>
      <w:r>
        <w:rPr>
          <w:rFonts w:ascii="Arial"/>
          <w:i/>
          <w:sz w:val="20"/>
        </w:rPr>
        <w:t>v</w:t>
      </w:r>
      <w:r>
        <w:rPr>
          <w:rFonts w:ascii="Arial"/>
          <w:i/>
          <w:spacing w:val="16"/>
          <w:sz w:val="20"/>
        </w:rPr>
        <w:t> </w:t>
      </w:r>
      <w:r>
        <w:rPr>
          <w:rFonts w:ascii="Arial"/>
          <w:i/>
          <w:sz w:val="20"/>
        </w:rPr>
        <w:t>Beadel</w:t>
      </w:r>
      <w:r>
        <w:rPr>
          <w:rFonts w:ascii="Arial"/>
          <w:i/>
          <w:spacing w:val="16"/>
          <w:sz w:val="20"/>
        </w:rPr>
        <w:t> </w:t>
      </w:r>
      <w:r>
        <w:rPr>
          <w:rFonts w:ascii="Arial"/>
          <w:i/>
          <w:sz w:val="20"/>
        </w:rPr>
        <w:t>(1860)</w:t>
      </w:r>
      <w:r>
        <w:rPr>
          <w:rFonts w:ascii="Arial"/>
          <w:i/>
          <w:spacing w:val="16"/>
          <w:sz w:val="20"/>
        </w:rPr>
        <w:t> </w:t>
      </w:r>
      <w:r>
        <w:rPr>
          <w:rFonts w:ascii="Arial"/>
          <w:i/>
          <w:sz w:val="20"/>
        </w:rPr>
        <w:t>2</w:t>
      </w:r>
      <w:r>
        <w:rPr>
          <w:rFonts w:ascii="Arial"/>
          <w:i/>
          <w:spacing w:val="16"/>
          <w:sz w:val="20"/>
        </w:rPr>
        <w:t> </w:t>
      </w:r>
      <w:r>
        <w:rPr>
          <w:rFonts w:ascii="Arial"/>
          <w:i/>
          <w:sz w:val="20"/>
        </w:rPr>
        <w:t>De</w:t>
      </w:r>
      <w:r>
        <w:rPr>
          <w:rFonts w:ascii="Arial"/>
          <w:i/>
          <w:spacing w:val="16"/>
          <w:sz w:val="20"/>
        </w:rPr>
        <w:t> </w:t>
      </w:r>
      <w:r>
        <w:rPr>
          <w:rFonts w:ascii="Arial"/>
          <w:i/>
          <w:sz w:val="20"/>
        </w:rPr>
        <w:t>G.F.</w:t>
      </w:r>
      <w:r>
        <w:rPr>
          <w:rFonts w:ascii="Arial"/>
          <w:i/>
          <w:spacing w:val="16"/>
          <w:sz w:val="20"/>
        </w:rPr>
        <w:t> </w:t>
      </w:r>
      <w:r>
        <w:rPr>
          <w:rFonts w:ascii="Arial"/>
          <w:i/>
          <w:sz w:val="20"/>
        </w:rPr>
        <w:t>&amp;</w:t>
      </w:r>
      <w:r>
        <w:rPr>
          <w:rFonts w:ascii="Arial"/>
          <w:i/>
          <w:spacing w:val="16"/>
          <w:sz w:val="20"/>
        </w:rPr>
        <w:t> </w:t>
      </w:r>
      <w:r>
        <w:rPr>
          <w:rFonts w:ascii="Arial"/>
          <w:i/>
          <w:sz w:val="20"/>
        </w:rPr>
        <w:t>J.</w:t>
      </w:r>
      <w:r>
        <w:rPr>
          <w:rFonts w:ascii="Arial"/>
          <w:i/>
          <w:spacing w:val="16"/>
          <w:sz w:val="20"/>
        </w:rPr>
        <w:t> </w:t>
      </w:r>
      <w:r>
        <w:rPr>
          <w:rFonts w:ascii="Arial"/>
          <w:i/>
          <w:sz w:val="20"/>
        </w:rPr>
        <w:t>333</w:t>
      </w:r>
      <w:r>
        <w:rPr>
          <w:sz w:val="20"/>
        </w:rPr>
        <w:t>;</w:t>
      </w:r>
      <w:r>
        <w:rPr>
          <w:spacing w:val="16"/>
          <w:sz w:val="20"/>
        </w:rPr>
        <w:t> </w:t>
      </w:r>
      <w:r>
        <w:rPr>
          <w:rFonts w:ascii="Arial"/>
          <w:i/>
          <w:sz w:val="20"/>
        </w:rPr>
        <w:t>Clough</w:t>
      </w:r>
      <w:r>
        <w:rPr>
          <w:rFonts w:ascii="Arial"/>
          <w:i/>
          <w:spacing w:val="16"/>
          <w:sz w:val="20"/>
        </w:rPr>
        <w:t> </w:t>
      </w:r>
      <w:r>
        <w:rPr>
          <w:rFonts w:ascii="Arial"/>
          <w:i/>
          <w:sz w:val="20"/>
        </w:rPr>
        <w:t>v</w:t>
      </w:r>
      <w:r>
        <w:rPr>
          <w:rFonts w:ascii="Arial"/>
          <w:i/>
          <w:spacing w:val="16"/>
          <w:sz w:val="20"/>
        </w:rPr>
        <w:t> </w:t>
      </w:r>
      <w:r>
        <w:rPr>
          <w:rFonts w:ascii="Arial"/>
          <w:i/>
          <w:sz w:val="20"/>
        </w:rPr>
        <w:t>L.</w:t>
      </w:r>
      <w:r>
        <w:rPr>
          <w:rFonts w:ascii="Arial"/>
          <w:i/>
          <w:spacing w:val="16"/>
          <w:sz w:val="20"/>
        </w:rPr>
        <w:t> </w:t>
      </w:r>
      <w:r>
        <w:rPr>
          <w:rFonts w:ascii="Arial"/>
          <w:i/>
          <w:sz w:val="20"/>
        </w:rPr>
        <w:t>&amp;</w:t>
      </w:r>
      <w:r>
        <w:rPr>
          <w:rFonts w:ascii="Arial"/>
          <w:i/>
          <w:spacing w:val="16"/>
          <w:sz w:val="20"/>
        </w:rPr>
        <w:t> </w:t>
      </w:r>
      <w:r>
        <w:rPr>
          <w:rFonts w:ascii="Arial"/>
          <w:i/>
          <w:sz w:val="20"/>
        </w:rPr>
        <w:t>N.W.</w:t>
      </w:r>
      <w:r>
        <w:rPr>
          <w:rFonts w:ascii="Arial"/>
          <w:i/>
          <w:spacing w:val="16"/>
          <w:sz w:val="20"/>
        </w:rPr>
        <w:t> </w:t>
      </w:r>
      <w:r>
        <w:rPr>
          <w:rFonts w:ascii="Arial"/>
          <w:i/>
          <w:sz w:val="20"/>
        </w:rPr>
        <w:t>Ry</w:t>
      </w:r>
      <w:r>
        <w:rPr>
          <w:rFonts w:ascii="Arial"/>
          <w:i/>
          <w:spacing w:val="16"/>
          <w:sz w:val="20"/>
        </w:rPr>
        <w:t> </w:t>
      </w:r>
      <w:r>
        <w:rPr>
          <w:rFonts w:ascii="Arial"/>
          <w:i/>
          <w:sz w:val="20"/>
        </w:rPr>
        <w:t>(1871)</w:t>
      </w:r>
      <w:r>
        <w:rPr>
          <w:rFonts w:ascii="Arial"/>
          <w:i/>
          <w:spacing w:val="16"/>
          <w:sz w:val="20"/>
        </w:rPr>
        <w:t> </w:t>
      </w:r>
      <w:r>
        <w:rPr>
          <w:rFonts w:ascii="Arial"/>
          <w:i/>
          <w:sz w:val="20"/>
        </w:rPr>
        <w:t>L.R.</w:t>
      </w:r>
      <w:r>
        <w:rPr>
          <w:rFonts w:ascii="Arial"/>
          <w:i/>
          <w:spacing w:val="16"/>
          <w:sz w:val="20"/>
        </w:rPr>
        <w:t> </w:t>
      </w:r>
      <w:r>
        <w:rPr>
          <w:rFonts w:ascii="Arial"/>
          <w:i/>
          <w:sz w:val="20"/>
        </w:rPr>
        <w:t>7</w:t>
      </w:r>
      <w:r>
        <w:rPr>
          <w:rFonts w:ascii="Arial"/>
          <w:i/>
          <w:spacing w:val="16"/>
          <w:sz w:val="20"/>
        </w:rPr>
        <w:t> </w:t>
      </w:r>
      <w:r>
        <w:rPr>
          <w:rFonts w:ascii="Arial"/>
          <w:i/>
          <w:sz w:val="20"/>
        </w:rPr>
        <w:t>Ex.</w:t>
      </w:r>
      <w:r>
        <w:rPr>
          <w:rFonts w:ascii="Arial"/>
          <w:i/>
          <w:spacing w:val="16"/>
          <w:sz w:val="20"/>
        </w:rPr>
        <w:t> </w:t>
      </w:r>
      <w:r>
        <w:rPr>
          <w:rFonts w:ascii="Arial"/>
          <w:i/>
          <w:sz w:val="20"/>
        </w:rPr>
        <w:t>26,</w:t>
      </w:r>
      <w:r>
        <w:rPr>
          <w:rFonts w:ascii="Arial"/>
          <w:i/>
          <w:spacing w:val="16"/>
          <w:sz w:val="20"/>
        </w:rPr>
        <w:t> </w:t>
      </w:r>
      <w:r>
        <w:rPr>
          <w:rFonts w:ascii="Arial"/>
          <w:i/>
          <w:spacing w:val="-5"/>
          <w:sz w:val="20"/>
        </w:rPr>
        <w:t>34</w:t>
      </w:r>
      <w:r>
        <w:rPr>
          <w:spacing w:val="-5"/>
          <w:sz w:val="20"/>
        </w:rPr>
        <w:t>;</w:t>
      </w:r>
    </w:p>
    <w:p>
      <w:pPr>
        <w:spacing w:line="235" w:lineRule="auto" w:before="1"/>
        <w:ind w:left="705" w:right="167" w:firstLine="0"/>
        <w:jc w:val="both"/>
        <w:rPr>
          <w:sz w:val="20"/>
        </w:rPr>
      </w:pPr>
      <w:r>
        <w:rPr>
          <w:rFonts w:ascii="Arial" w:hAnsi="Arial"/>
          <w:i/>
          <w:sz w:val="20"/>
        </w:rPr>
        <w:t>Sharpley v Louth and East Coast Ry (1876) 2 Ch. D. 663</w:t>
      </w:r>
      <w:r>
        <w:rPr>
          <w:sz w:val="20"/>
        </w:rPr>
        <w:t>. Passive conduct, such as not claiming to avoid an insurance policy or not offering to return the premium, may amount to affirmation: </w:t>
      </w:r>
      <w:r>
        <w:rPr>
          <w:rFonts w:ascii="Arial" w:hAnsi="Arial"/>
          <w:i/>
          <w:sz w:val="20"/>
        </w:rPr>
        <w:t>Argo Systems FZE v Liberty Insurance Pte Ltd [2011] EWHC 301 (Comm), [2011] 2 Lloyd’s Rep. 61 </w:t>
      </w:r>
      <w:r>
        <w:rPr>
          <w:sz w:val="20"/>
        </w:rPr>
        <w:t>at [40]; but the Court of Appeal held that the representation must </w:t>
      </w:r>
      <w:r>
        <w:rPr>
          <w:sz w:val="20"/>
        </w:rPr>
        <w:t>be unequivocal</w:t>
      </w:r>
      <w:r>
        <w:rPr>
          <w:spacing w:val="9"/>
          <w:sz w:val="20"/>
        </w:rPr>
        <w:t> </w:t>
      </w:r>
      <w:r>
        <w:rPr>
          <w:sz w:val="20"/>
        </w:rPr>
        <w:t>and</w:t>
      </w:r>
      <w:r>
        <w:rPr>
          <w:spacing w:val="9"/>
          <w:sz w:val="20"/>
        </w:rPr>
        <w:t> </w:t>
      </w:r>
      <w:r>
        <w:rPr>
          <w:sz w:val="20"/>
        </w:rPr>
        <w:t>on</w:t>
      </w:r>
      <w:r>
        <w:rPr>
          <w:spacing w:val="9"/>
          <w:sz w:val="20"/>
        </w:rPr>
        <w:t> </w:t>
      </w:r>
      <w:r>
        <w:rPr>
          <w:sz w:val="20"/>
        </w:rPr>
        <w:t>the</w:t>
      </w:r>
      <w:r>
        <w:rPr>
          <w:spacing w:val="9"/>
          <w:sz w:val="20"/>
        </w:rPr>
        <w:t> </w:t>
      </w:r>
      <w:r>
        <w:rPr>
          <w:sz w:val="20"/>
        </w:rPr>
        <w:t>facts</w:t>
      </w:r>
      <w:r>
        <w:rPr>
          <w:spacing w:val="9"/>
          <w:sz w:val="20"/>
        </w:rPr>
        <w:t> </w:t>
      </w:r>
      <w:r>
        <w:rPr>
          <w:sz w:val="20"/>
        </w:rPr>
        <w:t>it</w:t>
      </w:r>
      <w:r>
        <w:rPr>
          <w:spacing w:val="9"/>
          <w:sz w:val="20"/>
        </w:rPr>
        <w:t> </w:t>
      </w:r>
      <w:r>
        <w:rPr>
          <w:sz w:val="20"/>
        </w:rPr>
        <w:t>was</w:t>
      </w:r>
      <w:r>
        <w:rPr>
          <w:spacing w:val="9"/>
          <w:sz w:val="20"/>
        </w:rPr>
        <w:t> </w:t>
      </w:r>
      <w:r>
        <w:rPr>
          <w:sz w:val="20"/>
        </w:rPr>
        <w:t>not:</w:t>
      </w:r>
      <w:r>
        <w:rPr>
          <w:spacing w:val="9"/>
          <w:sz w:val="20"/>
        </w:rPr>
        <w:t> </w:t>
      </w:r>
      <w:r>
        <w:rPr>
          <w:rFonts w:ascii="Arial" w:hAnsi="Arial"/>
          <w:i/>
          <w:sz w:val="20"/>
        </w:rPr>
        <w:t>[2011]</w:t>
      </w:r>
      <w:r>
        <w:rPr>
          <w:rFonts w:ascii="Arial" w:hAnsi="Arial"/>
          <w:i/>
          <w:spacing w:val="9"/>
          <w:sz w:val="20"/>
        </w:rPr>
        <w:t> </w:t>
      </w:r>
      <w:r>
        <w:rPr>
          <w:rFonts w:ascii="Arial" w:hAnsi="Arial"/>
          <w:i/>
          <w:sz w:val="20"/>
        </w:rPr>
        <w:t>EWCA</w:t>
      </w:r>
      <w:r>
        <w:rPr>
          <w:rFonts w:ascii="Arial" w:hAnsi="Arial"/>
          <w:i/>
          <w:spacing w:val="9"/>
          <w:sz w:val="20"/>
        </w:rPr>
        <w:t> </w:t>
      </w:r>
      <w:r>
        <w:rPr>
          <w:rFonts w:ascii="Arial" w:hAnsi="Arial"/>
          <w:i/>
          <w:sz w:val="20"/>
        </w:rPr>
        <w:t>Civ</w:t>
      </w:r>
      <w:r>
        <w:rPr>
          <w:rFonts w:ascii="Arial" w:hAnsi="Arial"/>
          <w:i/>
          <w:spacing w:val="9"/>
          <w:sz w:val="20"/>
        </w:rPr>
        <w:t> </w:t>
      </w:r>
      <w:r>
        <w:rPr>
          <w:rFonts w:ascii="Arial" w:hAnsi="Arial"/>
          <w:i/>
          <w:sz w:val="20"/>
        </w:rPr>
        <w:t>1572,</w:t>
      </w:r>
      <w:r>
        <w:rPr>
          <w:rFonts w:ascii="Arial" w:hAnsi="Arial"/>
          <w:i/>
          <w:spacing w:val="9"/>
          <w:sz w:val="20"/>
        </w:rPr>
        <w:t> </w:t>
      </w:r>
      <w:r>
        <w:rPr>
          <w:rFonts w:ascii="Arial" w:hAnsi="Arial"/>
          <w:i/>
          <w:sz w:val="20"/>
        </w:rPr>
        <w:t>[2012]</w:t>
      </w:r>
      <w:r>
        <w:rPr>
          <w:rFonts w:ascii="Arial" w:hAnsi="Arial"/>
          <w:i/>
          <w:spacing w:val="9"/>
          <w:sz w:val="20"/>
        </w:rPr>
        <w:t> </w:t>
      </w:r>
      <w:r>
        <w:rPr>
          <w:rFonts w:ascii="Arial" w:hAnsi="Arial"/>
          <w:i/>
          <w:sz w:val="20"/>
        </w:rPr>
        <w:t>Lloyd’s</w:t>
      </w:r>
      <w:r>
        <w:rPr>
          <w:rFonts w:ascii="Arial" w:hAnsi="Arial"/>
          <w:i/>
          <w:spacing w:val="9"/>
          <w:sz w:val="20"/>
        </w:rPr>
        <w:t> </w:t>
      </w:r>
      <w:r>
        <w:rPr>
          <w:rFonts w:ascii="Arial" w:hAnsi="Arial"/>
          <w:i/>
          <w:sz w:val="20"/>
        </w:rPr>
        <w:t>Rep.</w:t>
      </w:r>
      <w:r>
        <w:rPr>
          <w:rFonts w:ascii="Arial" w:hAnsi="Arial"/>
          <w:i/>
          <w:spacing w:val="9"/>
          <w:sz w:val="20"/>
        </w:rPr>
        <w:t> </w:t>
      </w:r>
      <w:r>
        <w:rPr>
          <w:rFonts w:ascii="Arial" w:hAnsi="Arial"/>
          <w:i/>
          <w:sz w:val="20"/>
        </w:rPr>
        <w:t>I.R.</w:t>
      </w:r>
      <w:r>
        <w:rPr>
          <w:rFonts w:ascii="Arial" w:hAnsi="Arial"/>
          <w:i/>
          <w:spacing w:val="9"/>
          <w:sz w:val="20"/>
        </w:rPr>
        <w:t> </w:t>
      </w:r>
      <w:r>
        <w:rPr>
          <w:rFonts w:ascii="Arial" w:hAnsi="Arial"/>
          <w:i/>
          <w:sz w:val="20"/>
        </w:rPr>
        <w:t>67</w:t>
      </w:r>
      <w:r>
        <w:rPr>
          <w:rFonts w:ascii="Arial" w:hAnsi="Arial"/>
          <w:i/>
          <w:spacing w:val="9"/>
          <w:sz w:val="20"/>
        </w:rPr>
        <w:t> </w:t>
      </w:r>
      <w:r>
        <w:rPr>
          <w:spacing w:val="-5"/>
          <w:sz w:val="20"/>
        </w:rPr>
        <w:t>at</w:t>
      </w:r>
    </w:p>
    <w:p>
      <w:pPr>
        <w:spacing w:after="0" w:line="235" w:lineRule="auto"/>
        <w:jc w:val="both"/>
        <w:rPr>
          <w:sz w:val="20"/>
        </w:rPr>
        <w:sectPr>
          <w:pgSz w:w="11900" w:h="16840"/>
          <w:pgMar w:header="971" w:footer="0" w:top="1160" w:bottom="280" w:left="1275" w:right="1275"/>
        </w:sectPr>
      </w:pPr>
    </w:p>
    <w:p>
      <w:pPr>
        <w:pStyle w:val="BodyText"/>
        <w:spacing w:before="21"/>
      </w:pPr>
    </w:p>
    <w:p>
      <w:pPr>
        <w:pStyle w:val="BodyText"/>
        <w:ind w:left="705"/>
      </w:pPr>
      <w:r>
        <w:rPr/>
        <w:t>[41], </w:t>
      </w:r>
      <w:r>
        <w:rPr>
          <w:spacing w:val="-2"/>
        </w:rPr>
        <w:t>[50].</w:t>
      </w:r>
    </w:p>
    <w:p>
      <w:pPr>
        <w:pStyle w:val="BodyText"/>
        <w:spacing w:before="9"/>
      </w:pPr>
    </w:p>
    <w:p>
      <w:pPr>
        <w:tabs>
          <w:tab w:pos="705" w:val="left" w:leader="none"/>
        </w:tabs>
        <w:spacing w:line="235" w:lineRule="auto" w:before="0"/>
        <w:ind w:left="705" w:right="168" w:hanging="541"/>
        <w:jc w:val="left"/>
        <w:rPr>
          <w:sz w:val="20"/>
        </w:rPr>
      </w:pPr>
      <w:bookmarkStart w:name="_bookmark1190" w:id="1192"/>
      <w:bookmarkEnd w:id="1192"/>
      <w:r>
        <w:rPr/>
      </w:r>
      <w:hyperlink w:history="true" w:anchor="_bookmark1144">
        <w:r>
          <w:rPr>
            <w:color w:val="005DA1"/>
            <w:spacing w:val="-4"/>
            <w:position w:val="5"/>
            <w:sz w:val="14"/>
            <w:u w:val="single" w:color="005DA1"/>
          </w:rPr>
          <w:t>603</w:t>
        </w:r>
      </w:hyperlink>
      <w:r>
        <w:rPr>
          <w:spacing w:val="-4"/>
          <w:position w:val="5"/>
          <w:sz w:val="14"/>
        </w:rPr>
        <w:t>.</w:t>
      </w:r>
      <w:r>
        <w:rPr>
          <w:position w:val="5"/>
          <w:sz w:val="14"/>
        </w:rPr>
        <w:tab/>
      </w:r>
      <w:r>
        <w:rPr>
          <w:rFonts w:ascii="Arial"/>
          <w:i/>
          <w:sz w:val="20"/>
        </w:rPr>
        <w:t>Seddon</w:t>
      </w:r>
      <w:r>
        <w:rPr>
          <w:rFonts w:ascii="Arial"/>
          <w:i/>
          <w:spacing w:val="-2"/>
          <w:sz w:val="20"/>
        </w:rPr>
        <w:t> </w:t>
      </w:r>
      <w:r>
        <w:rPr>
          <w:rFonts w:ascii="Arial"/>
          <w:i/>
          <w:sz w:val="20"/>
        </w:rPr>
        <w:t>v</w:t>
      </w:r>
      <w:r>
        <w:rPr>
          <w:rFonts w:ascii="Arial"/>
          <w:i/>
          <w:spacing w:val="-2"/>
          <w:sz w:val="20"/>
        </w:rPr>
        <w:t> </w:t>
      </w:r>
      <w:r>
        <w:rPr>
          <w:rFonts w:ascii="Arial"/>
          <w:i/>
          <w:sz w:val="20"/>
        </w:rPr>
        <w:t>North</w:t>
      </w:r>
      <w:r>
        <w:rPr>
          <w:rFonts w:ascii="Arial"/>
          <w:i/>
          <w:spacing w:val="-2"/>
          <w:sz w:val="20"/>
        </w:rPr>
        <w:t> </w:t>
      </w:r>
      <w:r>
        <w:rPr>
          <w:rFonts w:ascii="Arial"/>
          <w:i/>
          <w:sz w:val="20"/>
        </w:rPr>
        <w:t>Eastern</w:t>
      </w:r>
      <w:r>
        <w:rPr>
          <w:rFonts w:ascii="Arial"/>
          <w:i/>
          <w:spacing w:val="-2"/>
          <w:sz w:val="20"/>
        </w:rPr>
        <w:t> </w:t>
      </w:r>
      <w:r>
        <w:rPr>
          <w:rFonts w:ascii="Arial"/>
          <w:i/>
          <w:sz w:val="20"/>
        </w:rPr>
        <w:t>Salt</w:t>
      </w:r>
      <w:r>
        <w:rPr>
          <w:rFonts w:ascii="Arial"/>
          <w:i/>
          <w:spacing w:val="-2"/>
          <w:sz w:val="20"/>
        </w:rPr>
        <w:t> </w:t>
      </w:r>
      <w:r>
        <w:rPr>
          <w:rFonts w:ascii="Arial"/>
          <w:i/>
          <w:sz w:val="20"/>
        </w:rPr>
        <w:t>Co</w:t>
      </w:r>
      <w:r>
        <w:rPr>
          <w:rFonts w:ascii="Arial"/>
          <w:i/>
          <w:spacing w:val="-2"/>
          <w:sz w:val="20"/>
        </w:rPr>
        <w:t> </w:t>
      </w:r>
      <w:r>
        <w:rPr>
          <w:rFonts w:ascii="Arial"/>
          <w:i/>
          <w:sz w:val="20"/>
        </w:rPr>
        <w:t>[1905]</w:t>
      </w:r>
      <w:r>
        <w:rPr>
          <w:rFonts w:ascii="Arial"/>
          <w:i/>
          <w:spacing w:val="-2"/>
          <w:sz w:val="20"/>
        </w:rPr>
        <w:t> </w:t>
      </w:r>
      <w:r>
        <w:rPr>
          <w:rFonts w:ascii="Arial"/>
          <w:i/>
          <w:sz w:val="20"/>
        </w:rPr>
        <w:t>1</w:t>
      </w:r>
      <w:r>
        <w:rPr>
          <w:rFonts w:ascii="Arial"/>
          <w:i/>
          <w:spacing w:val="-2"/>
          <w:sz w:val="20"/>
        </w:rPr>
        <w:t> </w:t>
      </w:r>
      <w:r>
        <w:rPr>
          <w:rFonts w:ascii="Arial"/>
          <w:i/>
          <w:sz w:val="20"/>
        </w:rPr>
        <w:t>Ch.</w:t>
      </w:r>
      <w:r>
        <w:rPr>
          <w:rFonts w:ascii="Arial"/>
          <w:i/>
          <w:spacing w:val="-2"/>
          <w:sz w:val="20"/>
        </w:rPr>
        <w:t> </w:t>
      </w:r>
      <w:r>
        <w:rPr>
          <w:rFonts w:ascii="Arial"/>
          <w:i/>
          <w:sz w:val="20"/>
        </w:rPr>
        <w:t>326</w:t>
      </w:r>
      <w:r>
        <w:rPr>
          <w:sz w:val="20"/>
        </w:rPr>
        <w:t>.</w:t>
      </w:r>
      <w:r>
        <w:rPr>
          <w:spacing w:val="-2"/>
          <w:sz w:val="20"/>
        </w:rPr>
        <w:t> </w:t>
      </w:r>
      <w:r>
        <w:rPr>
          <w:sz w:val="20"/>
        </w:rPr>
        <w:t>As</w:t>
      </w:r>
      <w:r>
        <w:rPr>
          <w:spacing w:val="-2"/>
          <w:sz w:val="20"/>
        </w:rPr>
        <w:t> </w:t>
      </w:r>
      <w:r>
        <w:rPr>
          <w:sz w:val="20"/>
        </w:rPr>
        <w:t>to</w:t>
      </w:r>
      <w:r>
        <w:rPr>
          <w:spacing w:val="-2"/>
          <w:sz w:val="20"/>
        </w:rPr>
        <w:t> </w:t>
      </w:r>
      <w:r>
        <w:rPr>
          <w:sz w:val="20"/>
        </w:rPr>
        <w:t>the</w:t>
      </w:r>
      <w:r>
        <w:rPr>
          <w:spacing w:val="-2"/>
          <w:sz w:val="20"/>
        </w:rPr>
        <w:t> </w:t>
      </w:r>
      <w:r>
        <w:rPr>
          <w:sz w:val="20"/>
        </w:rPr>
        <w:t>wider</w:t>
      </w:r>
      <w:r>
        <w:rPr>
          <w:spacing w:val="-2"/>
          <w:sz w:val="20"/>
        </w:rPr>
        <w:t> </w:t>
      </w:r>
      <w:r>
        <w:rPr>
          <w:sz w:val="20"/>
        </w:rPr>
        <w:t>grounds</w:t>
      </w:r>
      <w:r>
        <w:rPr>
          <w:spacing w:val="-2"/>
          <w:sz w:val="20"/>
        </w:rPr>
        <w:t> </w:t>
      </w:r>
      <w:r>
        <w:rPr>
          <w:sz w:val="20"/>
        </w:rPr>
        <w:t>for</w:t>
      </w:r>
      <w:r>
        <w:rPr>
          <w:spacing w:val="-2"/>
          <w:sz w:val="20"/>
        </w:rPr>
        <w:t> </w:t>
      </w:r>
      <w:r>
        <w:rPr>
          <w:sz w:val="20"/>
        </w:rPr>
        <w:t>this</w:t>
      </w:r>
      <w:r>
        <w:rPr>
          <w:spacing w:val="-2"/>
          <w:sz w:val="20"/>
        </w:rPr>
        <w:t> </w:t>
      </w:r>
      <w:r>
        <w:rPr>
          <w:sz w:val="20"/>
        </w:rPr>
        <w:t>decision,</w:t>
      </w:r>
      <w:r>
        <w:rPr>
          <w:spacing w:val="-2"/>
          <w:sz w:val="20"/>
        </w:rPr>
        <w:t> </w:t>
      </w:r>
      <w:r>
        <w:rPr>
          <w:sz w:val="20"/>
        </w:rPr>
        <w:t>see below, para.7-142.</w:t>
      </w:r>
    </w:p>
    <w:p>
      <w:pPr>
        <w:pStyle w:val="BodyText"/>
        <w:spacing w:before="5"/>
      </w:pPr>
    </w:p>
    <w:p>
      <w:pPr>
        <w:tabs>
          <w:tab w:pos="705" w:val="left" w:leader="none"/>
        </w:tabs>
        <w:spacing w:before="0"/>
        <w:ind w:left="165" w:right="0" w:firstLine="0"/>
        <w:jc w:val="left"/>
        <w:rPr>
          <w:sz w:val="20"/>
        </w:rPr>
      </w:pPr>
      <w:bookmarkStart w:name="_bookmark1191" w:id="1193"/>
      <w:bookmarkEnd w:id="1193"/>
      <w:r>
        <w:rPr/>
      </w:r>
      <w:hyperlink w:history="true" w:anchor="_bookmark1145">
        <w:r>
          <w:rPr>
            <w:color w:val="005DA1"/>
            <w:spacing w:val="-4"/>
            <w:position w:val="5"/>
            <w:sz w:val="14"/>
            <w:u w:val="single" w:color="005DA1"/>
          </w:rPr>
          <w:t>604</w:t>
        </w:r>
      </w:hyperlink>
      <w:r>
        <w:rPr>
          <w:spacing w:val="-4"/>
          <w:position w:val="5"/>
          <w:sz w:val="14"/>
        </w:rPr>
        <w:t>.</w:t>
      </w:r>
      <w:r>
        <w:rPr>
          <w:position w:val="5"/>
          <w:sz w:val="14"/>
        </w:rPr>
        <w:tab/>
      </w:r>
      <w:r>
        <w:rPr>
          <w:rFonts w:ascii="Arial"/>
          <w:i/>
          <w:sz w:val="20"/>
        </w:rPr>
        <w:t>Sharpley v Louth and East Coast Ry (1876) 2 Ch. D. </w:t>
      </w:r>
      <w:r>
        <w:rPr>
          <w:rFonts w:ascii="Arial"/>
          <w:i/>
          <w:spacing w:val="-4"/>
          <w:sz w:val="20"/>
        </w:rPr>
        <w:t>663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192" w:id="1194"/>
      <w:bookmarkEnd w:id="1194"/>
      <w:r>
        <w:rPr/>
      </w:r>
      <w:hyperlink w:history="true" w:anchor="_bookmark1145">
        <w:r>
          <w:rPr>
            <w:color w:val="005DA1"/>
            <w:spacing w:val="-4"/>
            <w:position w:val="5"/>
            <w:sz w:val="14"/>
            <w:u w:val="single" w:color="005DA1"/>
          </w:rPr>
          <w:t>605</w:t>
        </w:r>
      </w:hyperlink>
      <w:r>
        <w:rPr>
          <w:spacing w:val="-4"/>
          <w:position w:val="5"/>
          <w:sz w:val="14"/>
        </w:rPr>
        <w:t>.</w:t>
      </w:r>
      <w:r>
        <w:rPr>
          <w:position w:val="5"/>
          <w:sz w:val="14"/>
        </w:rPr>
        <w:tab/>
      </w:r>
      <w:r>
        <w:rPr>
          <w:rFonts w:ascii="Arial"/>
          <w:i/>
          <w:sz w:val="20"/>
        </w:rPr>
        <w:t>Re Hop and Malt Exchange and Warehouse Co Ex p. Briggs (1866) L.R. 1 Eq. </w:t>
      </w:r>
      <w:r>
        <w:rPr>
          <w:rFonts w:ascii="Arial"/>
          <w:i/>
          <w:spacing w:val="-4"/>
          <w:sz w:val="20"/>
        </w:rPr>
        <w:t>483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193" w:id="1195"/>
      <w:bookmarkEnd w:id="1195"/>
      <w:r>
        <w:rPr/>
      </w:r>
      <w:hyperlink w:history="true" w:anchor="_bookmark1146">
        <w:r>
          <w:rPr>
            <w:color w:val="005DA1"/>
            <w:spacing w:val="-4"/>
            <w:position w:val="5"/>
            <w:sz w:val="14"/>
            <w:u w:val="single" w:color="005DA1"/>
          </w:rPr>
          <w:t>606</w:t>
        </w:r>
      </w:hyperlink>
      <w:r>
        <w:rPr>
          <w:spacing w:val="-4"/>
          <w:position w:val="5"/>
          <w:sz w:val="14"/>
        </w:rPr>
        <w:t>.</w:t>
      </w:r>
      <w:r>
        <w:rPr>
          <w:position w:val="5"/>
          <w:sz w:val="14"/>
        </w:rPr>
        <w:tab/>
      </w:r>
      <w:r>
        <w:rPr>
          <w:rFonts w:ascii="Arial"/>
          <w:i/>
          <w:sz w:val="20"/>
        </w:rPr>
        <w:t>Kupchak v Dayson Holdings Co Ltd (1965) 53 D.L.R. (2d) </w:t>
      </w:r>
      <w:r>
        <w:rPr>
          <w:rFonts w:ascii="Arial"/>
          <w:i/>
          <w:spacing w:val="-4"/>
          <w:sz w:val="20"/>
        </w:rPr>
        <w:t>482</w:t>
      </w:r>
      <w:r>
        <w:rPr>
          <w:spacing w:val="-4"/>
          <w:sz w:val="20"/>
        </w:rPr>
        <w:t>.</w:t>
      </w:r>
    </w:p>
    <w:p>
      <w:pPr>
        <w:pStyle w:val="BodyText"/>
        <w:spacing w:before="9"/>
      </w:pPr>
    </w:p>
    <w:p>
      <w:pPr>
        <w:pStyle w:val="BodyText"/>
        <w:spacing w:line="235" w:lineRule="auto"/>
        <w:ind w:left="705" w:right="167" w:hanging="541"/>
        <w:jc w:val="both"/>
      </w:pPr>
      <w:bookmarkStart w:name="_bookmark1194" w:id="1196"/>
      <w:bookmarkEnd w:id="1196"/>
      <w:r>
        <w:rPr/>
      </w:r>
      <w:hyperlink w:history="true" w:anchor="_bookmark1147">
        <w:r>
          <w:rPr>
            <w:color w:val="005DA1"/>
            <w:position w:val="5"/>
            <w:sz w:val="14"/>
            <w:u w:val="single" w:color="005DA1"/>
          </w:rPr>
          <w:t>607</w:t>
        </w:r>
      </w:hyperlink>
      <w:r>
        <w:rPr>
          <w:position w:val="5"/>
          <w:sz w:val="14"/>
        </w:rPr>
        <w:t>.</w:t>
      </w:r>
      <w:r>
        <w:rPr>
          <w:spacing w:val="80"/>
          <w:w w:val="150"/>
          <w:position w:val="5"/>
          <w:sz w:val="14"/>
        </w:rPr>
        <w:t> </w:t>
      </w:r>
      <w:r>
        <w:rPr/>
        <w:t>See also </w:t>
      </w:r>
      <w:r>
        <w:rPr>
          <w:rFonts w:ascii="Arial" w:hAnsi="Arial"/>
          <w:i/>
        </w:rPr>
        <w:t>Edwards v Ashik [2014] EWHC 2454 (Ch) </w:t>
      </w:r>
      <w:r>
        <w:rPr/>
        <w:t>at [60]–[61] (no affirmation when </w:t>
      </w:r>
      <w:r>
        <w:rPr/>
        <w:t>clear claimant was intending to claim remedies for fraud and was merely waiting to see what the defendant had to say about the allegations).</w:t>
      </w:r>
    </w:p>
    <w:p>
      <w:pPr>
        <w:pStyle w:val="BodyText"/>
        <w:spacing w:before="5"/>
      </w:pPr>
    </w:p>
    <w:p>
      <w:pPr>
        <w:tabs>
          <w:tab w:pos="705" w:val="left" w:leader="none"/>
        </w:tabs>
        <w:spacing w:before="0"/>
        <w:ind w:left="165" w:right="0" w:firstLine="0"/>
        <w:jc w:val="left"/>
        <w:rPr>
          <w:sz w:val="20"/>
        </w:rPr>
      </w:pPr>
      <w:bookmarkStart w:name="_bookmark1195" w:id="1197"/>
      <w:bookmarkEnd w:id="1197"/>
      <w:r>
        <w:rPr/>
      </w:r>
      <w:hyperlink w:history="true" w:anchor="_bookmark1148">
        <w:r>
          <w:rPr>
            <w:color w:val="005DA1"/>
            <w:spacing w:val="-4"/>
            <w:position w:val="5"/>
            <w:sz w:val="14"/>
            <w:u w:val="single" w:color="005DA1"/>
          </w:rPr>
          <w:t>608</w:t>
        </w:r>
      </w:hyperlink>
      <w:r>
        <w:rPr>
          <w:spacing w:val="-4"/>
          <w:position w:val="5"/>
          <w:sz w:val="14"/>
        </w:rPr>
        <w:t>.</w:t>
      </w:r>
      <w:r>
        <w:rPr>
          <w:position w:val="5"/>
          <w:sz w:val="14"/>
        </w:rPr>
        <w:tab/>
      </w:r>
      <w:r>
        <w:rPr>
          <w:rFonts w:ascii="Arial"/>
          <w:i/>
          <w:sz w:val="20"/>
        </w:rPr>
        <w:t>Senenayake v Cheng [1966] A.C. </w:t>
      </w:r>
      <w:r>
        <w:rPr>
          <w:rFonts w:ascii="Arial"/>
          <w:i/>
          <w:spacing w:val="-5"/>
          <w:sz w:val="20"/>
        </w:rPr>
        <w:t>63</w:t>
      </w:r>
      <w:r>
        <w:rPr>
          <w:spacing w:val="-5"/>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196" w:id="1198"/>
      <w:bookmarkEnd w:id="1198"/>
      <w:r>
        <w:rPr/>
      </w:r>
      <w:hyperlink w:history="true" w:anchor="_bookmark1149">
        <w:r>
          <w:rPr>
            <w:color w:val="005DA1"/>
            <w:spacing w:val="-4"/>
            <w:position w:val="5"/>
            <w:sz w:val="14"/>
            <w:u w:val="single" w:color="005DA1"/>
          </w:rPr>
          <w:t>609</w:t>
        </w:r>
      </w:hyperlink>
      <w:r>
        <w:rPr>
          <w:spacing w:val="-4"/>
          <w:position w:val="5"/>
          <w:sz w:val="14"/>
        </w:rPr>
        <w:t>.</w:t>
      </w:r>
      <w:r>
        <w:rPr>
          <w:position w:val="5"/>
          <w:sz w:val="14"/>
        </w:rPr>
        <w:tab/>
      </w:r>
      <w:r>
        <w:rPr>
          <w:sz w:val="20"/>
        </w:rPr>
        <w:t>See</w:t>
      </w:r>
      <w:r>
        <w:rPr>
          <w:spacing w:val="38"/>
          <w:sz w:val="20"/>
        </w:rPr>
        <w:t> </w:t>
      </w:r>
      <w:r>
        <w:rPr>
          <w:rFonts w:ascii="Arial"/>
          <w:i/>
          <w:sz w:val="20"/>
        </w:rPr>
        <w:t>Clough</w:t>
      </w:r>
      <w:r>
        <w:rPr>
          <w:rFonts w:ascii="Arial"/>
          <w:i/>
          <w:spacing w:val="39"/>
          <w:sz w:val="20"/>
        </w:rPr>
        <w:t> </w:t>
      </w:r>
      <w:r>
        <w:rPr>
          <w:rFonts w:ascii="Arial"/>
          <w:i/>
          <w:sz w:val="20"/>
        </w:rPr>
        <w:t>v</w:t>
      </w:r>
      <w:r>
        <w:rPr>
          <w:rFonts w:ascii="Arial"/>
          <w:i/>
          <w:spacing w:val="39"/>
          <w:sz w:val="20"/>
        </w:rPr>
        <w:t> </w:t>
      </w:r>
      <w:r>
        <w:rPr>
          <w:rFonts w:ascii="Arial"/>
          <w:i/>
          <w:sz w:val="20"/>
        </w:rPr>
        <w:t>L.</w:t>
      </w:r>
      <w:r>
        <w:rPr>
          <w:rFonts w:ascii="Arial"/>
          <w:i/>
          <w:spacing w:val="39"/>
          <w:sz w:val="20"/>
        </w:rPr>
        <w:t> </w:t>
      </w:r>
      <w:r>
        <w:rPr>
          <w:rFonts w:ascii="Arial"/>
          <w:i/>
          <w:sz w:val="20"/>
        </w:rPr>
        <w:t>&amp;</w:t>
      </w:r>
      <w:r>
        <w:rPr>
          <w:rFonts w:ascii="Arial"/>
          <w:i/>
          <w:spacing w:val="39"/>
          <w:sz w:val="20"/>
        </w:rPr>
        <w:t> </w:t>
      </w:r>
      <w:r>
        <w:rPr>
          <w:rFonts w:ascii="Arial"/>
          <w:i/>
          <w:sz w:val="20"/>
        </w:rPr>
        <w:t>N.W.</w:t>
      </w:r>
      <w:r>
        <w:rPr>
          <w:rFonts w:ascii="Arial"/>
          <w:i/>
          <w:spacing w:val="39"/>
          <w:sz w:val="20"/>
        </w:rPr>
        <w:t> </w:t>
      </w:r>
      <w:r>
        <w:rPr>
          <w:rFonts w:ascii="Arial"/>
          <w:i/>
          <w:sz w:val="20"/>
        </w:rPr>
        <w:t>Ry</w:t>
      </w:r>
      <w:r>
        <w:rPr>
          <w:rFonts w:ascii="Arial"/>
          <w:i/>
          <w:spacing w:val="39"/>
          <w:sz w:val="20"/>
        </w:rPr>
        <w:t> </w:t>
      </w:r>
      <w:r>
        <w:rPr>
          <w:rFonts w:ascii="Arial"/>
          <w:i/>
          <w:sz w:val="20"/>
        </w:rPr>
        <w:t>(1871)</w:t>
      </w:r>
      <w:r>
        <w:rPr>
          <w:rFonts w:ascii="Arial"/>
          <w:i/>
          <w:spacing w:val="39"/>
          <w:sz w:val="20"/>
        </w:rPr>
        <w:t> </w:t>
      </w:r>
      <w:r>
        <w:rPr>
          <w:rFonts w:ascii="Arial"/>
          <w:i/>
          <w:sz w:val="20"/>
        </w:rPr>
        <w:t>L.R.</w:t>
      </w:r>
      <w:r>
        <w:rPr>
          <w:rFonts w:ascii="Arial"/>
          <w:i/>
          <w:spacing w:val="39"/>
          <w:sz w:val="20"/>
        </w:rPr>
        <w:t> </w:t>
      </w:r>
      <w:r>
        <w:rPr>
          <w:rFonts w:ascii="Arial"/>
          <w:i/>
          <w:sz w:val="20"/>
        </w:rPr>
        <w:t>7</w:t>
      </w:r>
      <w:r>
        <w:rPr>
          <w:rFonts w:ascii="Arial"/>
          <w:i/>
          <w:spacing w:val="39"/>
          <w:sz w:val="20"/>
        </w:rPr>
        <w:t> </w:t>
      </w:r>
      <w:r>
        <w:rPr>
          <w:rFonts w:ascii="Arial"/>
          <w:i/>
          <w:sz w:val="20"/>
        </w:rPr>
        <w:t>Ex.</w:t>
      </w:r>
      <w:r>
        <w:rPr>
          <w:rFonts w:ascii="Arial"/>
          <w:i/>
          <w:spacing w:val="39"/>
          <w:sz w:val="20"/>
        </w:rPr>
        <w:t> </w:t>
      </w:r>
      <w:r>
        <w:rPr>
          <w:rFonts w:ascii="Arial"/>
          <w:i/>
          <w:sz w:val="20"/>
        </w:rPr>
        <w:t>26,</w:t>
      </w:r>
      <w:r>
        <w:rPr>
          <w:rFonts w:ascii="Arial"/>
          <w:i/>
          <w:spacing w:val="39"/>
          <w:sz w:val="20"/>
        </w:rPr>
        <w:t> </w:t>
      </w:r>
      <w:r>
        <w:rPr>
          <w:rFonts w:ascii="Arial"/>
          <w:i/>
          <w:sz w:val="20"/>
        </w:rPr>
        <w:t>34,</w:t>
      </w:r>
      <w:r>
        <w:rPr>
          <w:rFonts w:ascii="Arial"/>
          <w:i/>
          <w:spacing w:val="39"/>
          <w:sz w:val="20"/>
        </w:rPr>
        <w:t> </w:t>
      </w:r>
      <w:r>
        <w:rPr>
          <w:rFonts w:ascii="Arial"/>
          <w:i/>
          <w:sz w:val="20"/>
        </w:rPr>
        <w:t>35</w:t>
      </w:r>
      <w:r>
        <w:rPr>
          <w:sz w:val="20"/>
        </w:rPr>
        <w:t>;</w:t>
      </w:r>
      <w:r>
        <w:rPr>
          <w:spacing w:val="39"/>
          <w:sz w:val="20"/>
        </w:rPr>
        <w:t> </w:t>
      </w:r>
      <w:r>
        <w:rPr>
          <w:rFonts w:ascii="Arial"/>
          <w:i/>
          <w:sz w:val="20"/>
        </w:rPr>
        <w:t>Bank</w:t>
      </w:r>
      <w:r>
        <w:rPr>
          <w:rFonts w:ascii="Arial"/>
          <w:i/>
          <w:spacing w:val="39"/>
          <w:sz w:val="20"/>
        </w:rPr>
        <w:t> </w:t>
      </w:r>
      <w:r>
        <w:rPr>
          <w:rFonts w:ascii="Arial"/>
          <w:i/>
          <w:sz w:val="20"/>
        </w:rPr>
        <w:t>of</w:t>
      </w:r>
      <w:r>
        <w:rPr>
          <w:rFonts w:ascii="Arial"/>
          <w:i/>
          <w:spacing w:val="39"/>
          <w:sz w:val="20"/>
        </w:rPr>
        <w:t> </w:t>
      </w:r>
      <w:r>
        <w:rPr>
          <w:rFonts w:ascii="Arial"/>
          <w:i/>
          <w:sz w:val="20"/>
        </w:rPr>
        <w:t>Credit</w:t>
      </w:r>
      <w:r>
        <w:rPr>
          <w:rFonts w:ascii="Arial"/>
          <w:i/>
          <w:spacing w:val="39"/>
          <w:sz w:val="20"/>
        </w:rPr>
        <w:t> </w:t>
      </w:r>
      <w:r>
        <w:rPr>
          <w:rFonts w:ascii="Arial"/>
          <w:i/>
          <w:sz w:val="20"/>
        </w:rPr>
        <w:t>and</w:t>
      </w:r>
      <w:r>
        <w:rPr>
          <w:rFonts w:ascii="Arial"/>
          <w:i/>
          <w:spacing w:val="39"/>
          <w:sz w:val="20"/>
        </w:rPr>
        <w:t> </w:t>
      </w:r>
      <w:r>
        <w:rPr>
          <w:rFonts w:ascii="Arial"/>
          <w:i/>
          <w:sz w:val="20"/>
        </w:rPr>
        <w:t>Commerce International SA (In Liquidation) v Ali [1999] 2 All E.R. 1005, 1023</w:t>
      </w:r>
      <w:r>
        <w:rPr>
          <w:sz w:val="20"/>
        </w:rPr>
        <w:t>.</w:t>
      </w:r>
    </w:p>
    <w:p>
      <w:pPr>
        <w:pStyle w:val="BodyText"/>
        <w:spacing w:before="5"/>
      </w:pPr>
    </w:p>
    <w:p>
      <w:pPr>
        <w:tabs>
          <w:tab w:pos="705" w:val="left" w:leader="none"/>
        </w:tabs>
        <w:spacing w:before="1"/>
        <w:ind w:left="165" w:right="0" w:firstLine="0"/>
        <w:jc w:val="left"/>
        <w:rPr>
          <w:sz w:val="20"/>
        </w:rPr>
      </w:pPr>
      <w:bookmarkStart w:name="_bookmark1197" w:id="1199"/>
      <w:bookmarkEnd w:id="1199"/>
      <w:r>
        <w:rPr/>
      </w:r>
      <w:hyperlink w:history="true" w:anchor="_bookmark1150">
        <w:r>
          <w:rPr>
            <w:color w:val="005DA1"/>
            <w:spacing w:val="-4"/>
            <w:position w:val="5"/>
            <w:sz w:val="14"/>
            <w:u w:val="single" w:color="005DA1"/>
          </w:rPr>
          <w:t>610</w:t>
        </w:r>
      </w:hyperlink>
      <w:r>
        <w:rPr>
          <w:spacing w:val="-4"/>
          <w:position w:val="5"/>
          <w:sz w:val="14"/>
        </w:rPr>
        <w:t>.</w:t>
      </w:r>
      <w:r>
        <w:rPr>
          <w:position w:val="5"/>
          <w:sz w:val="14"/>
        </w:rPr>
        <w:tab/>
      </w:r>
      <w:r>
        <w:rPr>
          <w:rFonts w:ascii="Arial"/>
          <w:i/>
          <w:sz w:val="20"/>
        </w:rPr>
        <w:t>[1985]</w:t>
      </w:r>
      <w:r>
        <w:rPr>
          <w:rFonts w:ascii="Arial"/>
          <w:i/>
          <w:spacing w:val="-2"/>
          <w:sz w:val="20"/>
        </w:rPr>
        <w:t> </w:t>
      </w:r>
      <w:r>
        <w:rPr>
          <w:rFonts w:ascii="Arial"/>
          <w:i/>
          <w:sz w:val="20"/>
        </w:rPr>
        <w:t>Ch. </w:t>
      </w:r>
      <w:r>
        <w:rPr>
          <w:rFonts w:ascii="Arial"/>
          <w:i/>
          <w:spacing w:val="-4"/>
          <w:sz w:val="20"/>
        </w:rPr>
        <w:t>457</w:t>
      </w:r>
      <w:r>
        <w:rPr>
          <w:spacing w:val="-4"/>
          <w:sz w:val="20"/>
        </w:rPr>
        <w:t>.</w:t>
      </w:r>
    </w:p>
    <w:p>
      <w:pPr>
        <w:pStyle w:val="BodyText"/>
        <w:spacing w:before="8"/>
      </w:pPr>
    </w:p>
    <w:p>
      <w:pPr>
        <w:spacing w:line="235" w:lineRule="auto" w:before="0"/>
        <w:ind w:left="705" w:right="167" w:hanging="541"/>
        <w:jc w:val="both"/>
        <w:rPr>
          <w:sz w:val="20"/>
        </w:rPr>
      </w:pPr>
      <w:bookmarkStart w:name="_bookmark1198" w:id="1200"/>
      <w:bookmarkEnd w:id="1200"/>
      <w:r>
        <w:rPr/>
      </w:r>
      <w:hyperlink w:history="true" w:anchor="_bookmark1150">
        <w:r>
          <w:rPr>
            <w:color w:val="005DA1"/>
            <w:position w:val="5"/>
            <w:sz w:val="14"/>
            <w:u w:val="single" w:color="005DA1"/>
          </w:rPr>
          <w:t>611</w:t>
        </w:r>
      </w:hyperlink>
      <w:r>
        <w:rPr>
          <w:position w:val="5"/>
          <w:sz w:val="14"/>
        </w:rPr>
        <w:t>.</w:t>
      </w:r>
      <w:r>
        <w:rPr>
          <w:spacing w:val="80"/>
          <w:position w:val="5"/>
          <w:sz w:val="14"/>
        </w:rPr>
        <w:t> </w:t>
      </w:r>
      <w:r>
        <w:rPr>
          <w:sz w:val="20"/>
        </w:rPr>
        <w:t>See also </w:t>
      </w:r>
      <w:r>
        <w:rPr>
          <w:rFonts w:ascii="Arial" w:hAnsi="Arial"/>
          <w:i/>
          <w:sz w:val="20"/>
        </w:rPr>
        <w:t>Container Transport International Inc v Oceanus Mutual Underwriting </w:t>
      </w:r>
      <w:r>
        <w:rPr>
          <w:rFonts w:ascii="Arial" w:hAnsi="Arial"/>
          <w:i/>
          <w:sz w:val="20"/>
        </w:rPr>
        <w:t>Association (Bermuda) Ltd [1984] 1 Lloyd’s Rep. 476, 498, 518, 529</w:t>
      </w:r>
      <w:r>
        <w:rPr>
          <w:sz w:val="20"/>
        </w:rPr>
        <w:t>; </w:t>
      </w:r>
      <w:r>
        <w:rPr>
          <w:rFonts w:ascii="Arial" w:hAnsi="Arial"/>
          <w:i/>
          <w:sz w:val="20"/>
        </w:rPr>
        <w:t>Motor Oil Hellas (Corinth) Refineries SA v Shipping Corp of India (The Kanchenjunga) [1990] 1 Lloyd’s Rep. 391, 397–399</w:t>
      </w:r>
      <w:r>
        <w:rPr>
          <w:sz w:val="20"/>
        </w:rPr>
        <w:t>; </w:t>
      </w:r>
      <w:r>
        <w:rPr>
          <w:rFonts w:ascii="Arial" w:hAnsi="Arial"/>
          <w:i/>
          <w:sz w:val="20"/>
        </w:rPr>
        <w:t>Habib Bank Ltd v Tufail [2006] EWCA Civ 374, [2006] All E.R. (D) 92 (Apr) (Comm) </w:t>
      </w:r>
      <w:r>
        <w:rPr>
          <w:sz w:val="20"/>
        </w:rPr>
        <w:t>at [20]. For a case where any right to rescind would have been lost, see</w:t>
      </w:r>
      <w:r>
        <w:rPr>
          <w:spacing w:val="-1"/>
          <w:sz w:val="20"/>
        </w:rPr>
        <w:t> </w:t>
      </w:r>
      <w:r>
        <w:rPr>
          <w:rFonts w:ascii="Arial" w:hAnsi="Arial"/>
          <w:i/>
          <w:sz w:val="20"/>
        </w:rPr>
        <w:t>Donegal International Ltd v Zambia [2007] EWHC 197 (Apr), [2007] 1 Lloyd’s Rep. 397 </w:t>
      </w:r>
      <w:r>
        <w:rPr>
          <w:sz w:val="20"/>
        </w:rPr>
        <w:t>at [467].</w:t>
      </w:r>
    </w:p>
    <w:p>
      <w:pPr>
        <w:pStyle w:val="BodyText"/>
        <w:spacing w:before="4"/>
      </w:pPr>
    </w:p>
    <w:p>
      <w:pPr>
        <w:tabs>
          <w:tab w:pos="705" w:val="left" w:leader="none"/>
        </w:tabs>
        <w:spacing w:line="227" w:lineRule="exact" w:before="0"/>
        <w:ind w:left="165" w:right="0" w:firstLine="0"/>
        <w:jc w:val="left"/>
        <w:rPr>
          <w:rFonts w:ascii="Arial"/>
          <w:i/>
          <w:sz w:val="20"/>
        </w:rPr>
      </w:pPr>
      <w:bookmarkStart w:name="_bookmark1199" w:id="1201"/>
      <w:bookmarkEnd w:id="1201"/>
      <w:r>
        <w:rPr/>
      </w:r>
      <w:hyperlink w:history="true" w:anchor="_bookmark1151">
        <w:r>
          <w:rPr>
            <w:color w:val="005DA1"/>
            <w:spacing w:val="-4"/>
            <w:position w:val="5"/>
            <w:sz w:val="14"/>
            <w:u w:val="single" w:color="005DA1"/>
          </w:rPr>
          <w:t>612</w:t>
        </w:r>
      </w:hyperlink>
      <w:r>
        <w:rPr>
          <w:spacing w:val="-4"/>
          <w:position w:val="5"/>
          <w:sz w:val="14"/>
        </w:rPr>
        <w:t>.</w:t>
      </w:r>
      <w:r>
        <w:rPr>
          <w:position w:val="5"/>
          <w:sz w:val="14"/>
        </w:rPr>
        <w:tab/>
      </w:r>
      <w:r>
        <w:rPr>
          <w:rFonts w:ascii="Arial"/>
          <w:i/>
          <w:sz w:val="20"/>
        </w:rPr>
        <w:t>Leaf</w:t>
      </w:r>
      <w:r>
        <w:rPr>
          <w:rFonts w:ascii="Arial"/>
          <w:i/>
          <w:spacing w:val="15"/>
          <w:sz w:val="20"/>
        </w:rPr>
        <w:t> </w:t>
      </w:r>
      <w:r>
        <w:rPr>
          <w:rFonts w:ascii="Arial"/>
          <w:i/>
          <w:sz w:val="20"/>
        </w:rPr>
        <w:t>v</w:t>
      </w:r>
      <w:r>
        <w:rPr>
          <w:rFonts w:ascii="Arial"/>
          <w:i/>
          <w:spacing w:val="15"/>
          <w:sz w:val="20"/>
        </w:rPr>
        <w:t> </w:t>
      </w:r>
      <w:r>
        <w:rPr>
          <w:rFonts w:ascii="Arial"/>
          <w:i/>
          <w:sz w:val="20"/>
        </w:rPr>
        <w:t>International</w:t>
      </w:r>
      <w:r>
        <w:rPr>
          <w:rFonts w:ascii="Arial"/>
          <w:i/>
          <w:spacing w:val="15"/>
          <w:sz w:val="20"/>
        </w:rPr>
        <w:t> </w:t>
      </w:r>
      <w:r>
        <w:rPr>
          <w:rFonts w:ascii="Arial"/>
          <w:i/>
          <w:sz w:val="20"/>
        </w:rPr>
        <w:t>Galleries</w:t>
      </w:r>
      <w:r>
        <w:rPr>
          <w:rFonts w:ascii="Arial"/>
          <w:i/>
          <w:spacing w:val="15"/>
          <w:sz w:val="20"/>
        </w:rPr>
        <w:t> </w:t>
      </w:r>
      <w:r>
        <w:rPr>
          <w:rFonts w:ascii="Arial"/>
          <w:i/>
          <w:sz w:val="20"/>
        </w:rPr>
        <w:t>[1950]</w:t>
      </w:r>
      <w:r>
        <w:rPr>
          <w:rFonts w:ascii="Arial"/>
          <w:i/>
          <w:spacing w:val="15"/>
          <w:sz w:val="20"/>
        </w:rPr>
        <w:t> </w:t>
      </w:r>
      <w:r>
        <w:rPr>
          <w:rFonts w:ascii="Arial"/>
          <w:i/>
          <w:sz w:val="20"/>
        </w:rPr>
        <w:t>2</w:t>
      </w:r>
      <w:r>
        <w:rPr>
          <w:rFonts w:ascii="Arial"/>
          <w:i/>
          <w:spacing w:val="15"/>
          <w:sz w:val="20"/>
        </w:rPr>
        <w:t> </w:t>
      </w:r>
      <w:r>
        <w:rPr>
          <w:rFonts w:ascii="Arial"/>
          <w:i/>
          <w:sz w:val="20"/>
        </w:rPr>
        <w:t>K.B.</w:t>
      </w:r>
      <w:r>
        <w:rPr>
          <w:rFonts w:ascii="Arial"/>
          <w:i/>
          <w:spacing w:val="15"/>
          <w:sz w:val="20"/>
        </w:rPr>
        <w:t> </w:t>
      </w:r>
      <w:r>
        <w:rPr>
          <w:rFonts w:ascii="Arial"/>
          <w:i/>
          <w:sz w:val="20"/>
        </w:rPr>
        <w:t>86</w:t>
      </w:r>
      <w:r>
        <w:rPr>
          <w:rFonts w:ascii="Arial"/>
          <w:i/>
          <w:spacing w:val="14"/>
          <w:sz w:val="20"/>
        </w:rPr>
        <w:t> </w:t>
      </w:r>
      <w:r>
        <w:rPr>
          <w:sz w:val="20"/>
        </w:rPr>
        <w:t>(lapse</w:t>
      </w:r>
      <w:r>
        <w:rPr>
          <w:spacing w:val="15"/>
          <w:sz w:val="20"/>
        </w:rPr>
        <w:t> </w:t>
      </w:r>
      <w:r>
        <w:rPr>
          <w:sz w:val="20"/>
        </w:rPr>
        <w:t>of</w:t>
      </w:r>
      <w:r>
        <w:rPr>
          <w:spacing w:val="15"/>
          <w:sz w:val="20"/>
        </w:rPr>
        <w:t> </w:t>
      </w:r>
      <w:r>
        <w:rPr>
          <w:sz w:val="20"/>
        </w:rPr>
        <w:t>time).</w:t>
      </w:r>
      <w:r>
        <w:rPr>
          <w:spacing w:val="15"/>
          <w:sz w:val="20"/>
        </w:rPr>
        <w:t> </w:t>
      </w:r>
      <w:r>
        <w:rPr>
          <w:sz w:val="20"/>
        </w:rPr>
        <w:t>See</w:t>
      </w:r>
      <w:r>
        <w:rPr>
          <w:spacing w:val="15"/>
          <w:sz w:val="20"/>
        </w:rPr>
        <w:t> </w:t>
      </w:r>
      <w:r>
        <w:rPr>
          <w:sz w:val="20"/>
        </w:rPr>
        <w:t>also</w:t>
      </w:r>
      <w:r>
        <w:rPr>
          <w:spacing w:val="14"/>
          <w:sz w:val="20"/>
        </w:rPr>
        <w:t> </w:t>
      </w:r>
      <w:r>
        <w:rPr>
          <w:rFonts w:ascii="Arial"/>
          <w:i/>
          <w:sz w:val="20"/>
        </w:rPr>
        <w:t>Long</w:t>
      </w:r>
      <w:r>
        <w:rPr>
          <w:rFonts w:ascii="Arial"/>
          <w:i/>
          <w:spacing w:val="15"/>
          <w:sz w:val="20"/>
        </w:rPr>
        <w:t> </w:t>
      </w:r>
      <w:r>
        <w:rPr>
          <w:rFonts w:ascii="Arial"/>
          <w:i/>
          <w:sz w:val="20"/>
        </w:rPr>
        <w:t>v</w:t>
      </w:r>
      <w:r>
        <w:rPr>
          <w:rFonts w:ascii="Arial"/>
          <w:i/>
          <w:spacing w:val="15"/>
          <w:sz w:val="20"/>
        </w:rPr>
        <w:t> </w:t>
      </w:r>
      <w:r>
        <w:rPr>
          <w:rFonts w:ascii="Arial"/>
          <w:i/>
          <w:sz w:val="20"/>
        </w:rPr>
        <w:t>Lloyd</w:t>
      </w:r>
      <w:r>
        <w:rPr>
          <w:rFonts w:ascii="Arial"/>
          <w:i/>
          <w:spacing w:val="15"/>
          <w:sz w:val="20"/>
        </w:rPr>
        <w:t> </w:t>
      </w:r>
      <w:r>
        <w:rPr>
          <w:rFonts w:ascii="Arial"/>
          <w:i/>
          <w:sz w:val="20"/>
        </w:rPr>
        <w:t>[1958]</w:t>
      </w:r>
      <w:r>
        <w:rPr>
          <w:rFonts w:ascii="Arial"/>
          <w:i/>
          <w:spacing w:val="15"/>
          <w:sz w:val="20"/>
        </w:rPr>
        <w:t> </w:t>
      </w:r>
      <w:r>
        <w:rPr>
          <w:rFonts w:ascii="Arial"/>
          <w:i/>
          <w:spacing w:val="-10"/>
          <w:sz w:val="20"/>
        </w:rPr>
        <w:t>1</w:t>
      </w:r>
    </w:p>
    <w:p>
      <w:pPr>
        <w:pStyle w:val="BodyText"/>
        <w:spacing w:line="235" w:lineRule="auto" w:before="2"/>
        <w:ind w:left="705" w:right="167"/>
        <w:jc w:val="both"/>
      </w:pPr>
      <w:r>
        <w:rPr>
          <w:rFonts w:ascii="Arial"/>
          <w:i/>
        </w:rPr>
        <w:t>W.L.R. 753</w:t>
      </w:r>
      <w:r>
        <w:rPr/>
        <w:t>. Sale and delivery to a sub-purchaser also amounts to acceptance (though only after he has had a reasonable opportunity to examine the goods: Sale of Goods Act 1979 (as amended) s.35), but if the sub-purchaser rejects the goods the right to rescind </w:t>
      </w:r>
      <w:r>
        <w:rPr/>
        <w:t>for misrepresentation can probably still be exercised, cf. below, para.7-141. It should make no difference to the right to rescind for misrepresentation that the representation has become a term of the contract: Misrepresentation Act 1967 s.1(a). On loss of the right to reject, see </w:t>
      </w:r>
      <w:r>
        <w:rPr/>
        <w:t>Vol.II, paras 44-275 et seq.</w:t>
      </w:r>
    </w:p>
    <w:p>
      <w:pPr>
        <w:pStyle w:val="BodyText"/>
        <w:spacing w:before="3"/>
      </w:pPr>
    </w:p>
    <w:p>
      <w:pPr>
        <w:pStyle w:val="BodyText"/>
        <w:tabs>
          <w:tab w:pos="705" w:val="left" w:leader="none"/>
        </w:tabs>
        <w:ind w:left="165"/>
      </w:pPr>
      <w:bookmarkStart w:name="_bookmark1200" w:id="1202"/>
      <w:bookmarkEnd w:id="1202"/>
      <w:r>
        <w:rPr/>
      </w:r>
      <w:hyperlink w:history="true" w:anchor="_bookmark1152">
        <w:r>
          <w:rPr>
            <w:color w:val="005DA1"/>
            <w:spacing w:val="-4"/>
            <w:position w:val="5"/>
            <w:sz w:val="14"/>
            <w:u w:val="single" w:color="005DA1"/>
          </w:rPr>
          <w:t>613</w:t>
        </w:r>
      </w:hyperlink>
      <w:r>
        <w:rPr>
          <w:spacing w:val="-4"/>
          <w:position w:val="5"/>
          <w:sz w:val="14"/>
        </w:rPr>
        <w:t>.</w:t>
      </w:r>
      <w:r>
        <w:rPr>
          <w:position w:val="5"/>
          <w:sz w:val="14"/>
        </w:rPr>
        <w:tab/>
      </w:r>
      <w:r>
        <w:rPr/>
        <w:t>See below, Vol.II, para.44-</w:t>
      </w:r>
      <w:r>
        <w:rPr>
          <w:spacing w:val="-4"/>
        </w:rPr>
        <w:t>278.</w:t>
      </w:r>
    </w:p>
    <w:p>
      <w:pPr>
        <w:pStyle w:val="BodyText"/>
        <w:spacing w:before="9"/>
      </w:pPr>
    </w:p>
    <w:p>
      <w:pPr>
        <w:tabs>
          <w:tab w:pos="705" w:val="left" w:leader="none"/>
        </w:tabs>
        <w:spacing w:line="235" w:lineRule="auto" w:before="0"/>
        <w:ind w:left="705" w:right="168" w:hanging="541"/>
        <w:jc w:val="left"/>
        <w:rPr>
          <w:sz w:val="20"/>
        </w:rPr>
      </w:pPr>
      <w:bookmarkStart w:name="_bookmark1201" w:id="1203"/>
      <w:bookmarkEnd w:id="1203"/>
      <w:r>
        <w:rPr/>
      </w:r>
      <w:hyperlink w:history="true" w:anchor="_bookmark1152">
        <w:r>
          <w:rPr>
            <w:color w:val="005DA1"/>
            <w:spacing w:val="-4"/>
            <w:position w:val="5"/>
            <w:sz w:val="14"/>
            <w:u w:val="single" w:color="005DA1"/>
          </w:rPr>
          <w:t>614</w:t>
        </w:r>
      </w:hyperlink>
      <w:r>
        <w:rPr>
          <w:spacing w:val="-4"/>
          <w:position w:val="5"/>
          <w:sz w:val="14"/>
        </w:rPr>
        <w:t>.</w:t>
      </w:r>
      <w:r>
        <w:rPr>
          <w:position w:val="5"/>
          <w:sz w:val="14"/>
        </w:rPr>
        <w:tab/>
      </w:r>
      <w:r>
        <w:rPr>
          <w:sz w:val="20"/>
        </w:rPr>
        <w:t>The</w:t>
      </w:r>
      <w:r>
        <w:rPr>
          <w:spacing w:val="38"/>
          <w:sz w:val="20"/>
        </w:rPr>
        <w:t> </w:t>
      </w:r>
      <w:r>
        <w:rPr>
          <w:sz w:val="20"/>
        </w:rPr>
        <w:t>buyer</w:t>
      </w:r>
      <w:r>
        <w:rPr>
          <w:spacing w:val="38"/>
          <w:sz w:val="20"/>
        </w:rPr>
        <w:t> </w:t>
      </w:r>
      <w:r>
        <w:rPr>
          <w:sz w:val="20"/>
        </w:rPr>
        <w:t>in</w:t>
      </w:r>
      <w:r>
        <w:rPr>
          <w:spacing w:val="38"/>
          <w:sz w:val="20"/>
        </w:rPr>
        <w:t> </w:t>
      </w:r>
      <w:r>
        <w:rPr>
          <w:rFonts w:ascii="Arial"/>
          <w:i/>
          <w:sz w:val="20"/>
        </w:rPr>
        <w:t>Leaf</w:t>
      </w:r>
      <w:r>
        <w:rPr>
          <w:rFonts w:ascii="Arial"/>
          <w:i/>
          <w:spacing w:val="38"/>
          <w:sz w:val="20"/>
        </w:rPr>
        <w:t> </w:t>
      </w:r>
      <w:r>
        <w:rPr>
          <w:rFonts w:ascii="Arial"/>
          <w:i/>
          <w:sz w:val="20"/>
        </w:rPr>
        <w:t>v</w:t>
      </w:r>
      <w:r>
        <w:rPr>
          <w:rFonts w:ascii="Arial"/>
          <w:i/>
          <w:spacing w:val="38"/>
          <w:sz w:val="20"/>
        </w:rPr>
        <w:t> </w:t>
      </w:r>
      <w:r>
        <w:rPr>
          <w:rFonts w:ascii="Arial"/>
          <w:i/>
          <w:sz w:val="20"/>
        </w:rPr>
        <w:t>International</w:t>
      </w:r>
      <w:r>
        <w:rPr>
          <w:rFonts w:ascii="Arial"/>
          <w:i/>
          <w:spacing w:val="38"/>
          <w:sz w:val="20"/>
        </w:rPr>
        <w:t> </w:t>
      </w:r>
      <w:r>
        <w:rPr>
          <w:rFonts w:ascii="Arial"/>
          <w:i/>
          <w:sz w:val="20"/>
        </w:rPr>
        <w:t>Galleries</w:t>
      </w:r>
      <w:r>
        <w:rPr>
          <w:rFonts w:ascii="Arial"/>
          <w:i/>
          <w:spacing w:val="38"/>
          <w:sz w:val="20"/>
        </w:rPr>
        <w:t> </w:t>
      </w:r>
      <w:r>
        <w:rPr>
          <w:rFonts w:ascii="Arial"/>
          <w:i/>
          <w:sz w:val="20"/>
        </w:rPr>
        <w:t>[1950]</w:t>
      </w:r>
      <w:r>
        <w:rPr>
          <w:rFonts w:ascii="Arial"/>
          <w:i/>
          <w:spacing w:val="38"/>
          <w:sz w:val="20"/>
        </w:rPr>
        <w:t> </w:t>
      </w:r>
      <w:r>
        <w:rPr>
          <w:rFonts w:ascii="Arial"/>
          <w:i/>
          <w:sz w:val="20"/>
        </w:rPr>
        <w:t>2</w:t>
      </w:r>
      <w:r>
        <w:rPr>
          <w:rFonts w:ascii="Arial"/>
          <w:i/>
          <w:spacing w:val="38"/>
          <w:sz w:val="20"/>
        </w:rPr>
        <w:t> </w:t>
      </w:r>
      <w:r>
        <w:rPr>
          <w:rFonts w:ascii="Arial"/>
          <w:i/>
          <w:sz w:val="20"/>
        </w:rPr>
        <w:t>K.B.</w:t>
      </w:r>
      <w:r>
        <w:rPr>
          <w:rFonts w:ascii="Arial"/>
          <w:i/>
          <w:spacing w:val="38"/>
          <w:sz w:val="20"/>
        </w:rPr>
        <w:t> </w:t>
      </w:r>
      <w:r>
        <w:rPr>
          <w:rFonts w:ascii="Arial"/>
          <w:i/>
          <w:sz w:val="20"/>
        </w:rPr>
        <w:t>86</w:t>
      </w:r>
      <w:r>
        <w:rPr>
          <w:rFonts w:ascii="Arial"/>
          <w:i/>
          <w:spacing w:val="38"/>
          <w:sz w:val="20"/>
        </w:rPr>
        <w:t> </w:t>
      </w:r>
      <w:r>
        <w:rPr>
          <w:sz w:val="20"/>
        </w:rPr>
        <w:t>therefore</w:t>
      </w:r>
      <w:r>
        <w:rPr>
          <w:spacing w:val="38"/>
          <w:sz w:val="20"/>
        </w:rPr>
        <w:t> </w:t>
      </w:r>
      <w:r>
        <w:rPr>
          <w:sz w:val="20"/>
        </w:rPr>
        <w:t>had</w:t>
      </w:r>
      <w:r>
        <w:rPr>
          <w:spacing w:val="38"/>
          <w:sz w:val="20"/>
        </w:rPr>
        <w:t> </w:t>
      </w:r>
      <w:r>
        <w:rPr>
          <w:sz w:val="20"/>
        </w:rPr>
        <w:t>lost</w:t>
      </w:r>
      <w:r>
        <w:rPr>
          <w:spacing w:val="38"/>
          <w:sz w:val="20"/>
        </w:rPr>
        <w:t> </w:t>
      </w:r>
      <w:r>
        <w:rPr>
          <w:sz w:val="20"/>
        </w:rPr>
        <w:t>the</w:t>
      </w:r>
      <w:r>
        <w:rPr>
          <w:spacing w:val="38"/>
          <w:sz w:val="20"/>
        </w:rPr>
        <w:t> </w:t>
      </w:r>
      <w:r>
        <w:rPr>
          <w:sz w:val="20"/>
        </w:rPr>
        <w:t>right</w:t>
      </w:r>
      <w:r>
        <w:rPr>
          <w:spacing w:val="38"/>
          <w:sz w:val="20"/>
        </w:rPr>
        <w:t> </w:t>
      </w:r>
      <w:r>
        <w:rPr>
          <w:sz w:val="20"/>
        </w:rPr>
        <w:t>to rescind although he was unaware of the misrepresentation.</w:t>
      </w:r>
    </w:p>
    <w:p>
      <w:pPr>
        <w:pStyle w:val="BodyText"/>
        <w:spacing w:before="5"/>
      </w:pPr>
    </w:p>
    <w:p>
      <w:pPr>
        <w:tabs>
          <w:tab w:pos="705" w:val="left" w:leader="none"/>
        </w:tabs>
        <w:spacing w:before="0"/>
        <w:ind w:left="165" w:right="0" w:firstLine="0"/>
        <w:jc w:val="left"/>
        <w:rPr>
          <w:sz w:val="20"/>
        </w:rPr>
      </w:pPr>
      <w:bookmarkStart w:name="_bookmark1202" w:id="1204"/>
      <w:bookmarkEnd w:id="1204"/>
      <w:r>
        <w:rPr/>
      </w:r>
      <w:hyperlink w:history="true" w:anchor="_bookmark1153">
        <w:r>
          <w:rPr>
            <w:color w:val="005DA1"/>
            <w:spacing w:val="-4"/>
            <w:position w:val="5"/>
            <w:sz w:val="14"/>
            <w:u w:val="single" w:color="005DA1"/>
          </w:rPr>
          <w:t>615</w:t>
        </w:r>
      </w:hyperlink>
      <w:r>
        <w:rPr>
          <w:spacing w:val="-4"/>
          <w:position w:val="5"/>
          <w:sz w:val="14"/>
        </w:rPr>
        <w:t>.</w:t>
      </w:r>
      <w:r>
        <w:rPr>
          <w:position w:val="5"/>
          <w:sz w:val="14"/>
        </w:rPr>
        <w:tab/>
      </w:r>
      <w:r>
        <w:rPr>
          <w:rFonts w:ascii="Arial"/>
          <w:i/>
          <w:sz w:val="20"/>
        </w:rPr>
        <w:t>Salt v Stratstone Specialist Ltd [2015] EWCA Civ 745</w:t>
      </w:r>
      <w:r>
        <w:rPr>
          <w:rFonts w:ascii="Arial"/>
          <w:i/>
          <w:spacing w:val="-1"/>
          <w:sz w:val="20"/>
        </w:rPr>
        <w:t> </w:t>
      </w:r>
      <w:r>
        <w:rPr>
          <w:sz w:val="20"/>
        </w:rPr>
        <w:t>at [34]; see below, para.7-</w:t>
      </w:r>
      <w:r>
        <w:rPr>
          <w:spacing w:val="-4"/>
          <w:sz w:val="20"/>
        </w:rPr>
        <w:t>136.</w:t>
      </w:r>
    </w:p>
    <w:p>
      <w:pPr>
        <w:pStyle w:val="BodyText"/>
        <w:spacing w:before="9"/>
      </w:pPr>
    </w:p>
    <w:p>
      <w:pPr>
        <w:tabs>
          <w:tab w:pos="705" w:val="left" w:leader="none"/>
        </w:tabs>
        <w:spacing w:line="235" w:lineRule="auto" w:before="0"/>
        <w:ind w:left="705" w:right="167" w:hanging="541"/>
        <w:jc w:val="left"/>
        <w:rPr>
          <w:rFonts w:ascii="Arial" w:hAnsi="Arial"/>
          <w:i/>
          <w:sz w:val="20"/>
        </w:rPr>
      </w:pPr>
      <w:bookmarkStart w:name="_bookmark1203" w:id="1205"/>
      <w:bookmarkEnd w:id="1205"/>
      <w:r>
        <w:rPr/>
      </w:r>
      <w:hyperlink w:history="true" w:anchor="_bookmark1154">
        <w:r>
          <w:rPr>
            <w:color w:val="005DA1"/>
            <w:spacing w:val="-4"/>
            <w:position w:val="5"/>
            <w:sz w:val="14"/>
            <w:u w:val="single" w:color="005DA1"/>
          </w:rPr>
          <w:t>616</w:t>
        </w:r>
      </w:hyperlink>
      <w:r>
        <w:rPr>
          <w:spacing w:val="-4"/>
          <w:position w:val="5"/>
          <w:sz w:val="14"/>
        </w:rPr>
        <w:t>.</w:t>
      </w:r>
      <w:r>
        <w:rPr>
          <w:position w:val="5"/>
          <w:sz w:val="14"/>
        </w:rPr>
        <w:tab/>
      </w:r>
      <w:r>
        <w:rPr>
          <w:sz w:val="20"/>
        </w:rPr>
        <w:t>See</w:t>
      </w:r>
      <w:r>
        <w:rPr>
          <w:spacing w:val="33"/>
          <w:sz w:val="20"/>
        </w:rPr>
        <w:t> </w:t>
      </w:r>
      <w:r>
        <w:rPr>
          <w:rFonts w:ascii="Arial" w:hAnsi="Arial"/>
          <w:i/>
          <w:sz w:val="20"/>
        </w:rPr>
        <w:t>Motor</w:t>
      </w:r>
      <w:r>
        <w:rPr>
          <w:rFonts w:ascii="Arial" w:hAnsi="Arial"/>
          <w:i/>
          <w:spacing w:val="33"/>
          <w:sz w:val="20"/>
        </w:rPr>
        <w:t> </w:t>
      </w:r>
      <w:r>
        <w:rPr>
          <w:rFonts w:ascii="Arial" w:hAnsi="Arial"/>
          <w:i/>
          <w:sz w:val="20"/>
        </w:rPr>
        <w:t>Oil</w:t>
      </w:r>
      <w:r>
        <w:rPr>
          <w:rFonts w:ascii="Arial" w:hAnsi="Arial"/>
          <w:i/>
          <w:spacing w:val="33"/>
          <w:sz w:val="20"/>
        </w:rPr>
        <w:t> </w:t>
      </w:r>
      <w:r>
        <w:rPr>
          <w:rFonts w:ascii="Arial" w:hAnsi="Arial"/>
          <w:i/>
          <w:sz w:val="20"/>
        </w:rPr>
        <w:t>Hellas</w:t>
      </w:r>
      <w:r>
        <w:rPr>
          <w:rFonts w:ascii="Arial" w:hAnsi="Arial"/>
          <w:i/>
          <w:spacing w:val="33"/>
          <w:sz w:val="20"/>
        </w:rPr>
        <w:t> </w:t>
      </w:r>
      <w:r>
        <w:rPr>
          <w:rFonts w:ascii="Arial" w:hAnsi="Arial"/>
          <w:i/>
          <w:sz w:val="20"/>
        </w:rPr>
        <w:t>(Corinth)</w:t>
      </w:r>
      <w:r>
        <w:rPr>
          <w:rFonts w:ascii="Arial" w:hAnsi="Arial"/>
          <w:i/>
          <w:spacing w:val="33"/>
          <w:sz w:val="20"/>
        </w:rPr>
        <w:t> </w:t>
      </w:r>
      <w:r>
        <w:rPr>
          <w:rFonts w:ascii="Arial" w:hAnsi="Arial"/>
          <w:i/>
          <w:sz w:val="20"/>
        </w:rPr>
        <w:t>Refineries</w:t>
      </w:r>
      <w:r>
        <w:rPr>
          <w:rFonts w:ascii="Arial" w:hAnsi="Arial"/>
          <w:i/>
          <w:spacing w:val="33"/>
          <w:sz w:val="20"/>
        </w:rPr>
        <w:t> </w:t>
      </w:r>
      <w:r>
        <w:rPr>
          <w:rFonts w:ascii="Arial" w:hAnsi="Arial"/>
          <w:i/>
          <w:sz w:val="20"/>
        </w:rPr>
        <w:t>SA</w:t>
      </w:r>
      <w:r>
        <w:rPr>
          <w:rFonts w:ascii="Arial" w:hAnsi="Arial"/>
          <w:i/>
          <w:spacing w:val="33"/>
          <w:sz w:val="20"/>
        </w:rPr>
        <w:t> </w:t>
      </w:r>
      <w:r>
        <w:rPr>
          <w:rFonts w:ascii="Arial" w:hAnsi="Arial"/>
          <w:i/>
          <w:sz w:val="20"/>
        </w:rPr>
        <w:t>v</w:t>
      </w:r>
      <w:r>
        <w:rPr>
          <w:rFonts w:ascii="Arial" w:hAnsi="Arial"/>
          <w:i/>
          <w:spacing w:val="33"/>
          <w:sz w:val="20"/>
        </w:rPr>
        <w:t> </w:t>
      </w:r>
      <w:r>
        <w:rPr>
          <w:rFonts w:ascii="Arial" w:hAnsi="Arial"/>
          <w:i/>
          <w:sz w:val="20"/>
        </w:rPr>
        <w:t>Shipping</w:t>
      </w:r>
      <w:r>
        <w:rPr>
          <w:rFonts w:ascii="Arial" w:hAnsi="Arial"/>
          <w:i/>
          <w:spacing w:val="33"/>
          <w:sz w:val="20"/>
        </w:rPr>
        <w:t> </w:t>
      </w:r>
      <w:r>
        <w:rPr>
          <w:rFonts w:ascii="Arial" w:hAnsi="Arial"/>
          <w:i/>
          <w:sz w:val="20"/>
        </w:rPr>
        <w:t>Corp</w:t>
      </w:r>
      <w:r>
        <w:rPr>
          <w:rFonts w:ascii="Arial" w:hAnsi="Arial"/>
          <w:i/>
          <w:spacing w:val="33"/>
          <w:sz w:val="20"/>
        </w:rPr>
        <w:t> </w:t>
      </w:r>
      <w:r>
        <w:rPr>
          <w:rFonts w:ascii="Arial" w:hAnsi="Arial"/>
          <w:i/>
          <w:sz w:val="20"/>
        </w:rPr>
        <w:t>of</w:t>
      </w:r>
      <w:r>
        <w:rPr>
          <w:rFonts w:ascii="Arial" w:hAnsi="Arial"/>
          <w:i/>
          <w:spacing w:val="33"/>
          <w:sz w:val="20"/>
        </w:rPr>
        <w:t> </w:t>
      </w:r>
      <w:r>
        <w:rPr>
          <w:rFonts w:ascii="Arial" w:hAnsi="Arial"/>
          <w:i/>
          <w:sz w:val="20"/>
        </w:rPr>
        <w:t>India</w:t>
      </w:r>
      <w:r>
        <w:rPr>
          <w:rFonts w:ascii="Arial" w:hAnsi="Arial"/>
          <w:i/>
          <w:spacing w:val="33"/>
          <w:sz w:val="20"/>
        </w:rPr>
        <w:t> </w:t>
      </w:r>
      <w:r>
        <w:rPr>
          <w:rFonts w:ascii="Arial" w:hAnsi="Arial"/>
          <w:i/>
          <w:sz w:val="20"/>
        </w:rPr>
        <w:t>(The</w:t>
      </w:r>
      <w:r>
        <w:rPr>
          <w:rFonts w:ascii="Arial" w:hAnsi="Arial"/>
          <w:i/>
          <w:spacing w:val="33"/>
          <w:sz w:val="20"/>
        </w:rPr>
        <w:t> </w:t>
      </w:r>
      <w:r>
        <w:rPr>
          <w:rFonts w:ascii="Arial" w:hAnsi="Arial"/>
          <w:i/>
          <w:sz w:val="20"/>
        </w:rPr>
        <w:t>Kanchenjunga) [1990]</w:t>
      </w:r>
      <w:r>
        <w:rPr>
          <w:rFonts w:ascii="Arial" w:hAnsi="Arial"/>
          <w:i/>
          <w:spacing w:val="23"/>
          <w:sz w:val="20"/>
        </w:rPr>
        <w:t> </w:t>
      </w:r>
      <w:r>
        <w:rPr>
          <w:rFonts w:ascii="Arial" w:hAnsi="Arial"/>
          <w:i/>
          <w:sz w:val="20"/>
        </w:rPr>
        <w:t>1</w:t>
      </w:r>
      <w:r>
        <w:rPr>
          <w:rFonts w:ascii="Arial" w:hAnsi="Arial"/>
          <w:i/>
          <w:spacing w:val="24"/>
          <w:sz w:val="20"/>
        </w:rPr>
        <w:t> </w:t>
      </w:r>
      <w:r>
        <w:rPr>
          <w:rFonts w:ascii="Arial" w:hAnsi="Arial"/>
          <w:i/>
          <w:sz w:val="20"/>
        </w:rPr>
        <w:t>Lloyd’s</w:t>
      </w:r>
      <w:r>
        <w:rPr>
          <w:rFonts w:ascii="Arial" w:hAnsi="Arial"/>
          <w:i/>
          <w:spacing w:val="24"/>
          <w:sz w:val="20"/>
        </w:rPr>
        <w:t> </w:t>
      </w:r>
      <w:r>
        <w:rPr>
          <w:rFonts w:ascii="Arial" w:hAnsi="Arial"/>
          <w:i/>
          <w:sz w:val="20"/>
        </w:rPr>
        <w:t>Rep.</w:t>
      </w:r>
      <w:r>
        <w:rPr>
          <w:rFonts w:ascii="Arial" w:hAnsi="Arial"/>
          <w:i/>
          <w:spacing w:val="24"/>
          <w:sz w:val="20"/>
        </w:rPr>
        <w:t> </w:t>
      </w:r>
      <w:r>
        <w:rPr>
          <w:rFonts w:ascii="Arial" w:hAnsi="Arial"/>
          <w:i/>
          <w:sz w:val="20"/>
        </w:rPr>
        <w:t>391,</w:t>
      </w:r>
      <w:r>
        <w:rPr>
          <w:rFonts w:ascii="Arial" w:hAnsi="Arial"/>
          <w:i/>
          <w:spacing w:val="24"/>
          <w:sz w:val="20"/>
        </w:rPr>
        <w:t> </w:t>
      </w:r>
      <w:r>
        <w:rPr>
          <w:rFonts w:ascii="Arial" w:hAnsi="Arial"/>
          <w:i/>
          <w:sz w:val="20"/>
        </w:rPr>
        <w:t>399</w:t>
      </w:r>
      <w:r>
        <w:rPr>
          <w:sz w:val="20"/>
        </w:rPr>
        <w:t>.</w:t>
      </w:r>
      <w:r>
        <w:rPr>
          <w:spacing w:val="24"/>
          <w:sz w:val="20"/>
        </w:rPr>
        <w:t> </w:t>
      </w:r>
      <w:r>
        <w:rPr>
          <w:sz w:val="20"/>
        </w:rPr>
        <w:t>In</w:t>
      </w:r>
      <w:r>
        <w:rPr>
          <w:spacing w:val="24"/>
          <w:sz w:val="20"/>
        </w:rPr>
        <w:t> </w:t>
      </w:r>
      <w:r>
        <w:rPr>
          <w:rFonts w:ascii="Arial" w:hAnsi="Arial"/>
          <w:i/>
          <w:sz w:val="20"/>
        </w:rPr>
        <w:t>Habib</w:t>
      </w:r>
      <w:r>
        <w:rPr>
          <w:rFonts w:ascii="Arial" w:hAnsi="Arial"/>
          <w:i/>
          <w:spacing w:val="24"/>
          <w:sz w:val="20"/>
        </w:rPr>
        <w:t> </w:t>
      </w:r>
      <w:r>
        <w:rPr>
          <w:rFonts w:ascii="Arial" w:hAnsi="Arial"/>
          <w:i/>
          <w:sz w:val="20"/>
        </w:rPr>
        <w:t>Bank</w:t>
      </w:r>
      <w:r>
        <w:rPr>
          <w:rFonts w:ascii="Arial" w:hAnsi="Arial"/>
          <w:i/>
          <w:spacing w:val="24"/>
          <w:sz w:val="20"/>
        </w:rPr>
        <w:t> </w:t>
      </w:r>
      <w:r>
        <w:rPr>
          <w:rFonts w:ascii="Arial" w:hAnsi="Arial"/>
          <w:i/>
          <w:sz w:val="20"/>
        </w:rPr>
        <w:t>Ltd</w:t>
      </w:r>
      <w:r>
        <w:rPr>
          <w:rFonts w:ascii="Arial" w:hAnsi="Arial"/>
          <w:i/>
          <w:spacing w:val="24"/>
          <w:sz w:val="20"/>
        </w:rPr>
        <w:t> </w:t>
      </w:r>
      <w:r>
        <w:rPr>
          <w:rFonts w:ascii="Arial" w:hAnsi="Arial"/>
          <w:i/>
          <w:sz w:val="20"/>
        </w:rPr>
        <w:t>v</w:t>
      </w:r>
      <w:r>
        <w:rPr>
          <w:rFonts w:ascii="Arial" w:hAnsi="Arial"/>
          <w:i/>
          <w:spacing w:val="24"/>
          <w:sz w:val="20"/>
        </w:rPr>
        <w:t> </w:t>
      </w:r>
      <w:r>
        <w:rPr>
          <w:rFonts w:ascii="Arial" w:hAnsi="Arial"/>
          <w:i/>
          <w:sz w:val="20"/>
        </w:rPr>
        <w:t>Tufail</w:t>
      </w:r>
      <w:r>
        <w:rPr>
          <w:rFonts w:ascii="Arial" w:hAnsi="Arial"/>
          <w:i/>
          <w:spacing w:val="24"/>
          <w:sz w:val="20"/>
        </w:rPr>
        <w:t> </w:t>
      </w:r>
      <w:r>
        <w:rPr>
          <w:rFonts w:ascii="Arial" w:hAnsi="Arial"/>
          <w:i/>
          <w:sz w:val="20"/>
        </w:rPr>
        <w:t>[2006]</w:t>
      </w:r>
      <w:r>
        <w:rPr>
          <w:rFonts w:ascii="Arial" w:hAnsi="Arial"/>
          <w:i/>
          <w:spacing w:val="24"/>
          <w:sz w:val="20"/>
        </w:rPr>
        <w:t> </w:t>
      </w:r>
      <w:r>
        <w:rPr>
          <w:rFonts w:ascii="Arial" w:hAnsi="Arial"/>
          <w:i/>
          <w:sz w:val="20"/>
        </w:rPr>
        <w:t>EWCA</w:t>
      </w:r>
      <w:r>
        <w:rPr>
          <w:rFonts w:ascii="Arial" w:hAnsi="Arial"/>
          <w:i/>
          <w:spacing w:val="24"/>
          <w:sz w:val="20"/>
        </w:rPr>
        <w:t> </w:t>
      </w:r>
      <w:r>
        <w:rPr>
          <w:rFonts w:ascii="Arial" w:hAnsi="Arial"/>
          <w:i/>
          <w:sz w:val="20"/>
        </w:rPr>
        <w:t>Civ</w:t>
      </w:r>
      <w:r>
        <w:rPr>
          <w:rFonts w:ascii="Arial" w:hAnsi="Arial"/>
          <w:i/>
          <w:spacing w:val="24"/>
          <w:sz w:val="20"/>
        </w:rPr>
        <w:t> </w:t>
      </w:r>
      <w:r>
        <w:rPr>
          <w:rFonts w:ascii="Arial" w:hAnsi="Arial"/>
          <w:i/>
          <w:sz w:val="20"/>
        </w:rPr>
        <w:t>374,</w:t>
      </w:r>
      <w:r>
        <w:rPr>
          <w:rFonts w:ascii="Arial" w:hAnsi="Arial"/>
          <w:i/>
          <w:spacing w:val="24"/>
          <w:sz w:val="20"/>
        </w:rPr>
        <w:t> </w:t>
      </w:r>
      <w:r>
        <w:rPr>
          <w:rFonts w:ascii="Arial" w:hAnsi="Arial"/>
          <w:i/>
          <w:sz w:val="20"/>
        </w:rPr>
        <w:t>[2006]</w:t>
      </w:r>
      <w:r>
        <w:rPr>
          <w:rFonts w:ascii="Arial" w:hAnsi="Arial"/>
          <w:i/>
          <w:spacing w:val="24"/>
          <w:sz w:val="20"/>
        </w:rPr>
        <w:t> </w:t>
      </w:r>
      <w:r>
        <w:rPr>
          <w:rFonts w:ascii="Arial" w:hAnsi="Arial"/>
          <w:i/>
          <w:spacing w:val="-5"/>
          <w:sz w:val="20"/>
        </w:rPr>
        <w:t>All</w:t>
      </w:r>
    </w:p>
    <w:p>
      <w:pPr>
        <w:pStyle w:val="BodyText"/>
        <w:spacing w:line="235" w:lineRule="auto"/>
        <w:ind w:left="705" w:right="167"/>
        <w:jc w:val="both"/>
      </w:pPr>
      <w:r>
        <w:rPr>
          <w:rFonts w:ascii="Arial" w:hAnsi="Arial"/>
          <w:i/>
        </w:rPr>
        <w:t>E.R. (D) 92 (Apr) (Comm) </w:t>
      </w:r>
      <w:r>
        <w:rPr/>
        <w:t>the Court of Appeal distinguished between promissory estoppel </w:t>
      </w:r>
      <w:r>
        <w:rPr/>
        <w:t>and acquiescence. The right to avoid a contract for misrepresentation may be lost by acquiescence if the misrepresentee indicates that he will not avoid it and the other party acts on this to its detriment, but only if the representation was made after the misrepresentee knew of the facts giving him the right to avoid (at [22]–[23]). The difference (if any) between estoppel (in the</w:t>
      </w:r>
      <w:r>
        <w:rPr>
          <w:spacing w:val="40"/>
        </w:rPr>
        <w:t> </w:t>
      </w:r>
      <w:r>
        <w:rPr/>
        <w:t>sense used in this paragraph) and acquiescence seems to be that estoppel envisages </w:t>
      </w:r>
      <w:r>
        <w:rPr/>
        <w:t>a statement or action indicating the party’s intention, whereas acquiescence implies </w:t>
      </w:r>
      <w:r>
        <w:rPr/>
        <w:t>passive acceptance of the status quo. Thus mere delay might amount to acquiescence: see </w:t>
      </w:r>
      <w:r>
        <w:rPr/>
        <w:t>below, </w:t>
      </w:r>
      <w:r>
        <w:rPr>
          <w:spacing w:val="-2"/>
        </w:rPr>
        <w:t>para.8-101.</w:t>
      </w:r>
    </w:p>
    <w:p>
      <w:pPr>
        <w:pStyle w:val="BodyText"/>
        <w:spacing w:before="6"/>
      </w:pPr>
    </w:p>
    <w:p>
      <w:pPr>
        <w:spacing w:line="235" w:lineRule="auto" w:before="0"/>
        <w:ind w:left="705" w:right="167" w:hanging="541"/>
        <w:jc w:val="both"/>
        <w:rPr>
          <w:sz w:val="20"/>
        </w:rPr>
      </w:pPr>
      <w:bookmarkStart w:name="_bookmark1204" w:id="1206"/>
      <w:bookmarkEnd w:id="1206"/>
      <w:r>
        <w:rPr/>
      </w:r>
      <w:hyperlink w:history="true" w:anchor="_bookmark1155">
        <w:r>
          <w:rPr>
            <w:color w:val="005DA1"/>
            <w:position w:val="5"/>
            <w:sz w:val="14"/>
            <w:u w:val="single" w:color="005DA1"/>
          </w:rPr>
          <w:t>617</w:t>
        </w:r>
      </w:hyperlink>
      <w:r>
        <w:rPr>
          <w:position w:val="5"/>
          <w:sz w:val="14"/>
        </w:rPr>
        <w:t>.</w:t>
      </w:r>
      <w:r>
        <w:rPr>
          <w:spacing w:val="80"/>
          <w:w w:val="150"/>
          <w:position w:val="5"/>
          <w:sz w:val="14"/>
        </w:rPr>
        <w:t> </w:t>
      </w:r>
      <w:r>
        <w:rPr>
          <w:rFonts w:ascii="Arial" w:hAnsi="Arial"/>
          <w:i/>
          <w:sz w:val="20"/>
        </w:rPr>
        <w:t>HIH Casualty and General Insurance Ltd v Axa Corporate Solutions [2002] EWCA Civ </w:t>
      </w:r>
      <w:r>
        <w:rPr>
          <w:rFonts w:ascii="Arial" w:hAnsi="Arial"/>
          <w:i/>
          <w:sz w:val="20"/>
        </w:rPr>
        <w:t>1253, [2003] Lloyd’s Rep. I.R. 1 </w:t>
      </w:r>
      <w:r>
        <w:rPr>
          <w:sz w:val="20"/>
        </w:rPr>
        <w:t>at [21]; </w:t>
      </w:r>
      <w:r>
        <w:rPr>
          <w:rFonts w:ascii="Arial" w:hAnsi="Arial"/>
          <w:i/>
          <w:sz w:val="20"/>
        </w:rPr>
        <w:t>IHC (A Firm) v Amtrust Europe Ltd [2015] EWHC 257 (QB) </w:t>
      </w:r>
      <w:r>
        <w:rPr>
          <w:sz w:val="20"/>
        </w:rPr>
        <w:t>at </w:t>
      </w:r>
      <w:r>
        <w:rPr>
          <w:spacing w:val="-2"/>
          <w:sz w:val="20"/>
        </w:rPr>
        <w:t>[12].</w:t>
      </w:r>
    </w:p>
    <w:p>
      <w:pPr>
        <w:spacing w:after="0" w:line="235" w:lineRule="auto"/>
        <w:jc w:val="both"/>
        <w:rPr>
          <w:sz w:val="20"/>
        </w:rPr>
        <w:sectPr>
          <w:pgSz w:w="11900" w:h="16840"/>
          <w:pgMar w:header="971" w:footer="0" w:top="1160" w:bottom="280" w:left="1275" w:right="1275"/>
        </w:sectPr>
      </w:pPr>
    </w:p>
    <w:p>
      <w:pPr>
        <w:pStyle w:val="BodyText"/>
        <w:spacing w:before="81"/>
      </w:pPr>
    </w:p>
    <w:p>
      <w:pPr>
        <w:tabs>
          <w:tab w:pos="705" w:val="left" w:leader="none"/>
        </w:tabs>
        <w:spacing w:before="0"/>
        <w:ind w:left="165" w:right="0" w:firstLine="0"/>
        <w:jc w:val="left"/>
        <w:rPr>
          <w:sz w:val="20"/>
        </w:rPr>
      </w:pPr>
      <w:hyperlink w:history="true" w:anchor="_bookmark1156">
        <w:r>
          <w:rPr>
            <w:color w:val="005DA1"/>
            <w:spacing w:val="-4"/>
            <w:position w:val="5"/>
            <w:sz w:val="14"/>
            <w:u w:val="single" w:color="005DA1"/>
          </w:rPr>
          <w:t>618</w:t>
        </w:r>
      </w:hyperlink>
      <w:r>
        <w:rPr>
          <w:spacing w:val="-4"/>
          <w:position w:val="5"/>
          <w:sz w:val="14"/>
        </w:rPr>
        <w:t>.</w:t>
      </w:r>
      <w:r>
        <w:rPr>
          <w:position w:val="5"/>
          <w:sz w:val="14"/>
        </w:rPr>
        <w:tab/>
      </w:r>
      <w:r>
        <w:rPr>
          <w:rFonts w:ascii="Arial"/>
          <w:i/>
          <w:sz w:val="20"/>
        </w:rPr>
        <w:t>[2006] EWCA Civ 374</w:t>
      </w:r>
      <w:r>
        <w:rPr>
          <w:rFonts w:ascii="Arial"/>
          <w:i/>
          <w:spacing w:val="-1"/>
          <w:sz w:val="20"/>
        </w:rPr>
        <w:t> </w:t>
      </w:r>
      <w:r>
        <w:rPr>
          <w:sz w:val="20"/>
        </w:rPr>
        <w:t>at </w:t>
      </w:r>
      <w:r>
        <w:rPr>
          <w:spacing w:val="-2"/>
          <w:sz w:val="20"/>
        </w:rPr>
        <w:t>[20].</w:t>
      </w:r>
    </w:p>
    <w:p>
      <w:pPr>
        <w:pStyle w:val="BodyText"/>
        <w:spacing w:before="9"/>
      </w:pPr>
    </w:p>
    <w:p>
      <w:pPr>
        <w:spacing w:line="235" w:lineRule="auto" w:before="0"/>
        <w:ind w:left="705" w:right="168" w:hanging="541"/>
        <w:jc w:val="both"/>
        <w:rPr>
          <w:rFonts w:ascii="Arial"/>
          <w:i/>
          <w:sz w:val="20"/>
        </w:rPr>
      </w:pPr>
      <w:bookmarkStart w:name="_bookmark1205" w:id="1207"/>
      <w:bookmarkEnd w:id="1207"/>
      <w:r>
        <w:rPr/>
      </w:r>
      <w:hyperlink w:history="true" w:anchor="_bookmark1157">
        <w:r>
          <w:rPr>
            <w:color w:val="005DA1"/>
            <w:position w:val="5"/>
            <w:sz w:val="14"/>
            <w:u w:val="single" w:color="005DA1"/>
          </w:rPr>
          <w:t>619</w:t>
        </w:r>
      </w:hyperlink>
      <w:r>
        <w:rPr>
          <w:position w:val="5"/>
          <w:sz w:val="14"/>
        </w:rPr>
        <w:t>.</w:t>
      </w:r>
      <w:r>
        <w:rPr>
          <w:spacing w:val="40"/>
          <w:position w:val="5"/>
          <w:sz w:val="14"/>
        </w:rPr>
        <w:t>  </w:t>
      </w:r>
      <w:r>
        <w:rPr>
          <w:rFonts w:ascii="Arial"/>
          <w:i/>
          <w:sz w:val="20"/>
        </w:rPr>
        <w:t>Lindsay Petroleum Co v Hurd (1874) L.R. 5 P.C. 221</w:t>
      </w:r>
      <w:r>
        <w:rPr>
          <w:sz w:val="20"/>
        </w:rPr>
        <w:t>; </w:t>
      </w:r>
      <w:r>
        <w:rPr>
          <w:rFonts w:ascii="Arial"/>
          <w:i/>
          <w:sz w:val="20"/>
        </w:rPr>
        <w:t>Erlanger v New Sombrero Phosphate Co (1878)</w:t>
      </w:r>
      <w:r>
        <w:rPr>
          <w:rFonts w:ascii="Arial"/>
          <w:i/>
          <w:spacing w:val="-1"/>
          <w:sz w:val="20"/>
        </w:rPr>
        <w:t> </w:t>
      </w:r>
      <w:r>
        <w:rPr>
          <w:rFonts w:ascii="Arial"/>
          <w:i/>
          <w:sz w:val="20"/>
        </w:rPr>
        <w:t>3 App. Cas. 1218</w:t>
      </w:r>
      <w:r>
        <w:rPr>
          <w:sz w:val="20"/>
        </w:rPr>
        <w:t>; </w:t>
      </w:r>
      <w:r>
        <w:rPr>
          <w:rFonts w:ascii="Arial"/>
          <w:i/>
          <w:sz w:val="20"/>
        </w:rPr>
        <w:t>Clough v L. &amp; N.W. Ry</w:t>
      </w:r>
      <w:r>
        <w:rPr>
          <w:rFonts w:ascii="Arial"/>
          <w:i/>
          <w:spacing w:val="-1"/>
          <w:sz w:val="20"/>
        </w:rPr>
        <w:t> </w:t>
      </w:r>
      <w:r>
        <w:rPr>
          <w:rFonts w:ascii="Arial"/>
          <w:i/>
          <w:sz w:val="20"/>
        </w:rPr>
        <w:t>(1871) L.R. 7 Ex. 26, 35</w:t>
      </w:r>
      <w:r>
        <w:rPr>
          <w:sz w:val="20"/>
        </w:rPr>
        <w:t>; </w:t>
      </w:r>
      <w:r>
        <w:rPr>
          <w:rFonts w:ascii="Arial"/>
          <w:i/>
          <w:sz w:val="20"/>
        </w:rPr>
        <w:t>Oelkers v Ellis </w:t>
      </w:r>
      <w:r>
        <w:rPr>
          <w:rFonts w:ascii="Arial"/>
          <w:i/>
          <w:spacing w:val="-2"/>
          <w:sz w:val="20"/>
        </w:rPr>
        <w:t>[1914]</w:t>
      </w:r>
    </w:p>
    <w:p>
      <w:pPr>
        <w:spacing w:line="223" w:lineRule="exact" w:before="0"/>
        <w:ind w:left="705" w:right="0" w:firstLine="0"/>
        <w:jc w:val="both"/>
        <w:rPr>
          <w:rFonts w:ascii="Arial"/>
          <w:i/>
          <w:sz w:val="20"/>
        </w:rPr>
      </w:pPr>
      <w:r>
        <w:rPr>
          <w:rFonts w:ascii="Arial"/>
          <w:i/>
          <w:sz w:val="20"/>
        </w:rPr>
        <w:t>2</w:t>
      </w:r>
      <w:r>
        <w:rPr>
          <w:rFonts w:ascii="Arial"/>
          <w:i/>
          <w:spacing w:val="4"/>
          <w:sz w:val="20"/>
        </w:rPr>
        <w:t> </w:t>
      </w:r>
      <w:r>
        <w:rPr>
          <w:rFonts w:ascii="Arial"/>
          <w:i/>
          <w:sz w:val="20"/>
        </w:rPr>
        <w:t>K.B.</w:t>
      </w:r>
      <w:r>
        <w:rPr>
          <w:rFonts w:ascii="Arial"/>
          <w:i/>
          <w:spacing w:val="5"/>
          <w:sz w:val="20"/>
        </w:rPr>
        <w:t> </w:t>
      </w:r>
      <w:r>
        <w:rPr>
          <w:rFonts w:ascii="Arial"/>
          <w:i/>
          <w:sz w:val="20"/>
        </w:rPr>
        <w:t>139</w:t>
      </w:r>
      <w:r>
        <w:rPr>
          <w:sz w:val="20"/>
        </w:rPr>
        <w:t>;</w:t>
      </w:r>
      <w:r>
        <w:rPr>
          <w:spacing w:val="5"/>
          <w:sz w:val="20"/>
        </w:rPr>
        <w:t> </w:t>
      </w:r>
      <w:r>
        <w:rPr>
          <w:rFonts w:ascii="Arial"/>
          <w:i/>
          <w:sz w:val="20"/>
        </w:rPr>
        <w:t>Armstrong</w:t>
      </w:r>
      <w:r>
        <w:rPr>
          <w:rFonts w:ascii="Arial"/>
          <w:i/>
          <w:spacing w:val="5"/>
          <w:sz w:val="20"/>
        </w:rPr>
        <w:t> </w:t>
      </w:r>
      <w:r>
        <w:rPr>
          <w:rFonts w:ascii="Arial"/>
          <w:i/>
          <w:sz w:val="20"/>
        </w:rPr>
        <w:t>v</w:t>
      </w:r>
      <w:r>
        <w:rPr>
          <w:rFonts w:ascii="Arial"/>
          <w:i/>
          <w:spacing w:val="5"/>
          <w:sz w:val="20"/>
        </w:rPr>
        <w:t> </w:t>
      </w:r>
      <w:r>
        <w:rPr>
          <w:rFonts w:ascii="Arial"/>
          <w:i/>
          <w:sz w:val="20"/>
        </w:rPr>
        <w:t>Jackson</w:t>
      </w:r>
      <w:r>
        <w:rPr>
          <w:rFonts w:ascii="Arial"/>
          <w:i/>
          <w:spacing w:val="5"/>
          <w:sz w:val="20"/>
        </w:rPr>
        <w:t> </w:t>
      </w:r>
      <w:r>
        <w:rPr>
          <w:rFonts w:ascii="Arial"/>
          <w:i/>
          <w:sz w:val="20"/>
        </w:rPr>
        <w:t>[1917]</w:t>
      </w:r>
      <w:r>
        <w:rPr>
          <w:rFonts w:ascii="Arial"/>
          <w:i/>
          <w:spacing w:val="5"/>
          <w:sz w:val="20"/>
        </w:rPr>
        <w:t> </w:t>
      </w:r>
      <w:r>
        <w:rPr>
          <w:rFonts w:ascii="Arial"/>
          <w:i/>
          <w:sz w:val="20"/>
        </w:rPr>
        <w:t>2</w:t>
      </w:r>
      <w:r>
        <w:rPr>
          <w:rFonts w:ascii="Arial"/>
          <w:i/>
          <w:spacing w:val="5"/>
          <w:sz w:val="20"/>
        </w:rPr>
        <w:t> </w:t>
      </w:r>
      <w:r>
        <w:rPr>
          <w:rFonts w:ascii="Arial"/>
          <w:i/>
          <w:sz w:val="20"/>
        </w:rPr>
        <w:t>K.B.</w:t>
      </w:r>
      <w:r>
        <w:rPr>
          <w:rFonts w:ascii="Arial"/>
          <w:i/>
          <w:spacing w:val="4"/>
          <w:sz w:val="20"/>
        </w:rPr>
        <w:t> </w:t>
      </w:r>
      <w:r>
        <w:rPr>
          <w:rFonts w:ascii="Arial"/>
          <w:i/>
          <w:sz w:val="20"/>
        </w:rPr>
        <w:t>822</w:t>
      </w:r>
      <w:r>
        <w:rPr>
          <w:sz w:val="20"/>
        </w:rPr>
        <w:t>;</w:t>
      </w:r>
      <w:r>
        <w:rPr>
          <w:spacing w:val="5"/>
          <w:sz w:val="20"/>
        </w:rPr>
        <w:t> </w:t>
      </w:r>
      <w:r>
        <w:rPr>
          <w:rFonts w:ascii="Arial"/>
          <w:i/>
          <w:sz w:val="20"/>
        </w:rPr>
        <w:t>Leaf</w:t>
      </w:r>
      <w:r>
        <w:rPr>
          <w:rFonts w:ascii="Arial"/>
          <w:i/>
          <w:spacing w:val="5"/>
          <w:sz w:val="20"/>
        </w:rPr>
        <w:t> </w:t>
      </w:r>
      <w:r>
        <w:rPr>
          <w:rFonts w:ascii="Arial"/>
          <w:i/>
          <w:sz w:val="20"/>
        </w:rPr>
        <w:t>v</w:t>
      </w:r>
      <w:r>
        <w:rPr>
          <w:rFonts w:ascii="Arial"/>
          <w:i/>
          <w:spacing w:val="5"/>
          <w:sz w:val="20"/>
        </w:rPr>
        <w:t> </w:t>
      </w:r>
      <w:r>
        <w:rPr>
          <w:rFonts w:ascii="Arial"/>
          <w:i/>
          <w:sz w:val="20"/>
        </w:rPr>
        <w:t>International</w:t>
      </w:r>
      <w:r>
        <w:rPr>
          <w:rFonts w:ascii="Arial"/>
          <w:i/>
          <w:spacing w:val="5"/>
          <w:sz w:val="20"/>
        </w:rPr>
        <w:t> </w:t>
      </w:r>
      <w:r>
        <w:rPr>
          <w:rFonts w:ascii="Arial"/>
          <w:i/>
          <w:sz w:val="20"/>
        </w:rPr>
        <w:t>Galleries</w:t>
      </w:r>
      <w:r>
        <w:rPr>
          <w:rFonts w:ascii="Arial"/>
          <w:i/>
          <w:spacing w:val="5"/>
          <w:sz w:val="20"/>
        </w:rPr>
        <w:t> </w:t>
      </w:r>
      <w:r>
        <w:rPr>
          <w:rFonts w:ascii="Arial"/>
          <w:i/>
          <w:sz w:val="20"/>
        </w:rPr>
        <w:t>[1950]</w:t>
      </w:r>
      <w:r>
        <w:rPr>
          <w:rFonts w:ascii="Arial"/>
          <w:i/>
          <w:spacing w:val="5"/>
          <w:sz w:val="20"/>
        </w:rPr>
        <w:t> </w:t>
      </w:r>
      <w:r>
        <w:rPr>
          <w:rFonts w:ascii="Arial"/>
          <w:i/>
          <w:sz w:val="20"/>
        </w:rPr>
        <w:t>2</w:t>
      </w:r>
      <w:r>
        <w:rPr>
          <w:rFonts w:ascii="Arial"/>
          <w:i/>
          <w:spacing w:val="5"/>
          <w:sz w:val="20"/>
        </w:rPr>
        <w:t> </w:t>
      </w:r>
      <w:r>
        <w:rPr>
          <w:rFonts w:ascii="Arial"/>
          <w:i/>
          <w:spacing w:val="-4"/>
          <w:sz w:val="20"/>
        </w:rPr>
        <w:t>K.B.</w:t>
      </w:r>
    </w:p>
    <w:p>
      <w:pPr>
        <w:spacing w:line="235" w:lineRule="auto" w:before="1"/>
        <w:ind w:left="705" w:right="167" w:firstLine="0"/>
        <w:jc w:val="both"/>
        <w:rPr>
          <w:sz w:val="20"/>
        </w:rPr>
      </w:pPr>
      <w:r>
        <w:rPr>
          <w:rFonts w:ascii="Arial" w:hAnsi="Arial"/>
          <w:i/>
          <w:sz w:val="20"/>
        </w:rPr>
        <w:t>86</w:t>
      </w:r>
      <w:r>
        <w:rPr>
          <w:sz w:val="20"/>
        </w:rPr>
        <w:t>; </w:t>
      </w:r>
      <w:r>
        <w:rPr>
          <w:rFonts w:ascii="Arial" w:hAnsi="Arial"/>
          <w:i/>
          <w:sz w:val="20"/>
        </w:rPr>
        <w:t>Argo Systems FZE v Liberty Insurance Pte Ltd [2011] EWHC 301 (Comm), [2011] 2 Lloyd’s Rep. 61 </w:t>
      </w:r>
      <w:r>
        <w:rPr>
          <w:sz w:val="20"/>
        </w:rPr>
        <w:t>at [40]. The Court of Appeal held that the representation must be unequivocal and </w:t>
      </w:r>
      <w:r>
        <w:rPr>
          <w:sz w:val="20"/>
        </w:rPr>
        <w:t>on the facts it was not: </w:t>
      </w:r>
      <w:r>
        <w:rPr>
          <w:rFonts w:ascii="Arial" w:hAnsi="Arial"/>
          <w:i/>
          <w:sz w:val="20"/>
        </w:rPr>
        <w:t>[2011] EWCA Civ 1572, [2012] Lloyd’s Rep. I.R. 67 </w:t>
      </w:r>
      <w:r>
        <w:rPr>
          <w:sz w:val="20"/>
        </w:rPr>
        <w:t>at [41], [50].</w:t>
      </w:r>
    </w:p>
    <w:p>
      <w:pPr>
        <w:pStyle w:val="BodyText"/>
        <w:spacing w:before="5"/>
      </w:pPr>
    </w:p>
    <w:p>
      <w:pPr>
        <w:tabs>
          <w:tab w:pos="705" w:val="left" w:leader="none"/>
        </w:tabs>
        <w:spacing w:before="0"/>
        <w:ind w:left="165" w:right="0" w:firstLine="0"/>
        <w:jc w:val="left"/>
        <w:rPr>
          <w:sz w:val="20"/>
        </w:rPr>
      </w:pPr>
      <w:bookmarkStart w:name="_bookmark1206" w:id="1208"/>
      <w:bookmarkEnd w:id="1208"/>
      <w:r>
        <w:rPr/>
      </w:r>
      <w:hyperlink w:history="true" w:anchor="_bookmark1158">
        <w:r>
          <w:rPr>
            <w:color w:val="005DA1"/>
            <w:spacing w:val="-4"/>
            <w:position w:val="5"/>
            <w:sz w:val="14"/>
            <w:u w:val="single" w:color="005DA1"/>
          </w:rPr>
          <w:t>620</w:t>
        </w:r>
      </w:hyperlink>
      <w:r>
        <w:rPr>
          <w:spacing w:val="-4"/>
          <w:position w:val="5"/>
          <w:sz w:val="14"/>
        </w:rPr>
        <w:t>.</w:t>
      </w:r>
      <w:r>
        <w:rPr>
          <w:position w:val="5"/>
          <w:sz w:val="14"/>
        </w:rPr>
        <w:tab/>
      </w:r>
      <w:r>
        <w:rPr>
          <w:rFonts w:ascii="Arial"/>
          <w:i/>
          <w:sz w:val="20"/>
        </w:rPr>
        <w:t>(1871) L.R. 7 Ex. 26, 34, </w:t>
      </w:r>
      <w:r>
        <w:rPr>
          <w:rFonts w:ascii="Arial"/>
          <w:i/>
          <w:spacing w:val="-5"/>
          <w:sz w:val="20"/>
        </w:rPr>
        <w:t>35</w:t>
      </w:r>
      <w:r>
        <w:rPr>
          <w:spacing w:val="-5"/>
          <w:sz w:val="20"/>
        </w:rPr>
        <w:t>.</w:t>
      </w:r>
    </w:p>
    <w:p>
      <w:pPr>
        <w:pStyle w:val="BodyText"/>
        <w:spacing w:before="9"/>
      </w:pPr>
    </w:p>
    <w:p>
      <w:pPr>
        <w:spacing w:line="235" w:lineRule="auto" w:before="0"/>
        <w:ind w:left="705" w:right="168" w:hanging="541"/>
        <w:jc w:val="both"/>
        <w:rPr>
          <w:sz w:val="20"/>
        </w:rPr>
      </w:pPr>
      <w:bookmarkStart w:name="_bookmark1207" w:id="1209"/>
      <w:bookmarkEnd w:id="1209"/>
      <w:r>
        <w:rPr/>
      </w:r>
      <w:hyperlink w:history="true" w:anchor="_bookmark1159">
        <w:r>
          <w:rPr>
            <w:color w:val="005DA1"/>
            <w:position w:val="5"/>
            <w:sz w:val="14"/>
            <w:u w:val="single" w:color="005DA1"/>
          </w:rPr>
          <w:t>621</w:t>
        </w:r>
      </w:hyperlink>
      <w:r>
        <w:rPr>
          <w:position w:val="5"/>
          <w:sz w:val="14"/>
        </w:rPr>
        <w:t>.</w:t>
      </w:r>
      <w:r>
        <w:rPr>
          <w:spacing w:val="80"/>
          <w:position w:val="5"/>
          <w:sz w:val="14"/>
        </w:rPr>
        <w:t>  </w:t>
      </w:r>
      <w:r>
        <w:rPr>
          <w:rFonts w:ascii="Arial" w:hAnsi="Arial"/>
          <w:i/>
          <w:sz w:val="20"/>
        </w:rPr>
        <w:t>Taite’s Case (1867) L.R. 3 Eq. 795</w:t>
      </w:r>
      <w:r>
        <w:rPr>
          <w:sz w:val="20"/>
        </w:rPr>
        <w:t>; </w:t>
      </w:r>
      <w:r>
        <w:rPr>
          <w:rFonts w:ascii="Arial" w:hAnsi="Arial"/>
          <w:i/>
          <w:sz w:val="20"/>
        </w:rPr>
        <w:t>Sharpley v Louth and East Coast Ry (1876) 2 Ch. D. 663</w:t>
      </w:r>
      <w:r>
        <w:rPr>
          <w:sz w:val="20"/>
        </w:rPr>
        <w:t>; </w:t>
      </w:r>
      <w:r>
        <w:rPr>
          <w:rFonts w:ascii="Arial" w:hAnsi="Arial"/>
          <w:i/>
          <w:sz w:val="20"/>
        </w:rPr>
        <w:t>Re Scottish Petroleum Co (1883) 23 Ch. D. 413</w:t>
      </w:r>
      <w:r>
        <w:rPr>
          <w:sz w:val="20"/>
        </w:rPr>
        <w:t>; </w:t>
      </w:r>
      <w:r>
        <w:rPr>
          <w:rFonts w:ascii="Arial" w:hAnsi="Arial"/>
          <w:i/>
          <w:sz w:val="20"/>
        </w:rPr>
        <w:t>Aaron’s Reefs Ltd v Twiss [1896] A.C. </w:t>
      </w:r>
      <w:r>
        <w:rPr>
          <w:rFonts w:ascii="Arial" w:hAnsi="Arial"/>
          <w:i/>
          <w:sz w:val="20"/>
        </w:rPr>
        <w:t>273, 294</w:t>
      </w:r>
      <w:r>
        <w:rPr>
          <w:sz w:val="20"/>
        </w:rPr>
        <w:t>; </w:t>
      </w:r>
      <w:r>
        <w:rPr>
          <w:rFonts w:ascii="Arial" w:hAnsi="Arial"/>
          <w:i/>
          <w:sz w:val="20"/>
        </w:rPr>
        <w:t>Taylor v Oil and Ozokerite Co (1913) 29 T.L.R. 515</w:t>
      </w:r>
      <w:r>
        <w:rPr>
          <w:sz w:val="20"/>
        </w:rPr>
        <w:t>; </w:t>
      </w:r>
      <w:r>
        <w:rPr>
          <w:rFonts w:ascii="Arial" w:hAnsi="Arial"/>
          <w:i/>
          <w:sz w:val="20"/>
        </w:rPr>
        <w:t>First National Reinsurance Co Ltd v Greenfield [1921] 2 K.B. 260</w:t>
      </w:r>
      <w:r>
        <w:rPr>
          <w:sz w:val="20"/>
        </w:rPr>
        <w:t>.</w:t>
      </w:r>
    </w:p>
    <w:p>
      <w:pPr>
        <w:pStyle w:val="BodyText"/>
        <w:spacing w:before="4"/>
      </w:pPr>
    </w:p>
    <w:p>
      <w:pPr>
        <w:tabs>
          <w:tab w:pos="705" w:val="left" w:leader="none"/>
        </w:tabs>
        <w:spacing w:before="1"/>
        <w:ind w:left="165" w:right="0" w:firstLine="0"/>
        <w:jc w:val="left"/>
        <w:rPr>
          <w:sz w:val="20"/>
        </w:rPr>
      </w:pPr>
      <w:bookmarkStart w:name="_bookmark1208" w:id="1210"/>
      <w:bookmarkEnd w:id="1210"/>
      <w:r>
        <w:rPr/>
      </w:r>
      <w:hyperlink w:history="true" w:anchor="_bookmark1160">
        <w:r>
          <w:rPr>
            <w:color w:val="005DA1"/>
            <w:spacing w:val="-4"/>
            <w:position w:val="5"/>
            <w:sz w:val="14"/>
            <w:u w:val="single" w:color="005DA1"/>
          </w:rPr>
          <w:t>622</w:t>
        </w:r>
      </w:hyperlink>
      <w:r>
        <w:rPr>
          <w:spacing w:val="-4"/>
          <w:position w:val="5"/>
          <w:sz w:val="14"/>
        </w:rPr>
        <w:t>.</w:t>
      </w:r>
      <w:r>
        <w:rPr>
          <w:position w:val="5"/>
          <w:sz w:val="14"/>
        </w:rPr>
        <w:tab/>
      </w:r>
      <w:r>
        <w:rPr>
          <w:rFonts w:ascii="Arial"/>
          <w:i/>
          <w:sz w:val="20"/>
        </w:rPr>
        <w:t>Oakes v Turquand (1867) L.R. 2 H.L. </w:t>
      </w:r>
      <w:r>
        <w:rPr>
          <w:rFonts w:ascii="Arial"/>
          <w:i/>
          <w:spacing w:val="-4"/>
          <w:sz w:val="20"/>
        </w:rPr>
        <w:t>325</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1209" w:id="1211"/>
      <w:bookmarkEnd w:id="1211"/>
      <w:r>
        <w:rPr/>
      </w:r>
      <w:hyperlink w:history="true" w:anchor="_bookmark1161">
        <w:r>
          <w:rPr>
            <w:color w:val="005DA1"/>
            <w:spacing w:val="-4"/>
            <w:position w:val="5"/>
            <w:sz w:val="14"/>
            <w:u w:val="single" w:color="005DA1"/>
          </w:rPr>
          <w:t>623</w:t>
        </w:r>
      </w:hyperlink>
      <w:r>
        <w:rPr>
          <w:spacing w:val="-4"/>
          <w:position w:val="5"/>
          <w:sz w:val="14"/>
        </w:rPr>
        <w:t>.</w:t>
      </w:r>
      <w:r>
        <w:rPr>
          <w:position w:val="5"/>
          <w:sz w:val="14"/>
        </w:rPr>
        <w:tab/>
      </w:r>
      <w:r>
        <w:rPr>
          <w:rFonts w:ascii="Arial" w:hAnsi="Arial"/>
          <w:i/>
          <w:sz w:val="20"/>
        </w:rPr>
        <w:t>Aaron’s Reefs Ltd v Twiss [1896] A.C. 273, 287</w:t>
      </w:r>
      <w:r>
        <w:rPr>
          <w:sz w:val="20"/>
        </w:rPr>
        <w:t>; </w:t>
      </w:r>
      <w:r>
        <w:rPr>
          <w:rFonts w:ascii="Arial" w:hAnsi="Arial"/>
          <w:i/>
          <w:sz w:val="20"/>
        </w:rPr>
        <w:t>Armstrong v Jackson [1917] 2 K.B. 822</w:t>
      </w:r>
      <w:r>
        <w:rPr>
          <w:sz w:val="20"/>
        </w:rPr>
        <w:t>; and</w:t>
      </w:r>
      <w:r>
        <w:rPr>
          <w:spacing w:val="40"/>
          <w:sz w:val="20"/>
        </w:rPr>
        <w:t> </w:t>
      </w:r>
      <w:r>
        <w:rPr>
          <w:sz w:val="20"/>
        </w:rPr>
        <w:t>see above, para.7-133.</w:t>
      </w:r>
    </w:p>
    <w:p>
      <w:pPr>
        <w:pStyle w:val="BodyText"/>
        <w:spacing w:before="10"/>
      </w:pPr>
    </w:p>
    <w:p>
      <w:pPr>
        <w:pStyle w:val="BodyText"/>
        <w:spacing w:line="235" w:lineRule="auto"/>
        <w:ind w:left="705" w:right="167" w:hanging="541"/>
        <w:jc w:val="both"/>
      </w:pPr>
      <w:bookmarkStart w:name="_bookmark1210" w:id="1212"/>
      <w:bookmarkEnd w:id="1212"/>
      <w:r>
        <w:rPr/>
      </w:r>
      <w:hyperlink w:history="true" w:anchor="_bookmark1162">
        <w:r>
          <w:rPr>
            <w:color w:val="005DA1"/>
            <w:position w:val="5"/>
            <w:sz w:val="14"/>
            <w:u w:val="single" w:color="005DA1"/>
          </w:rPr>
          <w:t>624</w:t>
        </w:r>
      </w:hyperlink>
      <w:r>
        <w:rPr>
          <w:position w:val="5"/>
          <w:sz w:val="14"/>
        </w:rPr>
        <w:t>.</w:t>
      </w:r>
      <w:r>
        <w:rPr>
          <w:spacing w:val="40"/>
          <w:position w:val="5"/>
          <w:sz w:val="14"/>
        </w:rPr>
        <w:t>  </w:t>
      </w:r>
      <w:r>
        <w:rPr>
          <w:rFonts w:ascii="Arial" w:hAnsi="Arial"/>
          <w:i/>
        </w:rPr>
        <w:t>[1950]</w:t>
      </w:r>
      <w:r>
        <w:rPr>
          <w:rFonts w:ascii="Arial" w:hAnsi="Arial"/>
          <w:i/>
          <w:spacing w:val="40"/>
        </w:rPr>
        <w:t> </w:t>
      </w:r>
      <w:r>
        <w:rPr>
          <w:rFonts w:ascii="Arial" w:hAnsi="Arial"/>
          <w:i/>
        </w:rPr>
        <w:t>2</w:t>
      </w:r>
      <w:r>
        <w:rPr>
          <w:rFonts w:ascii="Arial" w:hAnsi="Arial"/>
          <w:i/>
          <w:spacing w:val="40"/>
        </w:rPr>
        <w:t> </w:t>
      </w:r>
      <w:r>
        <w:rPr>
          <w:rFonts w:ascii="Arial" w:hAnsi="Arial"/>
          <w:i/>
        </w:rPr>
        <w:t>K.B.</w:t>
      </w:r>
      <w:r>
        <w:rPr>
          <w:rFonts w:ascii="Arial" w:hAnsi="Arial"/>
          <w:i/>
          <w:spacing w:val="40"/>
        </w:rPr>
        <w:t> </w:t>
      </w:r>
      <w:r>
        <w:rPr>
          <w:rFonts w:ascii="Arial" w:hAnsi="Arial"/>
          <w:i/>
        </w:rPr>
        <w:t>86</w:t>
      </w:r>
      <w:r>
        <w:rPr/>
        <w:t>.</w:t>
      </w:r>
      <w:r>
        <w:rPr>
          <w:spacing w:val="40"/>
        </w:rPr>
        <w:t> </w:t>
      </w:r>
      <w:r>
        <w:rPr/>
        <w:t>Denning</w:t>
      </w:r>
      <w:r>
        <w:rPr>
          <w:spacing w:val="40"/>
        </w:rPr>
        <w:t> </w:t>
      </w:r>
      <w:r>
        <w:rPr/>
        <w:t>L.J.</w:t>
      </w:r>
      <w:r>
        <w:rPr>
          <w:spacing w:val="40"/>
        </w:rPr>
        <w:t> </w:t>
      </w:r>
      <w:r>
        <w:rPr/>
        <w:t>and</w:t>
      </w:r>
      <w:r>
        <w:rPr>
          <w:spacing w:val="40"/>
        </w:rPr>
        <w:t> </w:t>
      </w:r>
      <w:r>
        <w:rPr/>
        <w:t>Lord</w:t>
      </w:r>
      <w:r>
        <w:rPr>
          <w:spacing w:val="40"/>
        </w:rPr>
        <w:t> </w:t>
      </w:r>
      <w:r>
        <w:rPr/>
        <w:t>Evershed</w:t>
      </w:r>
      <w:r>
        <w:rPr>
          <w:spacing w:val="40"/>
        </w:rPr>
        <w:t> </w:t>
      </w:r>
      <w:r>
        <w:rPr/>
        <w:t>M.R.</w:t>
      </w:r>
      <w:r>
        <w:rPr>
          <w:spacing w:val="40"/>
        </w:rPr>
        <w:t> </w:t>
      </w:r>
      <w:r>
        <w:rPr/>
        <w:t>said</w:t>
      </w:r>
      <w:r>
        <w:rPr>
          <w:spacing w:val="40"/>
        </w:rPr>
        <w:t> </w:t>
      </w:r>
      <w:r>
        <w:rPr/>
        <w:t>that</w:t>
      </w:r>
      <w:r>
        <w:rPr>
          <w:spacing w:val="40"/>
        </w:rPr>
        <w:t> </w:t>
      </w:r>
      <w:r>
        <w:rPr/>
        <w:t>the</w:t>
      </w:r>
      <w:r>
        <w:rPr>
          <w:spacing w:val="40"/>
        </w:rPr>
        <w:t> </w:t>
      </w:r>
      <w:r>
        <w:rPr/>
        <w:t>right</w:t>
      </w:r>
      <w:r>
        <w:rPr>
          <w:spacing w:val="40"/>
        </w:rPr>
        <w:t> </w:t>
      </w:r>
      <w:r>
        <w:rPr/>
        <w:t>to</w:t>
      </w:r>
      <w:r>
        <w:rPr>
          <w:spacing w:val="40"/>
        </w:rPr>
        <w:t> </w:t>
      </w:r>
      <w:r>
        <w:rPr/>
        <w:t>rescind</w:t>
      </w:r>
      <w:r>
        <w:rPr>
          <w:spacing w:val="40"/>
        </w:rPr>
        <w:t> </w:t>
      </w:r>
      <w:r>
        <w:rPr/>
        <w:t>for innocent misrepresentation must be barred if a right to reject for breach of condition would be barred by acceptance. It is not clear that a strictly analogous rule applies to rescission for innocent misrepresentation. It seemed doubtful when the courts held that the right to reject for breach of condition might be lost by acceptance after a matter of weeks: </w:t>
      </w:r>
      <w:r>
        <w:rPr>
          <w:rFonts w:ascii="Arial" w:hAnsi="Arial"/>
          <w:i/>
        </w:rPr>
        <w:t>Bernstein v Pamson Motors (Golders Green) Ltd [1987] 2 All E.R. 220</w:t>
      </w:r>
      <w:r>
        <w:rPr/>
        <w:t>; but subsequent decisions such as that of the Court of Appeal in </w:t>
      </w:r>
      <w:r>
        <w:rPr>
          <w:rFonts w:ascii="Arial" w:hAnsi="Arial"/>
          <w:i/>
        </w:rPr>
        <w:t>Clegg v Andersson [2003] EWCA Civ 320, [2003] 2 Lloyd’s Rep. 32</w:t>
      </w:r>
      <w:r>
        <w:rPr/>
        <w:t>, seem much more generous (below, para.44-284) and an analogous approach might still be applied to loss of the right to rescind for misrepresentation.</w:t>
      </w:r>
    </w:p>
    <w:p>
      <w:pPr>
        <w:pStyle w:val="BodyText"/>
        <w:spacing w:before="2"/>
      </w:pPr>
    </w:p>
    <w:p>
      <w:pPr>
        <w:pStyle w:val="BodyText"/>
        <w:tabs>
          <w:tab w:pos="705" w:val="left" w:leader="none"/>
        </w:tabs>
        <w:spacing w:before="1"/>
        <w:ind w:left="165"/>
      </w:pPr>
      <w:bookmarkStart w:name="_bookmark1211" w:id="1213"/>
      <w:bookmarkEnd w:id="1213"/>
      <w:r>
        <w:rPr/>
      </w:r>
      <w:hyperlink w:history="true" w:anchor="_bookmark1163">
        <w:r>
          <w:rPr>
            <w:color w:val="005DA1"/>
            <w:spacing w:val="-4"/>
            <w:position w:val="5"/>
            <w:sz w:val="14"/>
            <w:u w:val="single" w:color="005DA1"/>
          </w:rPr>
          <w:t>625</w:t>
        </w:r>
      </w:hyperlink>
      <w:r>
        <w:rPr>
          <w:spacing w:val="-4"/>
          <w:position w:val="5"/>
          <w:sz w:val="14"/>
        </w:rPr>
        <w:t>.</w:t>
      </w:r>
      <w:r>
        <w:rPr>
          <w:position w:val="5"/>
          <w:sz w:val="14"/>
        </w:rPr>
        <w:tab/>
      </w:r>
      <w:r>
        <w:rPr/>
        <w:t>See above, para.7-133 </w:t>
      </w:r>
      <w:r>
        <w:rPr>
          <w:spacing w:val="-2"/>
        </w:rPr>
        <w:t>n.598.</w:t>
      </w:r>
    </w:p>
    <w:p>
      <w:pPr>
        <w:pStyle w:val="BodyText"/>
        <w:spacing w:before="4"/>
      </w:pPr>
    </w:p>
    <w:p>
      <w:pPr>
        <w:tabs>
          <w:tab w:pos="705" w:val="left" w:leader="none"/>
        </w:tabs>
        <w:spacing w:line="227" w:lineRule="exact" w:before="1"/>
        <w:ind w:left="165" w:right="0" w:firstLine="0"/>
        <w:jc w:val="left"/>
        <w:rPr>
          <w:sz w:val="20"/>
        </w:rPr>
      </w:pPr>
      <w:bookmarkStart w:name="_bookmark1212" w:id="1214"/>
      <w:bookmarkEnd w:id="1214"/>
      <w:r>
        <w:rPr/>
      </w:r>
      <w:hyperlink w:history="true" w:anchor="_bookmark1164">
        <w:r>
          <w:rPr>
            <w:color w:val="005DA1"/>
            <w:spacing w:val="-4"/>
            <w:position w:val="5"/>
            <w:sz w:val="14"/>
            <w:u w:val="single" w:color="005DA1"/>
          </w:rPr>
          <w:t>626</w:t>
        </w:r>
      </w:hyperlink>
      <w:r>
        <w:rPr>
          <w:spacing w:val="-4"/>
          <w:position w:val="5"/>
          <w:sz w:val="14"/>
        </w:rPr>
        <w:t>.</w:t>
      </w:r>
      <w:r>
        <w:rPr>
          <w:position w:val="5"/>
          <w:sz w:val="14"/>
        </w:rPr>
        <w:tab/>
      </w:r>
      <w:r>
        <w:rPr>
          <w:rFonts w:ascii="Arial"/>
          <w:i/>
          <w:sz w:val="20"/>
        </w:rPr>
        <w:t>Salt</w:t>
      </w:r>
      <w:r>
        <w:rPr>
          <w:rFonts w:ascii="Arial"/>
          <w:i/>
          <w:spacing w:val="7"/>
          <w:sz w:val="20"/>
        </w:rPr>
        <w:t> </w:t>
      </w:r>
      <w:r>
        <w:rPr>
          <w:rFonts w:ascii="Arial"/>
          <w:i/>
          <w:sz w:val="20"/>
        </w:rPr>
        <w:t>v</w:t>
      </w:r>
      <w:r>
        <w:rPr>
          <w:rFonts w:ascii="Arial"/>
          <w:i/>
          <w:spacing w:val="7"/>
          <w:sz w:val="20"/>
        </w:rPr>
        <w:t> </w:t>
      </w:r>
      <w:r>
        <w:rPr>
          <w:rFonts w:ascii="Arial"/>
          <w:i/>
          <w:sz w:val="20"/>
        </w:rPr>
        <w:t>Stratstone</w:t>
      </w:r>
      <w:r>
        <w:rPr>
          <w:rFonts w:ascii="Arial"/>
          <w:i/>
          <w:spacing w:val="7"/>
          <w:sz w:val="20"/>
        </w:rPr>
        <w:t> </w:t>
      </w:r>
      <w:r>
        <w:rPr>
          <w:rFonts w:ascii="Arial"/>
          <w:i/>
          <w:sz w:val="20"/>
        </w:rPr>
        <w:t>Specialist</w:t>
      </w:r>
      <w:r>
        <w:rPr>
          <w:rFonts w:ascii="Arial"/>
          <w:i/>
          <w:spacing w:val="7"/>
          <w:sz w:val="20"/>
        </w:rPr>
        <w:t> </w:t>
      </w:r>
      <w:r>
        <w:rPr>
          <w:rFonts w:ascii="Arial"/>
          <w:i/>
          <w:sz w:val="20"/>
        </w:rPr>
        <w:t>Ltd</w:t>
      </w:r>
      <w:r>
        <w:rPr>
          <w:rFonts w:ascii="Arial"/>
          <w:i/>
          <w:spacing w:val="7"/>
          <w:sz w:val="20"/>
        </w:rPr>
        <w:t> </w:t>
      </w:r>
      <w:r>
        <w:rPr>
          <w:rFonts w:ascii="Arial"/>
          <w:i/>
          <w:sz w:val="20"/>
        </w:rPr>
        <w:t>[2015]</w:t>
      </w:r>
      <w:r>
        <w:rPr>
          <w:rFonts w:ascii="Arial"/>
          <w:i/>
          <w:spacing w:val="7"/>
          <w:sz w:val="20"/>
        </w:rPr>
        <w:t> </w:t>
      </w:r>
      <w:r>
        <w:rPr>
          <w:rFonts w:ascii="Arial"/>
          <w:i/>
          <w:sz w:val="20"/>
        </w:rPr>
        <w:t>EWCA</w:t>
      </w:r>
      <w:r>
        <w:rPr>
          <w:rFonts w:ascii="Arial"/>
          <w:i/>
          <w:spacing w:val="7"/>
          <w:sz w:val="20"/>
        </w:rPr>
        <w:t> </w:t>
      </w:r>
      <w:r>
        <w:rPr>
          <w:rFonts w:ascii="Arial"/>
          <w:i/>
          <w:sz w:val="20"/>
        </w:rPr>
        <w:t>Civ</w:t>
      </w:r>
      <w:r>
        <w:rPr>
          <w:rFonts w:ascii="Arial"/>
          <w:i/>
          <w:spacing w:val="7"/>
          <w:sz w:val="20"/>
        </w:rPr>
        <w:t> </w:t>
      </w:r>
      <w:r>
        <w:rPr>
          <w:rFonts w:ascii="Arial"/>
          <w:i/>
          <w:sz w:val="20"/>
        </w:rPr>
        <w:t>745</w:t>
      </w:r>
      <w:r>
        <w:rPr>
          <w:rFonts w:ascii="Arial"/>
          <w:i/>
          <w:spacing w:val="7"/>
          <w:sz w:val="20"/>
        </w:rPr>
        <w:t> </w:t>
      </w:r>
      <w:r>
        <w:rPr>
          <w:sz w:val="20"/>
        </w:rPr>
        <w:t>at</w:t>
      </w:r>
      <w:r>
        <w:rPr>
          <w:spacing w:val="7"/>
          <w:sz w:val="20"/>
        </w:rPr>
        <w:t> </w:t>
      </w:r>
      <w:r>
        <w:rPr>
          <w:sz w:val="20"/>
        </w:rPr>
        <w:t>[34]</w:t>
      </w:r>
      <w:r>
        <w:rPr>
          <w:spacing w:val="7"/>
          <w:sz w:val="20"/>
        </w:rPr>
        <w:t> </w:t>
      </w:r>
      <w:r>
        <w:rPr>
          <w:sz w:val="20"/>
        </w:rPr>
        <w:t>(Longmore</w:t>
      </w:r>
      <w:r>
        <w:rPr>
          <w:spacing w:val="7"/>
          <w:sz w:val="20"/>
        </w:rPr>
        <w:t> </w:t>
      </w:r>
      <w:r>
        <w:rPr>
          <w:sz w:val="20"/>
        </w:rPr>
        <w:t>L.J,</w:t>
      </w:r>
      <w:r>
        <w:rPr>
          <w:spacing w:val="7"/>
          <w:sz w:val="20"/>
        </w:rPr>
        <w:t> </w:t>
      </w:r>
      <w:r>
        <w:rPr>
          <w:sz w:val="20"/>
        </w:rPr>
        <w:t>with</w:t>
      </w:r>
      <w:r>
        <w:rPr>
          <w:spacing w:val="7"/>
          <w:sz w:val="20"/>
        </w:rPr>
        <w:t> </w:t>
      </w:r>
      <w:r>
        <w:rPr>
          <w:sz w:val="20"/>
        </w:rPr>
        <w:t>whom</w:t>
      </w:r>
      <w:r>
        <w:rPr>
          <w:spacing w:val="7"/>
          <w:sz w:val="20"/>
        </w:rPr>
        <w:t> </w:t>
      </w:r>
      <w:r>
        <w:rPr>
          <w:spacing w:val="-2"/>
          <w:sz w:val="20"/>
        </w:rPr>
        <w:t>Patten</w:t>
      </w:r>
    </w:p>
    <w:p>
      <w:pPr>
        <w:pStyle w:val="BodyText"/>
        <w:spacing w:line="235" w:lineRule="auto" w:before="1"/>
        <w:ind w:left="705" w:right="167"/>
        <w:jc w:val="both"/>
      </w:pPr>
      <w:r>
        <w:rPr/>
        <w:t>L.J. agreed. (The third member of the court, Roth J., doubted whether in </w:t>
      </w:r>
      <w:r>
        <w:rPr>
          <w:rFonts w:ascii="Arial" w:hAnsi="Arial"/>
          <w:i/>
        </w:rPr>
        <w:t>Leaf </w:t>
      </w:r>
      <w:r>
        <w:rPr/>
        <w:t>a majority had </w:t>
      </w:r>
      <w:r>
        <w:rPr/>
        <w:t>in fact</w:t>
      </w:r>
      <w:r>
        <w:rPr>
          <w:spacing w:val="-1"/>
        </w:rPr>
        <w:t> </w:t>
      </w:r>
      <w:r>
        <w:rPr/>
        <w:t>adopted</w:t>
      </w:r>
      <w:r>
        <w:rPr>
          <w:spacing w:val="-1"/>
        </w:rPr>
        <w:t> </w:t>
      </w:r>
      <w:r>
        <w:rPr/>
        <w:t>a</w:t>
      </w:r>
      <w:r>
        <w:rPr>
          <w:spacing w:val="-1"/>
        </w:rPr>
        <w:t> </w:t>
      </w:r>
      <w:r>
        <w:rPr/>
        <w:t>strict</w:t>
      </w:r>
      <w:r>
        <w:rPr>
          <w:spacing w:val="-1"/>
        </w:rPr>
        <w:t> </w:t>
      </w:r>
      <w:r>
        <w:rPr/>
        <w:t>rule</w:t>
      </w:r>
      <w:r>
        <w:rPr>
          <w:spacing w:val="-1"/>
        </w:rPr>
        <w:t> </w:t>
      </w:r>
      <w:r>
        <w:rPr/>
        <w:t>that</w:t>
      </w:r>
      <w:r>
        <w:rPr>
          <w:spacing w:val="-1"/>
        </w:rPr>
        <w:t> </w:t>
      </w:r>
      <w:r>
        <w:rPr/>
        <w:t>if</w:t>
      </w:r>
      <w:r>
        <w:rPr>
          <w:spacing w:val="-1"/>
        </w:rPr>
        <w:t> </w:t>
      </w:r>
      <w:r>
        <w:rPr/>
        <w:t>the</w:t>
      </w:r>
      <w:r>
        <w:rPr>
          <w:spacing w:val="-1"/>
        </w:rPr>
        <w:t> </w:t>
      </w:r>
      <w:r>
        <w:rPr/>
        <w:t>right</w:t>
      </w:r>
      <w:r>
        <w:rPr>
          <w:spacing w:val="-1"/>
        </w:rPr>
        <w:t> </w:t>
      </w:r>
      <w:r>
        <w:rPr/>
        <w:t>to</w:t>
      </w:r>
      <w:r>
        <w:rPr>
          <w:spacing w:val="-1"/>
        </w:rPr>
        <w:t> </w:t>
      </w:r>
      <w:r>
        <w:rPr/>
        <w:t>reject</w:t>
      </w:r>
      <w:r>
        <w:rPr>
          <w:spacing w:val="-1"/>
        </w:rPr>
        <w:t> </w:t>
      </w:r>
      <w:r>
        <w:rPr/>
        <w:t>goods</w:t>
      </w:r>
      <w:r>
        <w:rPr>
          <w:spacing w:val="-1"/>
        </w:rPr>
        <w:t> </w:t>
      </w:r>
      <w:r>
        <w:rPr/>
        <w:t>would</w:t>
      </w:r>
      <w:r>
        <w:rPr>
          <w:spacing w:val="-1"/>
        </w:rPr>
        <w:t> </w:t>
      </w:r>
      <w:r>
        <w:rPr/>
        <w:t>have</w:t>
      </w:r>
      <w:r>
        <w:rPr>
          <w:spacing w:val="-1"/>
        </w:rPr>
        <w:t> </w:t>
      </w:r>
      <w:r>
        <w:rPr/>
        <w:t>been</w:t>
      </w:r>
      <w:r>
        <w:rPr>
          <w:spacing w:val="-1"/>
        </w:rPr>
        <w:t> </w:t>
      </w:r>
      <w:r>
        <w:rPr/>
        <w:t>lost,</w:t>
      </w:r>
      <w:r>
        <w:rPr>
          <w:spacing w:val="-1"/>
        </w:rPr>
        <w:t> </w:t>
      </w:r>
      <w:r>
        <w:rPr/>
        <w:t>so</w:t>
      </w:r>
      <w:r>
        <w:rPr>
          <w:spacing w:val="-1"/>
        </w:rPr>
        <w:t> </w:t>
      </w:r>
      <w:r>
        <w:rPr/>
        <w:t>would</w:t>
      </w:r>
      <w:r>
        <w:rPr>
          <w:spacing w:val="-1"/>
        </w:rPr>
        <w:t> </w:t>
      </w:r>
      <w:r>
        <w:rPr/>
        <w:t>the</w:t>
      </w:r>
      <w:r>
        <w:rPr>
          <w:spacing w:val="-1"/>
        </w:rPr>
        <w:t> </w:t>
      </w:r>
      <w:r>
        <w:rPr/>
        <w:t>right to rescind, and held that in the circumstances there had been no undue delay on the part of the buyer: at [47]–[48].) On s.1 of the Misrepresentation Act 1967 see above, para.7-113.</w:t>
      </w:r>
    </w:p>
    <w:p>
      <w:pPr>
        <w:pStyle w:val="BodyText"/>
        <w:spacing w:before="4"/>
      </w:pPr>
    </w:p>
    <w:p>
      <w:pPr>
        <w:tabs>
          <w:tab w:pos="705" w:val="left" w:leader="none"/>
        </w:tabs>
        <w:spacing w:before="1"/>
        <w:ind w:left="165" w:right="0" w:firstLine="0"/>
        <w:jc w:val="left"/>
        <w:rPr>
          <w:sz w:val="20"/>
        </w:rPr>
      </w:pPr>
      <w:bookmarkStart w:name="_bookmark1213" w:id="1215"/>
      <w:bookmarkEnd w:id="1215"/>
      <w:r>
        <w:rPr/>
      </w:r>
      <w:hyperlink w:history="true" w:anchor="_bookmark1165">
        <w:r>
          <w:rPr>
            <w:color w:val="005DA1"/>
            <w:spacing w:val="-4"/>
            <w:position w:val="5"/>
            <w:sz w:val="14"/>
            <w:u w:val="single" w:color="005DA1"/>
          </w:rPr>
          <w:t>627</w:t>
        </w:r>
      </w:hyperlink>
      <w:r>
        <w:rPr>
          <w:spacing w:val="-4"/>
          <w:position w:val="5"/>
          <w:sz w:val="14"/>
        </w:rPr>
        <w:t>.</w:t>
      </w:r>
      <w:r>
        <w:rPr>
          <w:position w:val="5"/>
          <w:sz w:val="14"/>
        </w:rPr>
        <w:tab/>
      </w:r>
      <w:r>
        <w:rPr>
          <w:rFonts w:ascii="Arial"/>
          <w:i/>
          <w:sz w:val="20"/>
        </w:rPr>
        <w:t>Armstrong v Jackson [1917] 2 K.B. </w:t>
      </w:r>
      <w:r>
        <w:rPr>
          <w:rFonts w:ascii="Arial"/>
          <w:i/>
          <w:spacing w:val="-4"/>
          <w:sz w:val="20"/>
        </w:rPr>
        <w:t>822</w:t>
      </w:r>
      <w:r>
        <w:rPr>
          <w:spacing w:val="-4"/>
          <w:sz w:val="20"/>
        </w:rPr>
        <w:t>.</w:t>
      </w:r>
    </w:p>
    <w:p>
      <w:pPr>
        <w:pStyle w:val="BodyText"/>
        <w:spacing w:before="8"/>
      </w:pPr>
    </w:p>
    <w:p>
      <w:pPr>
        <w:spacing w:line="235" w:lineRule="auto" w:before="0"/>
        <w:ind w:left="705" w:right="167" w:hanging="541"/>
        <w:jc w:val="both"/>
        <w:rPr>
          <w:sz w:val="20"/>
        </w:rPr>
      </w:pPr>
      <w:bookmarkStart w:name="_bookmark1214" w:id="1216"/>
      <w:bookmarkEnd w:id="1216"/>
      <w:r>
        <w:rPr/>
      </w:r>
      <w:hyperlink w:history="true" w:anchor="_bookmark1166">
        <w:r>
          <w:rPr>
            <w:color w:val="005DA1"/>
            <w:position w:val="5"/>
            <w:sz w:val="14"/>
            <w:u w:val="single" w:color="005DA1"/>
          </w:rPr>
          <w:t>628</w:t>
        </w:r>
      </w:hyperlink>
      <w:r>
        <w:rPr>
          <w:position w:val="5"/>
          <w:sz w:val="14"/>
        </w:rPr>
        <w:t>.</w:t>
      </w:r>
      <w:r>
        <w:rPr>
          <w:spacing w:val="80"/>
          <w:position w:val="5"/>
          <w:sz w:val="14"/>
        </w:rPr>
        <w:t>  </w:t>
      </w:r>
      <w:r>
        <w:rPr>
          <w:sz w:val="20"/>
        </w:rPr>
        <w:t>See</w:t>
      </w:r>
      <w:r>
        <w:rPr>
          <w:spacing w:val="-1"/>
          <w:sz w:val="20"/>
        </w:rPr>
        <w:t> </w:t>
      </w:r>
      <w:r>
        <w:rPr>
          <w:rFonts w:ascii="Arial"/>
          <w:i/>
          <w:sz w:val="20"/>
        </w:rPr>
        <w:t>Clough</w:t>
      </w:r>
      <w:r>
        <w:rPr>
          <w:rFonts w:ascii="Arial"/>
          <w:i/>
          <w:spacing w:val="-1"/>
          <w:sz w:val="20"/>
        </w:rPr>
        <w:t> </w:t>
      </w:r>
      <w:r>
        <w:rPr>
          <w:rFonts w:ascii="Arial"/>
          <w:i/>
          <w:sz w:val="20"/>
        </w:rPr>
        <w:t>v</w:t>
      </w:r>
      <w:r>
        <w:rPr>
          <w:rFonts w:ascii="Arial"/>
          <w:i/>
          <w:spacing w:val="-1"/>
          <w:sz w:val="20"/>
        </w:rPr>
        <w:t> </w:t>
      </w:r>
      <w:r>
        <w:rPr>
          <w:rFonts w:ascii="Arial"/>
          <w:i/>
          <w:sz w:val="20"/>
        </w:rPr>
        <w:t>L.</w:t>
      </w:r>
      <w:r>
        <w:rPr>
          <w:rFonts w:ascii="Arial"/>
          <w:i/>
          <w:spacing w:val="-1"/>
          <w:sz w:val="20"/>
        </w:rPr>
        <w:t> </w:t>
      </w:r>
      <w:r>
        <w:rPr>
          <w:rFonts w:ascii="Arial"/>
          <w:i/>
          <w:sz w:val="20"/>
        </w:rPr>
        <w:t>&amp;</w:t>
      </w:r>
      <w:r>
        <w:rPr>
          <w:rFonts w:ascii="Arial"/>
          <w:i/>
          <w:spacing w:val="-1"/>
          <w:sz w:val="20"/>
        </w:rPr>
        <w:t> </w:t>
      </w:r>
      <w:r>
        <w:rPr>
          <w:rFonts w:ascii="Arial"/>
          <w:i/>
          <w:sz w:val="20"/>
        </w:rPr>
        <w:t>N.W.</w:t>
      </w:r>
      <w:r>
        <w:rPr>
          <w:rFonts w:ascii="Arial"/>
          <w:i/>
          <w:spacing w:val="-1"/>
          <w:sz w:val="20"/>
        </w:rPr>
        <w:t> </w:t>
      </w:r>
      <w:r>
        <w:rPr>
          <w:rFonts w:ascii="Arial"/>
          <w:i/>
          <w:sz w:val="20"/>
        </w:rPr>
        <w:t>Ry</w:t>
      </w:r>
      <w:r>
        <w:rPr>
          <w:rFonts w:ascii="Arial"/>
          <w:i/>
          <w:spacing w:val="-1"/>
          <w:sz w:val="20"/>
        </w:rPr>
        <w:t> </w:t>
      </w:r>
      <w:r>
        <w:rPr>
          <w:rFonts w:ascii="Arial"/>
          <w:i/>
          <w:sz w:val="20"/>
        </w:rPr>
        <w:t>(1871)</w:t>
      </w:r>
      <w:r>
        <w:rPr>
          <w:rFonts w:ascii="Arial"/>
          <w:i/>
          <w:spacing w:val="-1"/>
          <w:sz w:val="20"/>
        </w:rPr>
        <w:t> </w:t>
      </w:r>
      <w:r>
        <w:rPr>
          <w:rFonts w:ascii="Arial"/>
          <w:i/>
          <w:sz w:val="20"/>
        </w:rPr>
        <w:t>L.R.</w:t>
      </w:r>
      <w:r>
        <w:rPr>
          <w:rFonts w:ascii="Arial"/>
          <w:i/>
          <w:spacing w:val="-1"/>
          <w:sz w:val="20"/>
        </w:rPr>
        <w:t> </w:t>
      </w:r>
      <w:r>
        <w:rPr>
          <w:rFonts w:ascii="Arial"/>
          <w:i/>
          <w:sz w:val="20"/>
        </w:rPr>
        <w:t>7</w:t>
      </w:r>
      <w:r>
        <w:rPr>
          <w:rFonts w:ascii="Arial"/>
          <w:i/>
          <w:spacing w:val="-1"/>
          <w:sz w:val="20"/>
        </w:rPr>
        <w:t> </w:t>
      </w:r>
      <w:r>
        <w:rPr>
          <w:rFonts w:ascii="Arial"/>
          <w:i/>
          <w:sz w:val="20"/>
        </w:rPr>
        <w:t>Ex.</w:t>
      </w:r>
      <w:r>
        <w:rPr>
          <w:rFonts w:ascii="Arial"/>
          <w:i/>
          <w:spacing w:val="-1"/>
          <w:sz w:val="20"/>
        </w:rPr>
        <w:t> </w:t>
      </w:r>
      <w:r>
        <w:rPr>
          <w:rFonts w:ascii="Arial"/>
          <w:i/>
          <w:sz w:val="20"/>
        </w:rPr>
        <w:t>26,</w:t>
      </w:r>
      <w:r>
        <w:rPr>
          <w:rFonts w:ascii="Arial"/>
          <w:i/>
          <w:spacing w:val="-1"/>
          <w:sz w:val="20"/>
        </w:rPr>
        <w:t> </w:t>
      </w:r>
      <w:r>
        <w:rPr>
          <w:rFonts w:ascii="Arial"/>
          <w:i/>
          <w:sz w:val="20"/>
        </w:rPr>
        <w:t>34,</w:t>
      </w:r>
      <w:r>
        <w:rPr>
          <w:rFonts w:ascii="Arial"/>
          <w:i/>
          <w:spacing w:val="-1"/>
          <w:sz w:val="20"/>
        </w:rPr>
        <w:t> </w:t>
      </w:r>
      <w:r>
        <w:rPr>
          <w:rFonts w:ascii="Arial"/>
          <w:i/>
          <w:sz w:val="20"/>
        </w:rPr>
        <w:t>35</w:t>
      </w:r>
      <w:r>
        <w:rPr>
          <w:sz w:val="20"/>
        </w:rPr>
        <w:t>;</w:t>
      </w:r>
      <w:r>
        <w:rPr>
          <w:spacing w:val="-1"/>
          <w:sz w:val="20"/>
        </w:rPr>
        <w:t> </w:t>
      </w:r>
      <w:r>
        <w:rPr>
          <w:rFonts w:ascii="Arial"/>
          <w:i/>
          <w:sz w:val="20"/>
        </w:rPr>
        <w:t>Morrison</w:t>
      </w:r>
      <w:r>
        <w:rPr>
          <w:rFonts w:ascii="Arial"/>
          <w:i/>
          <w:spacing w:val="-1"/>
          <w:sz w:val="20"/>
        </w:rPr>
        <w:t> </w:t>
      </w:r>
      <w:r>
        <w:rPr>
          <w:rFonts w:ascii="Arial"/>
          <w:i/>
          <w:sz w:val="20"/>
        </w:rPr>
        <w:t>v</w:t>
      </w:r>
      <w:r>
        <w:rPr>
          <w:rFonts w:ascii="Arial"/>
          <w:i/>
          <w:spacing w:val="-1"/>
          <w:sz w:val="20"/>
        </w:rPr>
        <w:t> </w:t>
      </w:r>
      <w:r>
        <w:rPr>
          <w:rFonts w:ascii="Arial"/>
          <w:i/>
          <w:sz w:val="20"/>
        </w:rPr>
        <w:t>Universal</w:t>
      </w:r>
      <w:r>
        <w:rPr>
          <w:rFonts w:ascii="Arial"/>
          <w:i/>
          <w:spacing w:val="-1"/>
          <w:sz w:val="20"/>
        </w:rPr>
        <w:t> </w:t>
      </w:r>
      <w:r>
        <w:rPr>
          <w:rFonts w:ascii="Arial"/>
          <w:i/>
          <w:sz w:val="20"/>
        </w:rPr>
        <w:t>Marine</w:t>
      </w:r>
      <w:r>
        <w:rPr>
          <w:rFonts w:ascii="Arial"/>
          <w:i/>
          <w:spacing w:val="-1"/>
          <w:sz w:val="20"/>
        </w:rPr>
        <w:t> </w:t>
      </w:r>
      <w:r>
        <w:rPr>
          <w:rFonts w:ascii="Arial"/>
          <w:i/>
          <w:sz w:val="20"/>
        </w:rPr>
        <w:t>Insurance Co (1873) L.R. 8 Ex. 197, 205</w:t>
      </w:r>
      <w:r>
        <w:rPr>
          <w:sz w:val="20"/>
        </w:rPr>
        <w:t>; </w:t>
      </w:r>
      <w:r>
        <w:rPr>
          <w:rFonts w:ascii="Arial"/>
          <w:i/>
          <w:sz w:val="20"/>
        </w:rPr>
        <w:t>Erlanger v New Sombrero Phosphate Co (1878) 3 App. Cas. 1218, 1278</w:t>
      </w:r>
      <w:r>
        <w:rPr>
          <w:sz w:val="20"/>
        </w:rPr>
        <w:t>. See also </w:t>
      </w:r>
      <w:r>
        <w:rPr>
          <w:rFonts w:ascii="Arial"/>
          <w:i/>
          <w:sz w:val="20"/>
        </w:rPr>
        <w:t>Re Cape Breton Co (1885) 29 Ch. D. 795 </w:t>
      </w:r>
      <w:r>
        <w:rPr>
          <w:sz w:val="20"/>
        </w:rPr>
        <w:t>and </w:t>
      </w:r>
      <w:r>
        <w:rPr>
          <w:rFonts w:ascii="Arial"/>
          <w:i/>
          <w:sz w:val="20"/>
        </w:rPr>
        <w:t>Ladywell Mining Co v Brookes (1887) 35 Ch. D. 400</w:t>
      </w:r>
      <w:r>
        <w:rPr>
          <w:sz w:val="20"/>
        </w:rPr>
        <w:t>.</w:t>
      </w:r>
    </w:p>
    <w:p>
      <w:pPr>
        <w:pStyle w:val="BodyText"/>
        <w:spacing w:before="5"/>
      </w:pPr>
    </w:p>
    <w:p>
      <w:pPr>
        <w:tabs>
          <w:tab w:pos="705" w:val="left" w:leader="none"/>
        </w:tabs>
        <w:spacing w:before="0"/>
        <w:ind w:left="165" w:right="0" w:firstLine="0"/>
        <w:jc w:val="left"/>
        <w:rPr>
          <w:sz w:val="20"/>
        </w:rPr>
      </w:pPr>
      <w:bookmarkStart w:name="_bookmark1215" w:id="1217"/>
      <w:bookmarkEnd w:id="1217"/>
      <w:r>
        <w:rPr/>
      </w:r>
      <w:hyperlink w:history="true" w:anchor="_bookmark1167">
        <w:r>
          <w:rPr>
            <w:color w:val="005DA1"/>
            <w:spacing w:val="-4"/>
            <w:position w:val="5"/>
            <w:sz w:val="14"/>
            <w:u w:val="single" w:color="005DA1"/>
          </w:rPr>
          <w:t>629</w:t>
        </w:r>
      </w:hyperlink>
      <w:r>
        <w:rPr>
          <w:spacing w:val="-4"/>
          <w:position w:val="5"/>
          <w:sz w:val="14"/>
        </w:rPr>
        <w:t>.</w:t>
      </w:r>
      <w:r>
        <w:rPr>
          <w:position w:val="5"/>
          <w:sz w:val="14"/>
        </w:rPr>
        <w:tab/>
      </w:r>
      <w:r>
        <w:rPr>
          <w:rFonts w:ascii="Arial"/>
          <w:i/>
          <w:sz w:val="20"/>
        </w:rPr>
        <w:t>(1873)</w:t>
      </w:r>
      <w:r>
        <w:rPr>
          <w:rFonts w:ascii="Arial"/>
          <w:i/>
          <w:spacing w:val="-2"/>
          <w:sz w:val="20"/>
        </w:rPr>
        <w:t> </w:t>
      </w:r>
      <w:r>
        <w:rPr>
          <w:rFonts w:ascii="Arial"/>
          <w:i/>
          <w:sz w:val="20"/>
        </w:rPr>
        <w:t>L.R. 8 Ex. </w:t>
      </w:r>
      <w:r>
        <w:rPr>
          <w:rFonts w:ascii="Arial"/>
          <w:i/>
          <w:spacing w:val="-4"/>
          <w:sz w:val="20"/>
        </w:rPr>
        <w:t>197</w:t>
      </w:r>
      <w:r>
        <w:rPr>
          <w:spacing w:val="-4"/>
          <w:sz w:val="20"/>
        </w:rPr>
        <w:t>.</w:t>
      </w:r>
    </w:p>
    <w:p>
      <w:pPr>
        <w:pStyle w:val="BodyText"/>
        <w:spacing w:before="5"/>
      </w:pPr>
    </w:p>
    <w:p>
      <w:pPr>
        <w:pStyle w:val="BodyText"/>
        <w:tabs>
          <w:tab w:pos="705" w:val="left" w:leader="none"/>
        </w:tabs>
        <w:ind w:left="165"/>
      </w:pPr>
      <w:bookmarkStart w:name="_bookmark1216" w:id="1218"/>
      <w:bookmarkEnd w:id="1218"/>
      <w:r>
        <w:rPr/>
      </w:r>
      <w:hyperlink w:history="true" w:anchor="_bookmark1168">
        <w:r>
          <w:rPr>
            <w:color w:val="005DA1"/>
            <w:spacing w:val="-4"/>
            <w:position w:val="5"/>
            <w:sz w:val="14"/>
            <w:u w:val="single" w:color="005DA1"/>
          </w:rPr>
          <w:t>630</w:t>
        </w:r>
      </w:hyperlink>
      <w:r>
        <w:rPr>
          <w:spacing w:val="-4"/>
          <w:position w:val="5"/>
          <w:sz w:val="14"/>
        </w:rPr>
        <w:t>.</w:t>
      </w:r>
      <w:r>
        <w:rPr>
          <w:position w:val="5"/>
          <w:sz w:val="14"/>
        </w:rPr>
        <w:tab/>
      </w:r>
      <w:r>
        <w:rPr/>
        <w:t>See</w:t>
      </w:r>
      <w:r>
        <w:rPr>
          <w:spacing w:val="-2"/>
        </w:rPr>
        <w:t> </w:t>
      </w:r>
      <w:r>
        <w:rPr/>
        <w:t>above, para.7-</w:t>
      </w:r>
      <w:r>
        <w:rPr>
          <w:spacing w:val="-4"/>
        </w:rPr>
        <w:t>135.</w:t>
      </w:r>
    </w:p>
    <w:p>
      <w:pPr>
        <w:pStyle w:val="BodyText"/>
        <w:spacing w:before="5"/>
      </w:pPr>
    </w:p>
    <w:p>
      <w:pPr>
        <w:pStyle w:val="BodyText"/>
        <w:tabs>
          <w:tab w:pos="705" w:val="left" w:leader="none"/>
        </w:tabs>
        <w:ind w:left="165"/>
      </w:pPr>
      <w:bookmarkStart w:name="_bookmark1217" w:id="1219"/>
      <w:bookmarkEnd w:id="1219"/>
      <w:r>
        <w:rPr/>
      </w:r>
      <w:hyperlink w:history="true" w:anchor="_bookmark1168">
        <w:r>
          <w:rPr>
            <w:color w:val="005DA1"/>
            <w:spacing w:val="-4"/>
            <w:position w:val="5"/>
            <w:sz w:val="14"/>
            <w:u w:val="single" w:color="005DA1"/>
          </w:rPr>
          <w:t>631</w:t>
        </w:r>
      </w:hyperlink>
      <w:r>
        <w:rPr>
          <w:spacing w:val="-4"/>
          <w:position w:val="5"/>
          <w:sz w:val="14"/>
        </w:rPr>
        <w:t>.</w:t>
      </w:r>
      <w:r>
        <w:rPr>
          <w:position w:val="5"/>
          <w:sz w:val="14"/>
        </w:rPr>
        <w:tab/>
      </w:r>
      <w:r>
        <w:rPr/>
        <w:t>See above, para.7-135 </w:t>
      </w:r>
      <w:r>
        <w:rPr>
          <w:spacing w:val="-2"/>
        </w:rPr>
        <w:t>n.600.</w:t>
      </w:r>
    </w:p>
    <w:p>
      <w:pPr>
        <w:pStyle w:val="BodyText"/>
        <w:spacing w:before="5"/>
      </w:pPr>
    </w:p>
    <w:p>
      <w:pPr>
        <w:tabs>
          <w:tab w:pos="705" w:val="left" w:leader="none"/>
        </w:tabs>
        <w:spacing w:before="0"/>
        <w:ind w:left="165" w:right="0" w:firstLine="0"/>
        <w:jc w:val="left"/>
        <w:rPr>
          <w:sz w:val="20"/>
        </w:rPr>
      </w:pPr>
      <w:bookmarkStart w:name="_bookmark1218" w:id="1220"/>
      <w:bookmarkEnd w:id="1220"/>
      <w:r>
        <w:rPr/>
      </w:r>
      <w:hyperlink w:history="true" w:anchor="_bookmark1169">
        <w:r>
          <w:rPr>
            <w:color w:val="005DA1"/>
            <w:spacing w:val="-4"/>
            <w:position w:val="5"/>
            <w:sz w:val="14"/>
            <w:u w:val="single" w:color="005DA1"/>
          </w:rPr>
          <w:t>632</w:t>
        </w:r>
      </w:hyperlink>
      <w:r>
        <w:rPr>
          <w:spacing w:val="-4"/>
          <w:position w:val="5"/>
          <w:sz w:val="14"/>
        </w:rPr>
        <w:t>.</w:t>
      </w:r>
      <w:r>
        <w:rPr>
          <w:position w:val="5"/>
          <w:sz w:val="14"/>
        </w:rPr>
        <w:tab/>
      </w:r>
      <w:r>
        <w:rPr>
          <w:rFonts w:ascii="Arial"/>
          <w:i/>
          <w:sz w:val="20"/>
        </w:rPr>
        <w:t>Mackenzie v Royal Bank of Canada [1934] A.C. </w:t>
      </w:r>
      <w:r>
        <w:rPr>
          <w:rFonts w:ascii="Arial"/>
          <w:i/>
          <w:spacing w:val="-4"/>
          <w:sz w:val="20"/>
        </w:rPr>
        <w:t>468</w:t>
      </w:r>
      <w:r>
        <w:rPr>
          <w:spacing w:val="-4"/>
          <w:sz w:val="20"/>
        </w:rPr>
        <w:t>.</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80352">
            <wp:simplePos x="0" y="0"/>
            <wp:positionH relativeFrom="page">
              <wp:posOffset>1257846</wp:posOffset>
            </wp:positionH>
            <wp:positionV relativeFrom="paragraph">
              <wp:posOffset>160377</wp:posOffset>
            </wp:positionV>
            <wp:extent cx="107988" cy="107988"/>
            <wp:effectExtent l="0" t="0" r="0" b="0"/>
            <wp:wrapNone/>
            <wp:docPr id="215" name="Image 215"/>
            <wp:cNvGraphicFramePr>
              <a:graphicFrameLocks/>
            </wp:cNvGraphicFramePr>
            <a:graphic>
              <a:graphicData uri="http://schemas.openxmlformats.org/drawingml/2006/picture">
                <pic:pic>
                  <pic:nvPicPr>
                    <pic:cNvPr id="215" name="Image 21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19" w:id="1221"/>
      <w:bookmarkEnd w:id="1221"/>
      <w:r>
        <w:rPr/>
      </w:r>
      <w:hyperlink w:history="true" w:anchor="_bookmark1170">
        <w:r>
          <w:rPr>
            <w:color w:val="005DA1"/>
            <w:spacing w:val="-4"/>
            <w:sz w:val="14"/>
            <w:u w:val="single" w:color="005DA1"/>
          </w:rPr>
          <w:t>633</w:t>
        </w:r>
      </w:hyperlink>
      <w:r>
        <w:rPr>
          <w:spacing w:val="-4"/>
          <w:sz w:val="14"/>
        </w:rPr>
        <w:t>.</w:t>
      </w:r>
    </w:p>
    <w:p>
      <w:pPr>
        <w:spacing w:line="235" w:lineRule="auto" w:before="212"/>
        <w:ind w:left="165" w:right="167" w:firstLine="170"/>
        <w:jc w:val="both"/>
        <w:rPr>
          <w:sz w:val="20"/>
        </w:rPr>
      </w:pPr>
      <w:r>
        <w:rPr/>
        <w:br w:type="column"/>
      </w:r>
      <w:r>
        <w:rPr>
          <w:sz w:val="20"/>
        </w:rPr>
        <w:t>But see next paragraph. The effect of insolvency of the misrepresentor is unclear. </w:t>
      </w:r>
      <w:r>
        <w:rPr>
          <w:sz w:val="20"/>
        </w:rPr>
        <w:t>Older</w:t>
      </w:r>
      <w:r>
        <w:rPr>
          <w:spacing w:val="40"/>
          <w:sz w:val="20"/>
        </w:rPr>
        <w:t> </w:t>
      </w:r>
      <w:r>
        <w:rPr>
          <w:sz w:val="20"/>
        </w:rPr>
        <w:t>cases such as </w:t>
      </w:r>
      <w:r>
        <w:rPr>
          <w:rFonts w:ascii="Arial" w:hAnsi="Arial"/>
          <w:i/>
          <w:sz w:val="20"/>
        </w:rPr>
        <w:t>Tilley v Bowman Ltd [1910] 1 K.B. 745 </w:t>
      </w:r>
      <w:r>
        <w:rPr>
          <w:sz w:val="20"/>
        </w:rPr>
        <w:t>assume that the misrepresentee may still rescind and recover any property from the misrepresentor’s trustee in bankruptcy but more recent cases involving companies have suggested that the rights of unsecured creditors have intervened to prevent recovery of the property: </w:t>
      </w:r>
      <w:r>
        <w:rPr>
          <w:rFonts w:ascii="Arial" w:hAnsi="Arial"/>
          <w:i/>
          <w:sz w:val="20"/>
        </w:rPr>
        <w:t>Re Crown Holdings (London) Ltd [2015] EWHC 1876</w:t>
      </w:r>
      <w:r>
        <w:rPr>
          <w:rFonts w:ascii="Arial" w:hAnsi="Arial"/>
          <w:i/>
          <w:spacing w:val="5"/>
          <w:sz w:val="20"/>
        </w:rPr>
        <w:t> </w:t>
      </w:r>
      <w:r>
        <w:rPr>
          <w:rFonts w:ascii="Arial" w:hAnsi="Arial"/>
          <w:i/>
          <w:sz w:val="20"/>
        </w:rPr>
        <w:t>(Ch)</w:t>
      </w:r>
      <w:r>
        <w:rPr>
          <w:rFonts w:ascii="Arial" w:hAnsi="Arial"/>
          <w:i/>
          <w:spacing w:val="4"/>
          <w:sz w:val="20"/>
        </w:rPr>
        <w:t> </w:t>
      </w:r>
      <w:r>
        <w:rPr>
          <w:sz w:val="20"/>
        </w:rPr>
        <w:t>at</w:t>
      </w:r>
      <w:r>
        <w:rPr>
          <w:spacing w:val="5"/>
          <w:sz w:val="20"/>
        </w:rPr>
        <w:t> </w:t>
      </w:r>
      <w:r>
        <w:rPr>
          <w:sz w:val="20"/>
        </w:rPr>
        <w:t>[37]–[45]:</w:t>
      </w:r>
      <w:r>
        <w:rPr>
          <w:spacing w:val="5"/>
          <w:sz w:val="20"/>
        </w:rPr>
        <w:t> </w:t>
      </w:r>
      <w:r>
        <w:rPr>
          <w:rFonts w:ascii="Arial" w:hAnsi="Arial"/>
          <w:i/>
          <w:sz w:val="20"/>
        </w:rPr>
        <w:t>Shalson</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Russo</w:t>
      </w:r>
      <w:r>
        <w:rPr>
          <w:rFonts w:ascii="Arial" w:hAnsi="Arial"/>
          <w:i/>
          <w:spacing w:val="5"/>
          <w:sz w:val="20"/>
        </w:rPr>
        <w:t> </w:t>
      </w:r>
      <w:r>
        <w:rPr>
          <w:rFonts w:ascii="Arial" w:hAnsi="Arial"/>
          <w:i/>
          <w:sz w:val="20"/>
        </w:rPr>
        <w:t>[2003]</w:t>
      </w:r>
      <w:r>
        <w:rPr>
          <w:rFonts w:ascii="Arial" w:hAnsi="Arial"/>
          <w:i/>
          <w:spacing w:val="5"/>
          <w:sz w:val="20"/>
        </w:rPr>
        <w:t> </w:t>
      </w:r>
      <w:r>
        <w:rPr>
          <w:rFonts w:ascii="Arial" w:hAnsi="Arial"/>
          <w:i/>
          <w:sz w:val="20"/>
        </w:rPr>
        <w:t>EWHC</w:t>
      </w:r>
      <w:r>
        <w:rPr>
          <w:rFonts w:ascii="Arial" w:hAnsi="Arial"/>
          <w:i/>
          <w:spacing w:val="5"/>
          <w:sz w:val="20"/>
        </w:rPr>
        <w:t> </w:t>
      </w:r>
      <w:r>
        <w:rPr>
          <w:rFonts w:ascii="Arial" w:hAnsi="Arial"/>
          <w:i/>
          <w:sz w:val="20"/>
        </w:rPr>
        <w:t>1637</w:t>
      </w:r>
      <w:r>
        <w:rPr>
          <w:rFonts w:ascii="Arial" w:hAnsi="Arial"/>
          <w:i/>
          <w:spacing w:val="5"/>
          <w:sz w:val="20"/>
        </w:rPr>
        <w:t> </w:t>
      </w:r>
      <w:r>
        <w:rPr>
          <w:rFonts w:ascii="Arial" w:hAnsi="Arial"/>
          <w:i/>
          <w:sz w:val="20"/>
        </w:rPr>
        <w:t>(Ch),</w:t>
      </w:r>
      <w:r>
        <w:rPr>
          <w:rFonts w:ascii="Arial" w:hAnsi="Arial"/>
          <w:i/>
          <w:spacing w:val="5"/>
          <w:sz w:val="20"/>
        </w:rPr>
        <w:t> </w:t>
      </w:r>
      <w:r>
        <w:rPr>
          <w:rFonts w:ascii="Arial" w:hAnsi="Arial"/>
          <w:i/>
          <w:sz w:val="20"/>
        </w:rPr>
        <w:t>[2005]</w:t>
      </w:r>
      <w:r>
        <w:rPr>
          <w:rFonts w:ascii="Arial" w:hAnsi="Arial"/>
          <w:i/>
          <w:spacing w:val="5"/>
          <w:sz w:val="20"/>
        </w:rPr>
        <w:t> </w:t>
      </w:r>
      <w:r>
        <w:rPr>
          <w:rFonts w:ascii="Arial" w:hAnsi="Arial"/>
          <w:i/>
          <w:sz w:val="20"/>
        </w:rPr>
        <w:t>Ch.</w:t>
      </w:r>
      <w:r>
        <w:rPr>
          <w:rFonts w:ascii="Arial" w:hAnsi="Arial"/>
          <w:i/>
          <w:spacing w:val="5"/>
          <w:sz w:val="20"/>
        </w:rPr>
        <w:t> </w:t>
      </w:r>
      <w:r>
        <w:rPr>
          <w:rFonts w:ascii="Arial" w:hAnsi="Arial"/>
          <w:i/>
          <w:sz w:val="20"/>
        </w:rPr>
        <w:t>281</w:t>
      </w:r>
      <w:r>
        <w:rPr>
          <w:rFonts w:ascii="Arial" w:hAnsi="Arial"/>
          <w:i/>
          <w:spacing w:val="4"/>
          <w:sz w:val="20"/>
        </w:rPr>
        <w:t> </w:t>
      </w:r>
      <w:r>
        <w:rPr>
          <w:sz w:val="20"/>
        </w:rPr>
        <w:t>at</w:t>
      </w:r>
      <w:r>
        <w:rPr>
          <w:spacing w:val="5"/>
          <w:sz w:val="20"/>
        </w:rPr>
        <w:t> </w:t>
      </w:r>
      <w:r>
        <w:rPr>
          <w:sz w:val="20"/>
        </w:rPr>
        <w:t>[126].</w:t>
      </w:r>
      <w:r>
        <w:rPr>
          <w:spacing w:val="5"/>
          <w:sz w:val="20"/>
        </w:rPr>
        <w:t> </w:t>
      </w:r>
      <w:r>
        <w:rPr>
          <w:spacing w:val="-5"/>
          <w:sz w:val="20"/>
        </w:rPr>
        <w:t>See</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21"/>
      </w:pPr>
    </w:p>
    <w:p>
      <w:pPr>
        <w:pStyle w:val="BodyText"/>
        <w:ind w:left="705"/>
      </w:pPr>
      <w:r>
        <w:rPr/>
        <w:t>Goff and Jones, The Law of Unjust Enrichment, 9th edn (2016), </w:t>
      </w:r>
      <w:r>
        <w:rPr>
          <w:spacing w:val="-2"/>
        </w:rPr>
        <w:t>para.40–027.</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220" w:id="1222"/>
      <w:bookmarkEnd w:id="1222"/>
      <w:r>
        <w:rPr/>
      </w:r>
      <w:hyperlink w:history="true" w:anchor="_bookmark1171">
        <w:r>
          <w:rPr>
            <w:color w:val="005DA1"/>
            <w:spacing w:val="-4"/>
            <w:position w:val="5"/>
            <w:sz w:val="14"/>
            <w:u w:val="single" w:color="005DA1"/>
          </w:rPr>
          <w:t>634</w:t>
        </w:r>
      </w:hyperlink>
      <w:r>
        <w:rPr>
          <w:spacing w:val="-4"/>
          <w:position w:val="5"/>
          <w:sz w:val="14"/>
        </w:rPr>
        <w:t>.</w:t>
      </w:r>
      <w:r>
        <w:rPr>
          <w:position w:val="5"/>
          <w:sz w:val="14"/>
        </w:rPr>
        <w:tab/>
      </w:r>
      <w:r>
        <w:rPr>
          <w:rFonts w:ascii="Arial"/>
          <w:i/>
          <w:sz w:val="20"/>
        </w:rPr>
        <w:t>White</w:t>
      </w:r>
      <w:r>
        <w:rPr>
          <w:rFonts w:ascii="Arial"/>
          <w:i/>
          <w:spacing w:val="16"/>
          <w:sz w:val="20"/>
        </w:rPr>
        <w:t> </w:t>
      </w:r>
      <w:r>
        <w:rPr>
          <w:rFonts w:ascii="Arial"/>
          <w:i/>
          <w:sz w:val="20"/>
        </w:rPr>
        <w:t>v</w:t>
      </w:r>
      <w:r>
        <w:rPr>
          <w:rFonts w:ascii="Arial"/>
          <w:i/>
          <w:spacing w:val="17"/>
          <w:sz w:val="20"/>
        </w:rPr>
        <w:t> </w:t>
      </w:r>
      <w:r>
        <w:rPr>
          <w:rFonts w:ascii="Arial"/>
          <w:i/>
          <w:sz w:val="20"/>
        </w:rPr>
        <w:t>Garden</w:t>
      </w:r>
      <w:r>
        <w:rPr>
          <w:rFonts w:ascii="Arial"/>
          <w:i/>
          <w:spacing w:val="17"/>
          <w:sz w:val="20"/>
        </w:rPr>
        <w:t> </w:t>
      </w:r>
      <w:r>
        <w:rPr>
          <w:rFonts w:ascii="Arial"/>
          <w:i/>
          <w:sz w:val="20"/>
        </w:rPr>
        <w:t>(1851)</w:t>
      </w:r>
      <w:r>
        <w:rPr>
          <w:rFonts w:ascii="Arial"/>
          <w:i/>
          <w:spacing w:val="17"/>
          <w:sz w:val="20"/>
        </w:rPr>
        <w:t> </w:t>
      </w:r>
      <w:r>
        <w:rPr>
          <w:rFonts w:ascii="Arial"/>
          <w:i/>
          <w:sz w:val="20"/>
        </w:rPr>
        <w:t>10</w:t>
      </w:r>
      <w:r>
        <w:rPr>
          <w:rFonts w:ascii="Arial"/>
          <w:i/>
          <w:spacing w:val="17"/>
          <w:sz w:val="20"/>
        </w:rPr>
        <w:t> </w:t>
      </w:r>
      <w:r>
        <w:rPr>
          <w:rFonts w:ascii="Arial"/>
          <w:i/>
          <w:sz w:val="20"/>
        </w:rPr>
        <w:t>C.B.</w:t>
      </w:r>
      <w:r>
        <w:rPr>
          <w:rFonts w:ascii="Arial"/>
          <w:i/>
          <w:spacing w:val="17"/>
          <w:sz w:val="20"/>
        </w:rPr>
        <w:t> </w:t>
      </w:r>
      <w:r>
        <w:rPr>
          <w:rFonts w:ascii="Arial"/>
          <w:i/>
          <w:sz w:val="20"/>
        </w:rPr>
        <w:t>919</w:t>
      </w:r>
      <w:r>
        <w:rPr>
          <w:sz w:val="20"/>
        </w:rPr>
        <w:t>;</w:t>
      </w:r>
      <w:r>
        <w:rPr>
          <w:spacing w:val="17"/>
          <w:sz w:val="20"/>
        </w:rPr>
        <w:t> </w:t>
      </w:r>
      <w:r>
        <w:rPr>
          <w:rFonts w:ascii="Arial"/>
          <w:i/>
          <w:sz w:val="20"/>
        </w:rPr>
        <w:t>Babcock</w:t>
      </w:r>
      <w:r>
        <w:rPr>
          <w:rFonts w:ascii="Arial"/>
          <w:i/>
          <w:spacing w:val="17"/>
          <w:sz w:val="20"/>
        </w:rPr>
        <w:t> </w:t>
      </w:r>
      <w:r>
        <w:rPr>
          <w:rFonts w:ascii="Arial"/>
          <w:i/>
          <w:sz w:val="20"/>
        </w:rPr>
        <w:t>v</w:t>
      </w:r>
      <w:r>
        <w:rPr>
          <w:rFonts w:ascii="Arial"/>
          <w:i/>
          <w:spacing w:val="16"/>
          <w:sz w:val="20"/>
        </w:rPr>
        <w:t> </w:t>
      </w:r>
      <w:r>
        <w:rPr>
          <w:rFonts w:ascii="Arial"/>
          <w:i/>
          <w:sz w:val="20"/>
        </w:rPr>
        <w:t>Lawson</w:t>
      </w:r>
      <w:r>
        <w:rPr>
          <w:rFonts w:ascii="Arial"/>
          <w:i/>
          <w:spacing w:val="17"/>
          <w:sz w:val="20"/>
        </w:rPr>
        <w:t> </w:t>
      </w:r>
      <w:r>
        <w:rPr>
          <w:rFonts w:ascii="Arial"/>
          <w:i/>
          <w:sz w:val="20"/>
        </w:rPr>
        <w:t>(1880)</w:t>
      </w:r>
      <w:r>
        <w:rPr>
          <w:rFonts w:ascii="Arial"/>
          <w:i/>
          <w:spacing w:val="17"/>
          <w:sz w:val="20"/>
        </w:rPr>
        <w:t> </w:t>
      </w:r>
      <w:r>
        <w:rPr>
          <w:rFonts w:ascii="Arial"/>
          <w:i/>
          <w:sz w:val="20"/>
        </w:rPr>
        <w:t>5</w:t>
      </w:r>
      <w:r>
        <w:rPr>
          <w:rFonts w:ascii="Arial"/>
          <w:i/>
          <w:spacing w:val="17"/>
          <w:sz w:val="20"/>
        </w:rPr>
        <w:t> </w:t>
      </w:r>
      <w:r>
        <w:rPr>
          <w:rFonts w:ascii="Arial"/>
          <w:i/>
          <w:sz w:val="20"/>
        </w:rPr>
        <w:t>Q.B.D.</w:t>
      </w:r>
      <w:r>
        <w:rPr>
          <w:rFonts w:ascii="Arial"/>
          <w:i/>
          <w:spacing w:val="17"/>
          <w:sz w:val="20"/>
        </w:rPr>
        <w:t> </w:t>
      </w:r>
      <w:r>
        <w:rPr>
          <w:rFonts w:ascii="Arial"/>
          <w:i/>
          <w:sz w:val="20"/>
        </w:rPr>
        <w:t>284</w:t>
      </w:r>
      <w:r>
        <w:rPr>
          <w:sz w:val="20"/>
        </w:rPr>
        <w:t>;</w:t>
      </w:r>
      <w:r>
        <w:rPr>
          <w:spacing w:val="17"/>
          <w:sz w:val="20"/>
        </w:rPr>
        <w:t> </w:t>
      </w:r>
      <w:r>
        <w:rPr>
          <w:rFonts w:ascii="Arial"/>
          <w:i/>
          <w:sz w:val="20"/>
        </w:rPr>
        <w:t>Re</w:t>
      </w:r>
      <w:r>
        <w:rPr>
          <w:rFonts w:ascii="Arial"/>
          <w:i/>
          <w:spacing w:val="17"/>
          <w:sz w:val="20"/>
        </w:rPr>
        <w:t> </w:t>
      </w:r>
      <w:r>
        <w:rPr>
          <w:rFonts w:ascii="Arial"/>
          <w:i/>
          <w:sz w:val="20"/>
        </w:rPr>
        <w:t>L.G.</w:t>
      </w:r>
      <w:r>
        <w:rPr>
          <w:rFonts w:ascii="Arial"/>
          <w:i/>
          <w:spacing w:val="17"/>
          <w:sz w:val="20"/>
        </w:rPr>
        <w:t> </w:t>
      </w:r>
      <w:r>
        <w:rPr>
          <w:rFonts w:ascii="Arial"/>
          <w:i/>
          <w:spacing w:val="-2"/>
          <w:sz w:val="20"/>
        </w:rPr>
        <w:t>Clarke</w:t>
      </w:r>
    </w:p>
    <w:p>
      <w:pPr>
        <w:spacing w:line="227" w:lineRule="exact" w:before="0"/>
        <w:ind w:left="705" w:right="0" w:firstLine="0"/>
        <w:jc w:val="left"/>
        <w:rPr>
          <w:sz w:val="20"/>
        </w:rPr>
      </w:pPr>
      <w:r>
        <w:rPr>
          <w:rFonts w:ascii="Arial"/>
          <w:i/>
          <w:sz w:val="20"/>
        </w:rPr>
        <w:t>[1967] Ch. </w:t>
      </w:r>
      <w:r>
        <w:rPr>
          <w:rFonts w:ascii="Arial"/>
          <w:i/>
          <w:spacing w:val="-4"/>
          <w:sz w:val="20"/>
        </w:rPr>
        <w:t>1121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221" w:id="1223"/>
      <w:bookmarkEnd w:id="1223"/>
      <w:r>
        <w:rPr/>
      </w:r>
      <w:hyperlink w:history="true" w:anchor="_bookmark1172">
        <w:r>
          <w:rPr>
            <w:color w:val="005DA1"/>
            <w:spacing w:val="-4"/>
            <w:position w:val="5"/>
            <w:sz w:val="14"/>
            <w:u w:val="single" w:color="005DA1"/>
          </w:rPr>
          <w:t>635</w:t>
        </w:r>
      </w:hyperlink>
      <w:r>
        <w:rPr>
          <w:spacing w:val="-4"/>
          <w:position w:val="5"/>
          <w:sz w:val="14"/>
        </w:rPr>
        <w:t>.</w:t>
      </w:r>
      <w:r>
        <w:rPr>
          <w:position w:val="5"/>
          <w:sz w:val="14"/>
        </w:rPr>
        <w:tab/>
      </w:r>
      <w:r>
        <w:rPr>
          <w:rFonts w:ascii="Arial" w:hAnsi="Arial"/>
          <w:i/>
          <w:sz w:val="20"/>
        </w:rPr>
        <w:t>Scholefield</w:t>
      </w:r>
      <w:r>
        <w:rPr>
          <w:rFonts w:ascii="Arial" w:hAnsi="Arial"/>
          <w:i/>
          <w:spacing w:val="-2"/>
          <w:sz w:val="20"/>
        </w:rPr>
        <w:t> </w:t>
      </w:r>
      <w:r>
        <w:rPr>
          <w:rFonts w:ascii="Arial" w:hAnsi="Arial"/>
          <w:i/>
          <w:sz w:val="20"/>
        </w:rPr>
        <w:t>v Templer (1859) 4 De G. &amp; J. 429, </w:t>
      </w:r>
      <w:r>
        <w:rPr>
          <w:rFonts w:ascii="Arial" w:hAnsi="Arial"/>
          <w:i/>
          <w:spacing w:val="-2"/>
          <w:sz w:val="20"/>
        </w:rPr>
        <w:t>433–434</w:t>
      </w:r>
      <w:r>
        <w:rPr>
          <w:spacing w:val="-2"/>
          <w:sz w:val="20"/>
        </w:rPr>
        <w:t>.</w:t>
      </w:r>
    </w:p>
    <w:p>
      <w:pPr>
        <w:pStyle w:val="BodyText"/>
        <w:spacing w:before="5"/>
      </w:pPr>
    </w:p>
    <w:p>
      <w:pPr>
        <w:tabs>
          <w:tab w:pos="540" w:val="left" w:leader="none"/>
        </w:tabs>
        <w:spacing w:line="227" w:lineRule="exact" w:before="0"/>
        <w:ind w:left="0" w:right="3" w:firstLine="0"/>
        <w:jc w:val="center"/>
        <w:rPr>
          <w:rFonts w:ascii="Arial"/>
          <w:i/>
          <w:sz w:val="20"/>
        </w:rPr>
      </w:pPr>
      <w:bookmarkStart w:name="_bookmark1222" w:id="1224"/>
      <w:bookmarkEnd w:id="1224"/>
      <w:r>
        <w:rPr/>
      </w:r>
      <w:hyperlink w:history="true" w:anchor="_bookmark1173">
        <w:r>
          <w:rPr>
            <w:color w:val="005DA1"/>
            <w:spacing w:val="-4"/>
            <w:position w:val="5"/>
            <w:sz w:val="14"/>
            <w:u w:val="single" w:color="005DA1"/>
          </w:rPr>
          <w:t>636</w:t>
        </w:r>
      </w:hyperlink>
      <w:r>
        <w:rPr>
          <w:spacing w:val="-4"/>
          <w:position w:val="5"/>
          <w:sz w:val="14"/>
        </w:rPr>
        <w:t>.</w:t>
      </w:r>
      <w:r>
        <w:rPr>
          <w:position w:val="5"/>
          <w:sz w:val="14"/>
        </w:rPr>
        <w:tab/>
      </w:r>
      <w:r>
        <w:rPr>
          <w:rFonts w:ascii="Arial"/>
          <w:i/>
          <w:sz w:val="20"/>
        </w:rPr>
        <w:t>Hardman</w:t>
      </w:r>
      <w:r>
        <w:rPr>
          <w:rFonts w:ascii="Arial"/>
          <w:i/>
          <w:spacing w:val="20"/>
          <w:sz w:val="20"/>
        </w:rPr>
        <w:t> </w:t>
      </w:r>
      <w:r>
        <w:rPr>
          <w:rFonts w:ascii="Arial"/>
          <w:i/>
          <w:sz w:val="20"/>
        </w:rPr>
        <w:t>v</w:t>
      </w:r>
      <w:r>
        <w:rPr>
          <w:rFonts w:ascii="Arial"/>
          <w:i/>
          <w:spacing w:val="23"/>
          <w:sz w:val="20"/>
        </w:rPr>
        <w:t> </w:t>
      </w:r>
      <w:r>
        <w:rPr>
          <w:rFonts w:ascii="Arial"/>
          <w:i/>
          <w:sz w:val="20"/>
        </w:rPr>
        <w:t>Booth</w:t>
      </w:r>
      <w:r>
        <w:rPr>
          <w:rFonts w:ascii="Arial"/>
          <w:i/>
          <w:spacing w:val="23"/>
          <w:sz w:val="20"/>
        </w:rPr>
        <w:t> </w:t>
      </w:r>
      <w:r>
        <w:rPr>
          <w:rFonts w:ascii="Arial"/>
          <w:i/>
          <w:sz w:val="20"/>
        </w:rPr>
        <w:t>(1863)</w:t>
      </w:r>
      <w:r>
        <w:rPr>
          <w:rFonts w:ascii="Arial"/>
          <w:i/>
          <w:spacing w:val="23"/>
          <w:sz w:val="20"/>
        </w:rPr>
        <w:t> </w:t>
      </w:r>
      <w:r>
        <w:rPr>
          <w:rFonts w:ascii="Arial"/>
          <w:i/>
          <w:sz w:val="20"/>
        </w:rPr>
        <w:t>1</w:t>
      </w:r>
      <w:r>
        <w:rPr>
          <w:rFonts w:ascii="Arial"/>
          <w:i/>
          <w:spacing w:val="23"/>
          <w:sz w:val="20"/>
        </w:rPr>
        <w:t> </w:t>
      </w:r>
      <w:r>
        <w:rPr>
          <w:rFonts w:ascii="Arial"/>
          <w:i/>
          <w:sz w:val="20"/>
        </w:rPr>
        <w:t>H.</w:t>
      </w:r>
      <w:r>
        <w:rPr>
          <w:rFonts w:ascii="Arial"/>
          <w:i/>
          <w:spacing w:val="23"/>
          <w:sz w:val="20"/>
        </w:rPr>
        <w:t> </w:t>
      </w:r>
      <w:r>
        <w:rPr>
          <w:rFonts w:ascii="Arial"/>
          <w:i/>
          <w:sz w:val="20"/>
        </w:rPr>
        <w:t>&amp;</w:t>
      </w:r>
      <w:r>
        <w:rPr>
          <w:rFonts w:ascii="Arial"/>
          <w:i/>
          <w:spacing w:val="23"/>
          <w:sz w:val="20"/>
        </w:rPr>
        <w:t> </w:t>
      </w:r>
      <w:r>
        <w:rPr>
          <w:rFonts w:ascii="Arial"/>
          <w:i/>
          <w:sz w:val="20"/>
        </w:rPr>
        <w:t>C.</w:t>
      </w:r>
      <w:r>
        <w:rPr>
          <w:rFonts w:ascii="Arial"/>
          <w:i/>
          <w:spacing w:val="23"/>
          <w:sz w:val="20"/>
        </w:rPr>
        <w:t> </w:t>
      </w:r>
      <w:r>
        <w:rPr>
          <w:rFonts w:ascii="Arial"/>
          <w:i/>
          <w:sz w:val="20"/>
        </w:rPr>
        <w:t>803</w:t>
      </w:r>
      <w:r>
        <w:rPr>
          <w:sz w:val="20"/>
        </w:rPr>
        <w:t>;</w:t>
      </w:r>
      <w:r>
        <w:rPr>
          <w:spacing w:val="23"/>
          <w:sz w:val="20"/>
        </w:rPr>
        <w:t> </w:t>
      </w:r>
      <w:r>
        <w:rPr>
          <w:rFonts w:ascii="Arial"/>
          <w:i/>
          <w:sz w:val="20"/>
        </w:rPr>
        <w:t>Cundy</w:t>
      </w:r>
      <w:r>
        <w:rPr>
          <w:rFonts w:ascii="Arial"/>
          <w:i/>
          <w:spacing w:val="22"/>
          <w:sz w:val="20"/>
        </w:rPr>
        <w:t> </w:t>
      </w:r>
      <w:r>
        <w:rPr>
          <w:rFonts w:ascii="Arial"/>
          <w:i/>
          <w:sz w:val="20"/>
        </w:rPr>
        <w:t>v</w:t>
      </w:r>
      <w:r>
        <w:rPr>
          <w:rFonts w:ascii="Arial"/>
          <w:i/>
          <w:spacing w:val="23"/>
          <w:sz w:val="20"/>
        </w:rPr>
        <w:t> </w:t>
      </w:r>
      <w:r>
        <w:rPr>
          <w:rFonts w:ascii="Arial"/>
          <w:i/>
          <w:sz w:val="20"/>
        </w:rPr>
        <w:t>Lindsay</w:t>
      </w:r>
      <w:r>
        <w:rPr>
          <w:rFonts w:ascii="Arial"/>
          <w:i/>
          <w:spacing w:val="23"/>
          <w:sz w:val="20"/>
        </w:rPr>
        <w:t> </w:t>
      </w:r>
      <w:r>
        <w:rPr>
          <w:rFonts w:ascii="Arial"/>
          <w:i/>
          <w:sz w:val="20"/>
        </w:rPr>
        <w:t>(1878)</w:t>
      </w:r>
      <w:r>
        <w:rPr>
          <w:rFonts w:ascii="Arial"/>
          <w:i/>
          <w:spacing w:val="23"/>
          <w:sz w:val="20"/>
        </w:rPr>
        <w:t> </w:t>
      </w:r>
      <w:r>
        <w:rPr>
          <w:rFonts w:ascii="Arial"/>
          <w:i/>
          <w:sz w:val="20"/>
        </w:rPr>
        <w:t>3</w:t>
      </w:r>
      <w:r>
        <w:rPr>
          <w:rFonts w:ascii="Arial"/>
          <w:i/>
          <w:spacing w:val="23"/>
          <w:sz w:val="20"/>
        </w:rPr>
        <w:t> </w:t>
      </w:r>
      <w:r>
        <w:rPr>
          <w:rFonts w:ascii="Arial"/>
          <w:i/>
          <w:sz w:val="20"/>
        </w:rPr>
        <w:t>App.</w:t>
      </w:r>
      <w:r>
        <w:rPr>
          <w:rFonts w:ascii="Arial"/>
          <w:i/>
          <w:spacing w:val="23"/>
          <w:sz w:val="20"/>
        </w:rPr>
        <w:t> </w:t>
      </w:r>
      <w:r>
        <w:rPr>
          <w:rFonts w:ascii="Arial"/>
          <w:i/>
          <w:sz w:val="20"/>
        </w:rPr>
        <w:t>Cas.</w:t>
      </w:r>
      <w:r>
        <w:rPr>
          <w:rFonts w:ascii="Arial"/>
          <w:i/>
          <w:spacing w:val="23"/>
          <w:sz w:val="20"/>
        </w:rPr>
        <w:t> </w:t>
      </w:r>
      <w:r>
        <w:rPr>
          <w:rFonts w:ascii="Arial"/>
          <w:i/>
          <w:sz w:val="20"/>
        </w:rPr>
        <w:t>459</w:t>
      </w:r>
      <w:r>
        <w:rPr>
          <w:sz w:val="20"/>
        </w:rPr>
        <w:t>;</w:t>
      </w:r>
      <w:r>
        <w:rPr>
          <w:spacing w:val="23"/>
          <w:sz w:val="20"/>
        </w:rPr>
        <w:t> </w:t>
      </w:r>
      <w:r>
        <w:rPr>
          <w:rFonts w:ascii="Arial"/>
          <w:i/>
          <w:sz w:val="20"/>
        </w:rPr>
        <w:t>Ingram</w:t>
      </w:r>
      <w:r>
        <w:rPr>
          <w:rFonts w:ascii="Arial"/>
          <w:i/>
          <w:spacing w:val="23"/>
          <w:sz w:val="20"/>
        </w:rPr>
        <w:t> </w:t>
      </w:r>
      <w:r>
        <w:rPr>
          <w:rFonts w:ascii="Arial"/>
          <w:i/>
          <w:spacing w:val="-10"/>
          <w:sz w:val="20"/>
        </w:rPr>
        <w:t>v</w:t>
      </w:r>
    </w:p>
    <w:p>
      <w:pPr>
        <w:spacing w:line="227" w:lineRule="exact" w:before="0"/>
        <w:ind w:left="0" w:right="0" w:firstLine="0"/>
        <w:jc w:val="center"/>
        <w:rPr>
          <w:sz w:val="20"/>
        </w:rPr>
      </w:pPr>
      <w:r>
        <w:rPr>
          <w:rFonts w:ascii="Arial"/>
          <w:i/>
          <w:sz w:val="20"/>
        </w:rPr>
        <w:t>Little</w:t>
      </w:r>
      <w:r>
        <w:rPr>
          <w:rFonts w:ascii="Arial"/>
          <w:i/>
          <w:spacing w:val="-1"/>
          <w:sz w:val="20"/>
        </w:rPr>
        <w:t> </w:t>
      </w:r>
      <w:r>
        <w:rPr>
          <w:rFonts w:ascii="Arial"/>
          <w:i/>
          <w:sz w:val="20"/>
        </w:rPr>
        <w:t>[1961] 1 Q.B. 31</w:t>
      </w:r>
      <w:r>
        <w:rPr>
          <w:sz w:val="20"/>
        </w:rPr>
        <w:t>; </w:t>
      </w:r>
      <w:r>
        <w:rPr>
          <w:rFonts w:ascii="Arial"/>
          <w:i/>
          <w:sz w:val="20"/>
        </w:rPr>
        <w:t>Shogun Finance Ltd v Hudson [2003] UKHL 62, [2004] 1 A.C. </w:t>
      </w:r>
      <w:r>
        <w:rPr>
          <w:rFonts w:ascii="Arial"/>
          <w:i/>
          <w:spacing w:val="-4"/>
          <w:sz w:val="20"/>
        </w:rPr>
        <w:t>919</w:t>
      </w:r>
      <w:r>
        <w:rPr>
          <w:spacing w:val="-4"/>
          <w:sz w:val="20"/>
        </w:rPr>
        <w:t>.</w:t>
      </w:r>
    </w:p>
    <w:p>
      <w:pPr>
        <w:pStyle w:val="BodyText"/>
        <w:spacing w:before="5"/>
      </w:pPr>
    </w:p>
    <w:p>
      <w:pPr>
        <w:pStyle w:val="BodyText"/>
        <w:tabs>
          <w:tab w:pos="705" w:val="left" w:leader="none"/>
        </w:tabs>
        <w:ind w:left="165"/>
      </w:pPr>
      <w:bookmarkStart w:name="_bookmark1223" w:id="1225"/>
      <w:bookmarkEnd w:id="1225"/>
      <w:r>
        <w:rPr/>
      </w:r>
      <w:hyperlink w:history="true" w:anchor="_bookmark1174">
        <w:r>
          <w:rPr>
            <w:color w:val="005DA1"/>
            <w:spacing w:val="-4"/>
            <w:position w:val="5"/>
            <w:sz w:val="14"/>
            <w:u w:val="single" w:color="005DA1"/>
          </w:rPr>
          <w:t>637</w:t>
        </w:r>
      </w:hyperlink>
      <w:r>
        <w:rPr>
          <w:spacing w:val="-4"/>
          <w:position w:val="5"/>
          <w:sz w:val="14"/>
        </w:rPr>
        <w:t>.</w:t>
      </w:r>
      <w:r>
        <w:rPr>
          <w:position w:val="5"/>
          <w:sz w:val="14"/>
        </w:rPr>
        <w:tab/>
      </w:r>
      <w:r>
        <w:rPr/>
        <w:t>Sale of Goods Act 1979 </w:t>
      </w:r>
      <w:r>
        <w:rPr>
          <w:spacing w:val="-2"/>
        </w:rPr>
        <w:t>s.23.</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224" w:id="1226"/>
      <w:bookmarkEnd w:id="1226"/>
      <w:r>
        <w:rPr/>
      </w:r>
      <w:hyperlink w:history="true" w:anchor="_bookmark1175">
        <w:r>
          <w:rPr>
            <w:color w:val="005DA1"/>
            <w:spacing w:val="-4"/>
            <w:position w:val="5"/>
            <w:sz w:val="14"/>
            <w:u w:val="single" w:color="005DA1"/>
          </w:rPr>
          <w:t>638</w:t>
        </w:r>
      </w:hyperlink>
      <w:r>
        <w:rPr>
          <w:spacing w:val="-4"/>
          <w:position w:val="5"/>
          <w:sz w:val="14"/>
        </w:rPr>
        <w:t>.</w:t>
      </w:r>
      <w:r>
        <w:rPr>
          <w:position w:val="5"/>
          <w:sz w:val="14"/>
        </w:rPr>
        <w:tab/>
      </w:r>
      <w:r>
        <w:rPr>
          <w:sz w:val="20"/>
        </w:rPr>
        <w:t>As,</w:t>
      </w:r>
      <w:r>
        <w:rPr>
          <w:spacing w:val="26"/>
          <w:sz w:val="20"/>
        </w:rPr>
        <w:t> </w:t>
      </w:r>
      <w:r>
        <w:rPr>
          <w:sz w:val="20"/>
        </w:rPr>
        <w:t>e.g.</w:t>
      </w:r>
      <w:r>
        <w:rPr>
          <w:spacing w:val="26"/>
          <w:sz w:val="20"/>
        </w:rPr>
        <w:t> </w:t>
      </w:r>
      <w:r>
        <w:rPr>
          <w:sz w:val="20"/>
        </w:rPr>
        <w:t>in</w:t>
      </w:r>
      <w:r>
        <w:rPr>
          <w:spacing w:val="26"/>
          <w:sz w:val="20"/>
        </w:rPr>
        <w:t> </w:t>
      </w:r>
      <w:r>
        <w:rPr>
          <w:rFonts w:ascii="Arial"/>
          <w:i/>
          <w:sz w:val="20"/>
        </w:rPr>
        <w:t>Cundy</w:t>
      </w:r>
      <w:r>
        <w:rPr>
          <w:rFonts w:ascii="Arial"/>
          <w:i/>
          <w:spacing w:val="26"/>
          <w:sz w:val="20"/>
        </w:rPr>
        <w:t> </w:t>
      </w:r>
      <w:r>
        <w:rPr>
          <w:rFonts w:ascii="Arial"/>
          <w:i/>
          <w:sz w:val="20"/>
        </w:rPr>
        <w:t>v</w:t>
      </w:r>
      <w:r>
        <w:rPr>
          <w:rFonts w:ascii="Arial"/>
          <w:i/>
          <w:spacing w:val="26"/>
          <w:sz w:val="20"/>
        </w:rPr>
        <w:t> </w:t>
      </w:r>
      <w:r>
        <w:rPr>
          <w:rFonts w:ascii="Arial"/>
          <w:i/>
          <w:sz w:val="20"/>
        </w:rPr>
        <w:t>Lindsay</w:t>
      </w:r>
      <w:r>
        <w:rPr>
          <w:rFonts w:ascii="Arial"/>
          <w:i/>
          <w:spacing w:val="26"/>
          <w:sz w:val="20"/>
        </w:rPr>
        <w:t> </w:t>
      </w:r>
      <w:r>
        <w:rPr>
          <w:rFonts w:ascii="Arial"/>
          <w:i/>
          <w:sz w:val="20"/>
        </w:rPr>
        <w:t>(1877)</w:t>
      </w:r>
      <w:r>
        <w:rPr>
          <w:rFonts w:ascii="Arial"/>
          <w:i/>
          <w:spacing w:val="26"/>
          <w:sz w:val="20"/>
        </w:rPr>
        <w:t> </w:t>
      </w:r>
      <w:r>
        <w:rPr>
          <w:rFonts w:ascii="Arial"/>
          <w:i/>
          <w:sz w:val="20"/>
        </w:rPr>
        <w:t>L.R.</w:t>
      </w:r>
      <w:r>
        <w:rPr>
          <w:rFonts w:ascii="Arial"/>
          <w:i/>
          <w:spacing w:val="26"/>
          <w:sz w:val="20"/>
        </w:rPr>
        <w:t> </w:t>
      </w:r>
      <w:r>
        <w:rPr>
          <w:rFonts w:ascii="Arial"/>
          <w:i/>
          <w:sz w:val="20"/>
        </w:rPr>
        <w:t>3</w:t>
      </w:r>
      <w:r>
        <w:rPr>
          <w:rFonts w:ascii="Arial"/>
          <w:i/>
          <w:spacing w:val="26"/>
          <w:sz w:val="20"/>
        </w:rPr>
        <w:t> </w:t>
      </w:r>
      <w:r>
        <w:rPr>
          <w:rFonts w:ascii="Arial"/>
          <w:i/>
          <w:sz w:val="20"/>
        </w:rPr>
        <w:t>App.</w:t>
      </w:r>
      <w:r>
        <w:rPr>
          <w:rFonts w:ascii="Arial"/>
          <w:i/>
          <w:spacing w:val="26"/>
          <w:sz w:val="20"/>
        </w:rPr>
        <w:t> </w:t>
      </w:r>
      <w:r>
        <w:rPr>
          <w:rFonts w:ascii="Arial"/>
          <w:i/>
          <w:sz w:val="20"/>
        </w:rPr>
        <w:t>Cas.</w:t>
      </w:r>
      <w:r>
        <w:rPr>
          <w:rFonts w:ascii="Arial"/>
          <w:i/>
          <w:spacing w:val="26"/>
          <w:sz w:val="20"/>
        </w:rPr>
        <w:t> </w:t>
      </w:r>
      <w:r>
        <w:rPr>
          <w:rFonts w:ascii="Arial"/>
          <w:i/>
          <w:sz w:val="20"/>
        </w:rPr>
        <w:t>459</w:t>
      </w:r>
      <w:r>
        <w:rPr>
          <w:rFonts w:ascii="Arial"/>
          <w:i/>
          <w:spacing w:val="25"/>
          <w:sz w:val="20"/>
        </w:rPr>
        <w:t> </w:t>
      </w:r>
      <w:r>
        <w:rPr>
          <w:sz w:val="20"/>
        </w:rPr>
        <w:t>and</w:t>
      </w:r>
      <w:r>
        <w:rPr>
          <w:spacing w:val="26"/>
          <w:sz w:val="20"/>
        </w:rPr>
        <w:t> </w:t>
      </w:r>
      <w:r>
        <w:rPr>
          <w:rFonts w:ascii="Arial"/>
          <w:i/>
          <w:sz w:val="20"/>
        </w:rPr>
        <w:t>Ingram</w:t>
      </w:r>
      <w:r>
        <w:rPr>
          <w:rFonts w:ascii="Arial"/>
          <w:i/>
          <w:spacing w:val="26"/>
          <w:sz w:val="20"/>
        </w:rPr>
        <w:t> </w:t>
      </w:r>
      <w:r>
        <w:rPr>
          <w:rFonts w:ascii="Arial"/>
          <w:i/>
          <w:sz w:val="20"/>
        </w:rPr>
        <w:t>v</w:t>
      </w:r>
      <w:r>
        <w:rPr>
          <w:rFonts w:ascii="Arial"/>
          <w:i/>
          <w:spacing w:val="26"/>
          <w:sz w:val="20"/>
        </w:rPr>
        <w:t> </w:t>
      </w:r>
      <w:r>
        <w:rPr>
          <w:rFonts w:ascii="Arial"/>
          <w:i/>
          <w:sz w:val="20"/>
        </w:rPr>
        <w:t>Little</w:t>
      </w:r>
      <w:r>
        <w:rPr>
          <w:rFonts w:ascii="Arial"/>
          <w:i/>
          <w:spacing w:val="26"/>
          <w:sz w:val="20"/>
        </w:rPr>
        <w:t> </w:t>
      </w:r>
      <w:r>
        <w:rPr>
          <w:rFonts w:ascii="Arial"/>
          <w:i/>
          <w:sz w:val="20"/>
        </w:rPr>
        <w:t>(1892)</w:t>
      </w:r>
      <w:r>
        <w:rPr>
          <w:rFonts w:ascii="Arial"/>
          <w:i/>
          <w:spacing w:val="26"/>
          <w:sz w:val="20"/>
        </w:rPr>
        <w:t> </w:t>
      </w:r>
      <w:r>
        <w:rPr>
          <w:rFonts w:ascii="Arial"/>
          <w:i/>
          <w:sz w:val="20"/>
        </w:rPr>
        <w:t>L.R.</w:t>
      </w:r>
      <w:r>
        <w:rPr>
          <w:rFonts w:ascii="Arial"/>
          <w:i/>
          <w:spacing w:val="26"/>
          <w:sz w:val="20"/>
        </w:rPr>
        <w:t> </w:t>
      </w:r>
      <w:r>
        <w:rPr>
          <w:rFonts w:ascii="Arial"/>
          <w:i/>
          <w:spacing w:val="-5"/>
          <w:sz w:val="20"/>
        </w:rPr>
        <w:t>11</w:t>
      </w:r>
    </w:p>
    <w:p>
      <w:pPr>
        <w:pStyle w:val="BodyText"/>
        <w:spacing w:line="235" w:lineRule="auto" w:before="1"/>
        <w:ind w:left="705" w:right="167"/>
        <w:jc w:val="both"/>
      </w:pPr>
      <w:r>
        <w:rPr>
          <w:rFonts w:ascii="Arial" w:hAnsi="Arial"/>
          <w:i/>
        </w:rPr>
        <w:t>Q.B.D. 251</w:t>
      </w:r>
      <w:r>
        <w:rPr/>
        <w:t>. The rule that intervention of third party rights prevents rescission is </w:t>
      </w:r>
      <w:r>
        <w:rPr/>
        <w:t>normally invoked where a third party has acquired rights over the property transferred; but it can </w:t>
      </w:r>
      <w:r>
        <w:rPr/>
        <w:t>also apply where liability to third parties has been incurred before rescission is claimed and rescission would cause detriment to them: </w:t>
      </w:r>
      <w:r>
        <w:rPr>
          <w:rFonts w:ascii="Arial" w:hAnsi="Arial"/>
          <w:i/>
        </w:rPr>
        <w:t>Society of Lloyd’s v Lyon Unreported August </w:t>
      </w:r>
      <w:r>
        <w:rPr>
          <w:rFonts w:ascii="Arial" w:hAnsi="Arial"/>
          <w:i/>
        </w:rPr>
        <w:t>11, </w:t>
      </w:r>
      <w:r>
        <w:rPr>
          <w:rFonts w:ascii="Arial" w:hAnsi="Arial"/>
          <w:i/>
          <w:spacing w:val="-2"/>
        </w:rPr>
        <w:t>1997</w:t>
      </w:r>
      <w:r>
        <w:rPr>
          <w:spacing w:val="-2"/>
        </w:rPr>
        <w:t>.</w:t>
      </w:r>
    </w:p>
    <w:p>
      <w:pPr>
        <w:pStyle w:val="BodyText"/>
        <w:spacing w:before="5"/>
      </w:pPr>
    </w:p>
    <w:p>
      <w:pPr>
        <w:tabs>
          <w:tab w:pos="705" w:val="left" w:leader="none"/>
        </w:tabs>
        <w:spacing w:before="0"/>
        <w:ind w:left="165" w:right="0" w:firstLine="0"/>
        <w:jc w:val="left"/>
        <w:rPr>
          <w:sz w:val="20"/>
        </w:rPr>
      </w:pPr>
      <w:bookmarkStart w:name="_bookmark1225" w:id="1227"/>
      <w:bookmarkEnd w:id="1227"/>
      <w:r>
        <w:rPr/>
      </w:r>
      <w:hyperlink w:history="true" w:anchor="_bookmark1176">
        <w:r>
          <w:rPr>
            <w:color w:val="005DA1"/>
            <w:spacing w:val="-4"/>
            <w:position w:val="5"/>
            <w:sz w:val="14"/>
            <w:u w:val="single" w:color="005DA1"/>
          </w:rPr>
          <w:t>639</w:t>
        </w:r>
      </w:hyperlink>
      <w:r>
        <w:rPr>
          <w:spacing w:val="-4"/>
          <w:position w:val="5"/>
          <w:sz w:val="14"/>
        </w:rPr>
        <w:t>.</w:t>
      </w:r>
      <w:r>
        <w:rPr>
          <w:position w:val="5"/>
          <w:sz w:val="14"/>
        </w:rPr>
        <w:tab/>
      </w:r>
      <w:r>
        <w:rPr>
          <w:rFonts w:ascii="Arial" w:hAnsi="Arial"/>
          <w:i/>
          <w:sz w:val="20"/>
        </w:rPr>
        <w:t>Society of Lloyd’s v Khan [1998] 3 F.C.R. </w:t>
      </w:r>
      <w:r>
        <w:rPr>
          <w:rFonts w:ascii="Arial" w:hAnsi="Arial"/>
          <w:i/>
          <w:spacing w:val="-5"/>
          <w:sz w:val="20"/>
        </w:rPr>
        <w:t>93</w:t>
      </w:r>
      <w:r>
        <w:rPr>
          <w:spacing w:val="-5"/>
          <w:sz w:val="20"/>
        </w:rPr>
        <w:t>.</w:t>
      </w:r>
    </w:p>
    <w:p>
      <w:pPr>
        <w:pStyle w:val="BodyText"/>
        <w:spacing w:before="8"/>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0864">
            <wp:simplePos x="0" y="0"/>
            <wp:positionH relativeFrom="page">
              <wp:posOffset>1257846</wp:posOffset>
            </wp:positionH>
            <wp:positionV relativeFrom="paragraph">
              <wp:posOffset>160708</wp:posOffset>
            </wp:positionV>
            <wp:extent cx="107988" cy="107988"/>
            <wp:effectExtent l="0" t="0" r="0" b="0"/>
            <wp:wrapNone/>
            <wp:docPr id="216" name="Image 216"/>
            <wp:cNvGraphicFramePr>
              <a:graphicFrameLocks/>
            </wp:cNvGraphicFramePr>
            <a:graphic>
              <a:graphicData uri="http://schemas.openxmlformats.org/drawingml/2006/picture">
                <pic:pic>
                  <pic:nvPicPr>
                    <pic:cNvPr id="216" name="Image 21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26" w:id="1228"/>
      <w:bookmarkEnd w:id="1228"/>
      <w:r>
        <w:rPr/>
      </w:r>
      <w:hyperlink w:history="true" w:anchor="_bookmark1177">
        <w:r>
          <w:rPr>
            <w:color w:val="005DA1"/>
            <w:spacing w:val="-4"/>
            <w:sz w:val="14"/>
            <w:u w:val="single" w:color="005DA1"/>
          </w:rPr>
          <w:t>640</w:t>
        </w:r>
      </w:hyperlink>
      <w:r>
        <w:rPr>
          <w:spacing w:val="-4"/>
          <w:sz w:val="14"/>
        </w:rPr>
        <w:t>.</w:t>
      </w:r>
    </w:p>
    <w:p>
      <w:pPr>
        <w:spacing w:line="235" w:lineRule="auto" w:before="213"/>
        <w:ind w:left="165" w:right="167" w:firstLine="170"/>
        <w:jc w:val="both"/>
        <w:rPr>
          <w:sz w:val="20"/>
        </w:rPr>
      </w:pPr>
      <w:r>
        <w:rPr/>
        <w:br w:type="column"/>
      </w:r>
      <w:r>
        <w:rPr>
          <w:sz w:val="20"/>
        </w:rPr>
        <w:t>See</w:t>
      </w:r>
      <w:r>
        <w:rPr>
          <w:spacing w:val="-1"/>
          <w:sz w:val="20"/>
        </w:rPr>
        <w:t> </w:t>
      </w:r>
      <w:r>
        <w:rPr>
          <w:rFonts w:ascii="Arial" w:hAnsi="Arial"/>
          <w:i/>
          <w:sz w:val="20"/>
        </w:rPr>
        <w:t>Shalson</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Russo</w:t>
      </w:r>
      <w:r>
        <w:rPr>
          <w:rFonts w:ascii="Arial" w:hAnsi="Arial"/>
          <w:i/>
          <w:spacing w:val="-1"/>
          <w:sz w:val="20"/>
        </w:rPr>
        <w:t> </w:t>
      </w:r>
      <w:r>
        <w:rPr>
          <w:rFonts w:ascii="Arial" w:hAnsi="Arial"/>
          <w:i/>
          <w:sz w:val="20"/>
        </w:rPr>
        <w:t>[2003]</w:t>
      </w:r>
      <w:r>
        <w:rPr>
          <w:rFonts w:ascii="Arial" w:hAnsi="Arial"/>
          <w:i/>
          <w:spacing w:val="-1"/>
          <w:sz w:val="20"/>
        </w:rPr>
        <w:t> </w:t>
      </w:r>
      <w:r>
        <w:rPr>
          <w:rFonts w:ascii="Arial" w:hAnsi="Arial"/>
          <w:i/>
          <w:sz w:val="20"/>
        </w:rPr>
        <w:t>EWHC</w:t>
      </w:r>
      <w:r>
        <w:rPr>
          <w:rFonts w:ascii="Arial" w:hAnsi="Arial"/>
          <w:i/>
          <w:spacing w:val="-1"/>
          <w:sz w:val="20"/>
        </w:rPr>
        <w:t> </w:t>
      </w:r>
      <w:r>
        <w:rPr>
          <w:rFonts w:ascii="Arial" w:hAnsi="Arial"/>
          <w:i/>
          <w:sz w:val="20"/>
        </w:rPr>
        <w:t>1637</w:t>
      </w:r>
      <w:r>
        <w:rPr>
          <w:rFonts w:ascii="Arial" w:hAnsi="Arial"/>
          <w:i/>
          <w:spacing w:val="-1"/>
          <w:sz w:val="20"/>
        </w:rPr>
        <w:t> </w:t>
      </w:r>
      <w:r>
        <w:rPr>
          <w:rFonts w:ascii="Arial" w:hAnsi="Arial"/>
          <w:i/>
          <w:sz w:val="20"/>
        </w:rPr>
        <w:t>(Ch),</w:t>
      </w:r>
      <w:r>
        <w:rPr>
          <w:rFonts w:ascii="Arial" w:hAnsi="Arial"/>
          <w:i/>
          <w:spacing w:val="-1"/>
          <w:sz w:val="20"/>
        </w:rPr>
        <w:t> </w:t>
      </w:r>
      <w:r>
        <w:rPr>
          <w:rFonts w:ascii="Arial" w:hAnsi="Arial"/>
          <w:i/>
          <w:sz w:val="20"/>
        </w:rPr>
        <w:t>[2005]</w:t>
      </w:r>
      <w:r>
        <w:rPr>
          <w:rFonts w:ascii="Arial" w:hAnsi="Arial"/>
          <w:i/>
          <w:spacing w:val="-1"/>
          <w:sz w:val="20"/>
        </w:rPr>
        <w:t> </w:t>
      </w:r>
      <w:r>
        <w:rPr>
          <w:rFonts w:ascii="Arial" w:hAnsi="Arial"/>
          <w:i/>
          <w:sz w:val="20"/>
        </w:rPr>
        <w:t>Ch.</w:t>
      </w:r>
      <w:r>
        <w:rPr>
          <w:rFonts w:ascii="Arial" w:hAnsi="Arial"/>
          <w:i/>
          <w:spacing w:val="-1"/>
          <w:sz w:val="20"/>
        </w:rPr>
        <w:t> </w:t>
      </w:r>
      <w:r>
        <w:rPr>
          <w:rFonts w:ascii="Arial" w:hAnsi="Arial"/>
          <w:i/>
          <w:sz w:val="20"/>
        </w:rPr>
        <w:t>281</w:t>
      </w:r>
      <w:r>
        <w:rPr>
          <w:rFonts w:ascii="Arial" w:hAnsi="Arial"/>
          <w:i/>
          <w:spacing w:val="-2"/>
          <w:sz w:val="20"/>
        </w:rPr>
        <w:t> </w:t>
      </w:r>
      <w:r>
        <w:rPr>
          <w:sz w:val="20"/>
        </w:rPr>
        <w:t>at</w:t>
      </w:r>
      <w:r>
        <w:rPr>
          <w:spacing w:val="-1"/>
          <w:sz w:val="20"/>
        </w:rPr>
        <w:t> </w:t>
      </w:r>
      <w:r>
        <w:rPr>
          <w:sz w:val="20"/>
        </w:rPr>
        <w:t>[122]–[127];</w:t>
      </w:r>
      <w:r>
        <w:rPr>
          <w:spacing w:val="-1"/>
          <w:sz w:val="20"/>
        </w:rPr>
        <w:t> </w:t>
      </w:r>
      <w:r>
        <w:rPr>
          <w:rFonts w:ascii="Arial" w:hAnsi="Arial"/>
          <w:i/>
          <w:sz w:val="20"/>
        </w:rPr>
        <w:t>National</w:t>
      </w:r>
      <w:r>
        <w:rPr>
          <w:rFonts w:ascii="Arial" w:hAnsi="Arial"/>
          <w:i/>
          <w:spacing w:val="-1"/>
          <w:sz w:val="20"/>
        </w:rPr>
        <w:t> </w:t>
      </w:r>
      <w:r>
        <w:rPr>
          <w:rFonts w:ascii="Arial" w:hAnsi="Arial"/>
          <w:i/>
          <w:sz w:val="20"/>
        </w:rPr>
        <w:t>Crime Agency v Robb [2015] Ch. 520 </w:t>
      </w:r>
      <w:r>
        <w:rPr>
          <w:sz w:val="20"/>
        </w:rPr>
        <w:t>at [40]–[46] (cases of fraud); </w:t>
      </w:r>
      <w:r>
        <w:rPr>
          <w:rFonts w:ascii="Arial" w:hAnsi="Arial"/>
          <w:i/>
          <w:sz w:val="20"/>
        </w:rPr>
        <w:t>Pearce v Beverley [2013] EWHC 2627 (Ch) </w:t>
      </w:r>
      <w:r>
        <w:rPr>
          <w:sz w:val="20"/>
        </w:rPr>
        <w:t>(undue influence); and </w:t>
      </w:r>
      <w:r>
        <w:rPr>
          <w:rFonts w:ascii="Arial" w:hAnsi="Arial"/>
          <w:i/>
          <w:sz w:val="20"/>
        </w:rPr>
        <w:t>Bainbridge v Bainbridge [2016] EWHC 898 (Ch) </w:t>
      </w:r>
      <w:r>
        <w:rPr>
          <w:sz w:val="20"/>
        </w:rPr>
        <w:t>at [24]–[32] (voluntary settlement sought to be set aside for mistake (see Main Work, Vol.I, and also above, para.6-025 n.25)).</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7"/>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bookmarkStart w:name="_bookmark1227" w:id="1229"/>
      <w:bookmarkEnd w:id="1229"/>
      <w:r>
        <w:rPr/>
      </w:r>
      <w:hyperlink w:history="true" w:anchor="_bookmark1178">
        <w:r>
          <w:rPr>
            <w:color w:val="005DA1"/>
            <w:spacing w:val="-4"/>
            <w:sz w:val="14"/>
            <w:u w:val="single" w:color="005DA1"/>
          </w:rPr>
          <w:t>641</w:t>
        </w:r>
      </w:hyperlink>
      <w:r>
        <w:rPr>
          <w:spacing w:val="-4"/>
          <w:sz w:val="14"/>
        </w:rPr>
        <w:t>.</w:t>
      </w:r>
    </w:p>
    <w:p>
      <w:pPr>
        <w:spacing w:before="209"/>
        <w:ind w:left="335" w:right="0" w:firstLine="0"/>
        <w:jc w:val="left"/>
        <w:rPr>
          <w:sz w:val="20"/>
        </w:rPr>
      </w:pPr>
      <w:r>
        <w:rPr/>
        <w:br w:type="column"/>
      </w:r>
      <w:r>
        <w:rPr>
          <w:rFonts w:ascii="Arial"/>
          <w:i/>
          <w:sz w:val="20"/>
        </w:rPr>
        <w:t>Shalson v Russo [2003] EWHC 1637 (Ch)</w:t>
      </w:r>
      <w:r>
        <w:rPr>
          <w:rFonts w:ascii="Arial"/>
          <w:i/>
          <w:spacing w:val="-1"/>
          <w:sz w:val="20"/>
        </w:rPr>
        <w:t> </w:t>
      </w:r>
      <w:r>
        <w:rPr>
          <w:sz w:val="20"/>
        </w:rPr>
        <w:t>at </w:t>
      </w:r>
      <w:r>
        <w:rPr>
          <w:spacing w:val="-2"/>
          <w:sz w:val="20"/>
        </w:rPr>
        <w:t>[122].</w:t>
      </w:r>
    </w:p>
    <w:p>
      <w:pPr>
        <w:spacing w:after="0"/>
        <w:jc w:val="left"/>
        <w:rPr>
          <w:sz w:val="20"/>
        </w:rPr>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81376">
            <wp:simplePos x="0" y="0"/>
            <wp:positionH relativeFrom="page">
              <wp:posOffset>1257846</wp:posOffset>
            </wp:positionH>
            <wp:positionV relativeFrom="paragraph">
              <wp:posOffset>-211313</wp:posOffset>
            </wp:positionV>
            <wp:extent cx="107988" cy="107988"/>
            <wp:effectExtent l="0" t="0" r="0" b="0"/>
            <wp:wrapNone/>
            <wp:docPr id="217" name="Image 217"/>
            <wp:cNvGraphicFramePr>
              <a:graphicFrameLocks/>
            </wp:cNvGraphicFramePr>
            <a:graphic>
              <a:graphicData uri="http://schemas.openxmlformats.org/drawingml/2006/picture">
                <pic:pic>
                  <pic:nvPicPr>
                    <pic:cNvPr id="217" name="Image 217"/>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81888">
            <wp:simplePos x="0" y="0"/>
            <wp:positionH relativeFrom="page">
              <wp:posOffset>1257846</wp:posOffset>
            </wp:positionH>
            <wp:positionV relativeFrom="paragraph">
              <wp:posOffset>160161</wp:posOffset>
            </wp:positionV>
            <wp:extent cx="107988" cy="107988"/>
            <wp:effectExtent l="0" t="0" r="0" b="0"/>
            <wp:wrapNone/>
            <wp:docPr id="218" name="Image 218"/>
            <wp:cNvGraphicFramePr>
              <a:graphicFrameLocks/>
            </wp:cNvGraphicFramePr>
            <a:graphic>
              <a:graphicData uri="http://schemas.openxmlformats.org/drawingml/2006/picture">
                <pic:pic>
                  <pic:nvPicPr>
                    <pic:cNvPr id="218" name="Image 21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28" w:id="1230"/>
      <w:bookmarkEnd w:id="1230"/>
      <w:r>
        <w:rPr/>
      </w:r>
      <w:hyperlink w:history="true" w:anchor="_bookmark1179">
        <w:r>
          <w:rPr>
            <w:color w:val="005DA1"/>
            <w:spacing w:val="-4"/>
            <w:sz w:val="14"/>
            <w:u w:val="single" w:color="005DA1"/>
          </w:rPr>
          <w:t>642</w:t>
        </w:r>
      </w:hyperlink>
      <w:r>
        <w:rPr>
          <w:spacing w:val="-4"/>
          <w:sz w:val="14"/>
        </w:rPr>
        <w:t>.</w:t>
      </w:r>
    </w:p>
    <w:p>
      <w:pPr>
        <w:spacing w:line="235" w:lineRule="auto" w:before="212"/>
        <w:ind w:left="165" w:right="168" w:firstLine="170"/>
        <w:jc w:val="both"/>
        <w:rPr>
          <w:sz w:val="20"/>
        </w:rPr>
      </w:pPr>
      <w:r>
        <w:rPr/>
        <w:br w:type="column"/>
      </w:r>
      <w:r>
        <w:rPr>
          <w:rFonts w:ascii="Arial" w:hAnsi="Arial"/>
          <w:i/>
          <w:sz w:val="20"/>
        </w:rPr>
        <w:t>Clough v L. &amp; N.W. Ry (1871) L.R. 7 Ex. 26, 32, 34</w:t>
      </w:r>
      <w:r>
        <w:rPr>
          <w:sz w:val="20"/>
        </w:rPr>
        <w:t>; </w:t>
      </w:r>
      <w:r>
        <w:rPr>
          <w:rFonts w:ascii="Arial" w:hAnsi="Arial"/>
          <w:i/>
          <w:sz w:val="20"/>
        </w:rPr>
        <w:t>Bristol and West Building Society </w:t>
      </w:r>
      <w:r>
        <w:rPr>
          <w:rFonts w:ascii="Arial" w:hAnsi="Arial"/>
          <w:i/>
          <w:sz w:val="20"/>
        </w:rPr>
        <w:t>v Mothew [1998] Ch. 1, 22</w:t>
      </w:r>
      <w:r>
        <w:rPr>
          <w:sz w:val="20"/>
        </w:rPr>
        <w:t>; </w:t>
      </w:r>
      <w:r>
        <w:rPr>
          <w:rFonts w:ascii="Arial" w:hAnsi="Arial"/>
          <w:i/>
          <w:sz w:val="20"/>
        </w:rPr>
        <w:t>Barclays Bank Plc v Boulter [1999] 1 W.L.R. 1919, HL</w:t>
      </w:r>
      <w:r>
        <w:rPr>
          <w:sz w:val="20"/>
        </w:rPr>
        <w:t>, at 1925; </w:t>
      </w:r>
      <w:r>
        <w:rPr>
          <w:rFonts w:ascii="Arial" w:hAnsi="Arial"/>
          <w:i/>
          <w:sz w:val="20"/>
        </w:rPr>
        <w:t>Twinsectra Ltd v Yardley [1999] Lloyd’s Rep. Bank. 438 CA </w:t>
      </w:r>
      <w:r>
        <w:rPr>
          <w:sz w:val="20"/>
        </w:rPr>
        <w:t>at [461]–[462]; </w:t>
      </w:r>
      <w:r>
        <w:rPr>
          <w:rFonts w:ascii="Arial" w:hAnsi="Arial"/>
          <w:i/>
          <w:sz w:val="20"/>
        </w:rPr>
        <w:t>Shalson v Russo [2003] EWHC 1637, The Times, September 3, 2003 Ch D </w:t>
      </w:r>
      <w:r>
        <w:rPr>
          <w:sz w:val="20"/>
        </w:rPr>
        <w:t>(defendant did not hold property on constructive trust before rescission). For a full discussion see Cartwright, </w:t>
      </w:r>
      <w:r>
        <w:rPr>
          <w:rFonts w:ascii="Arial" w:hAnsi="Arial"/>
          <w:i/>
          <w:sz w:val="20"/>
        </w:rPr>
        <w:t>Misrepresentation, Mistake and Non-disclosure</w:t>
      </w:r>
      <w:r>
        <w:rPr>
          <w:sz w:val="20"/>
        </w:rPr>
        <w:t>, 4th edn (2016), para.4-10, and Worthington [2002] R.L.R. 28.</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3"/>
      </w:pPr>
    </w:p>
    <w:p>
      <w:pPr>
        <w:tabs>
          <w:tab w:pos="705" w:val="left" w:leader="none"/>
        </w:tabs>
        <w:spacing w:before="1"/>
        <w:ind w:left="165" w:right="0" w:firstLine="0"/>
        <w:jc w:val="left"/>
        <w:rPr>
          <w:sz w:val="20"/>
        </w:rPr>
      </w:pPr>
      <w:bookmarkStart w:name="_bookmark1229" w:id="1231"/>
      <w:bookmarkEnd w:id="1231"/>
      <w:r>
        <w:rPr/>
      </w:r>
      <w:hyperlink w:history="true" w:anchor="_bookmark1180">
        <w:r>
          <w:rPr>
            <w:color w:val="005DA1"/>
            <w:spacing w:val="-4"/>
            <w:position w:val="5"/>
            <w:sz w:val="14"/>
            <w:u w:val="single" w:color="005DA1"/>
          </w:rPr>
          <w:t>643</w:t>
        </w:r>
      </w:hyperlink>
      <w:r>
        <w:rPr>
          <w:spacing w:val="-4"/>
          <w:position w:val="5"/>
          <w:sz w:val="14"/>
        </w:rPr>
        <w:t>.</w:t>
      </w:r>
      <w:r>
        <w:rPr>
          <w:position w:val="5"/>
          <w:sz w:val="14"/>
        </w:rPr>
        <w:tab/>
      </w:r>
      <w:r>
        <w:rPr>
          <w:sz w:val="20"/>
        </w:rPr>
        <w:t>Below, para.19-</w:t>
      </w:r>
      <w:r>
        <w:rPr>
          <w:spacing w:val="-4"/>
          <w:sz w:val="20"/>
        </w:rPr>
        <w:t>071.</w:t>
      </w:r>
    </w:p>
    <w:p>
      <w:pPr>
        <w:pStyle w:val="BodyText"/>
        <w:spacing w:before="5"/>
      </w:pPr>
    </w:p>
    <w:p>
      <w:pPr>
        <w:tabs>
          <w:tab w:pos="705" w:val="left" w:leader="none"/>
        </w:tabs>
        <w:spacing w:before="0"/>
        <w:ind w:left="165" w:right="0" w:firstLine="0"/>
        <w:jc w:val="left"/>
        <w:rPr>
          <w:sz w:val="20"/>
        </w:rPr>
      </w:pPr>
      <w:bookmarkStart w:name="_bookmark1230" w:id="1232"/>
      <w:bookmarkEnd w:id="1232"/>
      <w:r>
        <w:rPr/>
      </w:r>
      <w:hyperlink w:history="true" w:anchor="_bookmark1181">
        <w:r>
          <w:rPr>
            <w:color w:val="005DA1"/>
            <w:spacing w:val="-4"/>
            <w:position w:val="5"/>
            <w:sz w:val="14"/>
            <w:u w:val="single" w:color="005DA1"/>
          </w:rPr>
          <w:t>644</w:t>
        </w:r>
      </w:hyperlink>
      <w:r>
        <w:rPr>
          <w:spacing w:val="-4"/>
          <w:position w:val="5"/>
          <w:sz w:val="14"/>
        </w:rPr>
        <w:t>.</w:t>
      </w:r>
      <w:r>
        <w:rPr>
          <w:position w:val="5"/>
          <w:sz w:val="14"/>
        </w:rPr>
        <w:tab/>
      </w:r>
      <w:r>
        <w:rPr>
          <w:rFonts w:ascii="Arial"/>
          <w:i/>
          <w:sz w:val="20"/>
        </w:rPr>
        <w:t>Abram S.S. Co v Westville Shipping Co [1923] A.C. </w:t>
      </w:r>
      <w:r>
        <w:rPr>
          <w:rFonts w:ascii="Arial"/>
          <w:i/>
          <w:spacing w:val="-4"/>
          <w:sz w:val="20"/>
        </w:rPr>
        <w:t>773</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1231" w:id="1233"/>
      <w:bookmarkEnd w:id="1233"/>
      <w:r>
        <w:rPr/>
      </w:r>
      <w:hyperlink w:history="true" w:anchor="_bookmark1182">
        <w:r>
          <w:rPr>
            <w:color w:val="005DA1"/>
            <w:spacing w:val="-4"/>
            <w:position w:val="5"/>
            <w:sz w:val="14"/>
            <w:u w:val="single" w:color="005DA1"/>
          </w:rPr>
          <w:t>645</w:t>
        </w:r>
      </w:hyperlink>
      <w:r>
        <w:rPr>
          <w:spacing w:val="-4"/>
          <w:position w:val="5"/>
          <w:sz w:val="14"/>
        </w:rPr>
        <w:t>.</w:t>
      </w:r>
      <w:r>
        <w:rPr>
          <w:position w:val="5"/>
          <w:sz w:val="14"/>
        </w:rPr>
        <w:tab/>
      </w:r>
      <w:r>
        <w:rPr>
          <w:rFonts w:ascii="Arial"/>
          <w:i/>
          <w:sz w:val="20"/>
        </w:rPr>
        <w:t>[1905]</w:t>
      </w:r>
      <w:r>
        <w:rPr>
          <w:rFonts w:ascii="Arial"/>
          <w:i/>
          <w:spacing w:val="23"/>
          <w:sz w:val="20"/>
        </w:rPr>
        <w:t> </w:t>
      </w:r>
      <w:r>
        <w:rPr>
          <w:rFonts w:ascii="Arial"/>
          <w:i/>
          <w:sz w:val="20"/>
        </w:rPr>
        <w:t>1</w:t>
      </w:r>
      <w:r>
        <w:rPr>
          <w:rFonts w:ascii="Arial"/>
          <w:i/>
          <w:spacing w:val="23"/>
          <w:sz w:val="20"/>
        </w:rPr>
        <w:t> </w:t>
      </w:r>
      <w:r>
        <w:rPr>
          <w:rFonts w:ascii="Arial"/>
          <w:i/>
          <w:sz w:val="20"/>
        </w:rPr>
        <w:t>Ch.</w:t>
      </w:r>
      <w:r>
        <w:rPr>
          <w:rFonts w:ascii="Arial"/>
          <w:i/>
          <w:spacing w:val="23"/>
          <w:sz w:val="20"/>
        </w:rPr>
        <w:t> </w:t>
      </w:r>
      <w:r>
        <w:rPr>
          <w:rFonts w:ascii="Arial"/>
          <w:i/>
          <w:sz w:val="20"/>
        </w:rPr>
        <w:t>326</w:t>
      </w:r>
      <w:r>
        <w:rPr>
          <w:sz w:val="20"/>
        </w:rPr>
        <w:t>.</w:t>
      </w:r>
      <w:r>
        <w:rPr>
          <w:spacing w:val="23"/>
          <w:sz w:val="20"/>
        </w:rPr>
        <w:t> </w:t>
      </w:r>
      <w:r>
        <w:rPr>
          <w:sz w:val="20"/>
        </w:rPr>
        <w:t>See</w:t>
      </w:r>
      <w:r>
        <w:rPr>
          <w:spacing w:val="23"/>
          <w:sz w:val="20"/>
        </w:rPr>
        <w:t> </w:t>
      </w:r>
      <w:r>
        <w:rPr>
          <w:sz w:val="20"/>
        </w:rPr>
        <w:t>also</w:t>
      </w:r>
      <w:r>
        <w:rPr>
          <w:spacing w:val="22"/>
          <w:sz w:val="20"/>
        </w:rPr>
        <w:t> </w:t>
      </w:r>
      <w:r>
        <w:rPr>
          <w:rFonts w:ascii="Arial"/>
          <w:i/>
          <w:sz w:val="20"/>
        </w:rPr>
        <w:t>Senenayake</w:t>
      </w:r>
      <w:r>
        <w:rPr>
          <w:rFonts w:ascii="Arial"/>
          <w:i/>
          <w:spacing w:val="23"/>
          <w:sz w:val="20"/>
        </w:rPr>
        <w:t> </w:t>
      </w:r>
      <w:r>
        <w:rPr>
          <w:rFonts w:ascii="Arial"/>
          <w:i/>
          <w:sz w:val="20"/>
        </w:rPr>
        <w:t>v</w:t>
      </w:r>
      <w:r>
        <w:rPr>
          <w:rFonts w:ascii="Arial"/>
          <w:i/>
          <w:spacing w:val="23"/>
          <w:sz w:val="20"/>
        </w:rPr>
        <w:t> </w:t>
      </w:r>
      <w:r>
        <w:rPr>
          <w:rFonts w:ascii="Arial"/>
          <w:i/>
          <w:sz w:val="20"/>
        </w:rPr>
        <w:t>Cheng</w:t>
      </w:r>
      <w:r>
        <w:rPr>
          <w:rFonts w:ascii="Arial"/>
          <w:i/>
          <w:spacing w:val="23"/>
          <w:sz w:val="20"/>
        </w:rPr>
        <w:t> </w:t>
      </w:r>
      <w:r>
        <w:rPr>
          <w:rFonts w:ascii="Arial"/>
          <w:i/>
          <w:sz w:val="20"/>
        </w:rPr>
        <w:t>[1966]</w:t>
      </w:r>
      <w:r>
        <w:rPr>
          <w:rFonts w:ascii="Arial"/>
          <w:i/>
          <w:spacing w:val="23"/>
          <w:sz w:val="20"/>
        </w:rPr>
        <w:t> </w:t>
      </w:r>
      <w:r>
        <w:rPr>
          <w:rFonts w:ascii="Arial"/>
          <w:i/>
          <w:sz w:val="20"/>
        </w:rPr>
        <w:t>A.C.</w:t>
      </w:r>
      <w:r>
        <w:rPr>
          <w:rFonts w:ascii="Arial"/>
          <w:i/>
          <w:spacing w:val="23"/>
          <w:sz w:val="20"/>
        </w:rPr>
        <w:t> </w:t>
      </w:r>
      <w:r>
        <w:rPr>
          <w:rFonts w:ascii="Arial"/>
          <w:i/>
          <w:sz w:val="20"/>
        </w:rPr>
        <w:t>63</w:t>
      </w:r>
      <w:r>
        <w:rPr>
          <w:sz w:val="20"/>
        </w:rPr>
        <w:t>,</w:t>
      </w:r>
      <w:r>
        <w:rPr>
          <w:spacing w:val="23"/>
          <w:sz w:val="20"/>
        </w:rPr>
        <w:t> </w:t>
      </w:r>
      <w:r>
        <w:rPr>
          <w:sz w:val="20"/>
        </w:rPr>
        <w:t>decided</w:t>
      </w:r>
      <w:r>
        <w:rPr>
          <w:spacing w:val="23"/>
          <w:sz w:val="20"/>
        </w:rPr>
        <w:t> </w:t>
      </w:r>
      <w:r>
        <w:rPr>
          <w:sz w:val="20"/>
        </w:rPr>
        <w:t>shortly</w:t>
      </w:r>
      <w:r>
        <w:rPr>
          <w:spacing w:val="23"/>
          <w:sz w:val="20"/>
        </w:rPr>
        <w:t> </w:t>
      </w:r>
      <w:r>
        <w:rPr>
          <w:sz w:val="20"/>
        </w:rPr>
        <w:t>before</w:t>
      </w:r>
      <w:r>
        <w:rPr>
          <w:spacing w:val="23"/>
          <w:sz w:val="20"/>
        </w:rPr>
        <w:t> </w:t>
      </w:r>
      <w:r>
        <w:rPr>
          <w:sz w:val="20"/>
        </w:rPr>
        <w:t>the 1967 Act was passed.</w:t>
      </w:r>
    </w:p>
    <w:p>
      <w:pPr>
        <w:pStyle w:val="BodyText"/>
        <w:spacing w:before="6"/>
      </w:pPr>
    </w:p>
    <w:p>
      <w:pPr>
        <w:tabs>
          <w:tab w:pos="705" w:val="left" w:leader="none"/>
        </w:tabs>
        <w:spacing w:before="0"/>
        <w:ind w:left="165" w:right="0" w:firstLine="0"/>
        <w:jc w:val="left"/>
        <w:rPr>
          <w:sz w:val="20"/>
        </w:rPr>
      </w:pPr>
      <w:bookmarkStart w:name="_bookmark1232" w:id="1234"/>
      <w:bookmarkEnd w:id="1234"/>
      <w:r>
        <w:rPr/>
      </w:r>
      <w:hyperlink w:history="true" w:anchor="_bookmark1183">
        <w:r>
          <w:rPr>
            <w:color w:val="005DA1"/>
            <w:spacing w:val="-4"/>
            <w:position w:val="5"/>
            <w:sz w:val="14"/>
            <w:u w:val="single" w:color="005DA1"/>
          </w:rPr>
          <w:t>646</w:t>
        </w:r>
      </w:hyperlink>
      <w:r>
        <w:rPr>
          <w:spacing w:val="-4"/>
          <w:position w:val="5"/>
          <w:sz w:val="14"/>
        </w:rPr>
        <w:t>.</w:t>
      </w:r>
      <w:r>
        <w:rPr>
          <w:position w:val="5"/>
          <w:sz w:val="14"/>
        </w:rPr>
        <w:tab/>
      </w:r>
      <w:r>
        <w:rPr>
          <w:rFonts w:ascii="Arial"/>
          <w:i/>
          <w:sz w:val="20"/>
        </w:rPr>
        <w:t>Armstrong v Jackson [1917] 2 K.B. </w:t>
      </w:r>
      <w:r>
        <w:rPr>
          <w:rFonts w:ascii="Arial"/>
          <w:i/>
          <w:spacing w:val="-4"/>
          <w:sz w:val="20"/>
        </w:rPr>
        <w:t>822</w:t>
      </w:r>
      <w:r>
        <w:rPr>
          <w:spacing w:val="-4"/>
          <w:sz w:val="20"/>
        </w:rPr>
        <w:t>.</w:t>
      </w:r>
    </w:p>
    <w:p>
      <w:pPr>
        <w:pStyle w:val="BodyText"/>
        <w:spacing w:before="5"/>
      </w:pPr>
    </w:p>
    <w:p>
      <w:pPr>
        <w:pStyle w:val="BodyText"/>
        <w:tabs>
          <w:tab w:pos="705" w:val="left" w:leader="none"/>
        </w:tabs>
        <w:ind w:left="165"/>
      </w:pPr>
      <w:bookmarkStart w:name="_bookmark1233" w:id="1235"/>
      <w:bookmarkEnd w:id="1235"/>
      <w:r>
        <w:rPr/>
      </w:r>
      <w:hyperlink w:history="true" w:anchor="_bookmark1184">
        <w:r>
          <w:rPr>
            <w:color w:val="005DA1"/>
            <w:spacing w:val="-4"/>
            <w:position w:val="5"/>
            <w:sz w:val="14"/>
            <w:u w:val="single" w:color="005DA1"/>
          </w:rPr>
          <w:t>647</w:t>
        </w:r>
      </w:hyperlink>
      <w:r>
        <w:rPr>
          <w:spacing w:val="-4"/>
          <w:position w:val="5"/>
          <w:sz w:val="14"/>
        </w:rPr>
        <w:t>.</w:t>
      </w:r>
      <w:r>
        <w:rPr>
          <w:position w:val="5"/>
          <w:sz w:val="14"/>
        </w:rPr>
        <w:tab/>
      </w:r>
      <w:r>
        <w:rPr/>
        <w:t>Tenth Report, Cmnd.1782 (1962), paras 6 and </w:t>
      </w:r>
      <w:r>
        <w:rPr>
          <w:spacing w:val="-5"/>
        </w:rPr>
        <w:t>7.</w:t>
      </w:r>
    </w:p>
    <w:p>
      <w:pPr>
        <w:pStyle w:val="BodyText"/>
        <w:spacing w:before="5"/>
      </w:pPr>
    </w:p>
    <w:p>
      <w:pPr>
        <w:tabs>
          <w:tab w:pos="705" w:val="left" w:leader="none"/>
        </w:tabs>
        <w:spacing w:before="0"/>
        <w:ind w:left="165" w:right="0" w:firstLine="0"/>
        <w:jc w:val="left"/>
        <w:rPr>
          <w:sz w:val="20"/>
        </w:rPr>
      </w:pPr>
      <w:bookmarkStart w:name="_bookmark1234" w:id="1236"/>
      <w:bookmarkEnd w:id="1236"/>
      <w:r>
        <w:rPr/>
      </w:r>
      <w:hyperlink w:history="true" w:anchor="_bookmark1185">
        <w:r>
          <w:rPr>
            <w:color w:val="005DA1"/>
            <w:spacing w:val="-4"/>
            <w:position w:val="5"/>
            <w:sz w:val="14"/>
            <w:u w:val="single" w:color="005DA1"/>
          </w:rPr>
          <w:t>648</w:t>
        </w:r>
      </w:hyperlink>
      <w:r>
        <w:rPr>
          <w:spacing w:val="-4"/>
          <w:position w:val="5"/>
          <w:sz w:val="14"/>
        </w:rPr>
        <w:t>.</w:t>
      </w:r>
      <w:r>
        <w:rPr>
          <w:position w:val="5"/>
          <w:sz w:val="14"/>
        </w:rPr>
        <w:tab/>
      </w:r>
      <w:r>
        <w:rPr>
          <w:sz w:val="20"/>
        </w:rPr>
        <w:t>Above, para.7-</w:t>
      </w:r>
      <w:r>
        <w:rPr>
          <w:spacing w:val="-4"/>
          <w:sz w:val="20"/>
        </w:rPr>
        <w:t>132.</w:t>
      </w:r>
    </w:p>
    <w:p>
      <w:pPr>
        <w:pStyle w:val="BodyText"/>
        <w:spacing w:before="5"/>
      </w:pPr>
    </w:p>
    <w:p>
      <w:pPr>
        <w:pStyle w:val="BodyText"/>
        <w:tabs>
          <w:tab w:pos="705" w:val="left" w:leader="none"/>
        </w:tabs>
        <w:ind w:left="165"/>
      </w:pPr>
      <w:bookmarkStart w:name="_bookmark1235" w:id="1237"/>
      <w:bookmarkEnd w:id="1237"/>
      <w:r>
        <w:rPr/>
      </w:r>
      <w:hyperlink w:history="true" w:anchor="_bookmark1186">
        <w:r>
          <w:rPr>
            <w:color w:val="005DA1"/>
            <w:spacing w:val="-4"/>
            <w:position w:val="5"/>
            <w:sz w:val="14"/>
            <w:u w:val="single" w:color="005DA1"/>
          </w:rPr>
          <w:t>649</w:t>
        </w:r>
      </w:hyperlink>
      <w:r>
        <w:rPr>
          <w:spacing w:val="-4"/>
          <w:position w:val="5"/>
          <w:sz w:val="14"/>
        </w:rPr>
        <w:t>.</w:t>
      </w:r>
      <w:r>
        <w:rPr>
          <w:position w:val="5"/>
          <w:sz w:val="14"/>
        </w:rPr>
        <w:tab/>
      </w:r>
      <w:r>
        <w:rPr/>
        <w:t>Above,</w:t>
      </w:r>
      <w:r>
        <w:rPr>
          <w:spacing w:val="-2"/>
        </w:rPr>
        <w:t> </w:t>
      </w:r>
      <w:r>
        <w:rPr/>
        <w:t>paras 7-123—7-</w:t>
      </w:r>
      <w:r>
        <w:rPr>
          <w:spacing w:val="-4"/>
        </w:rPr>
        <w:t>130.</w:t>
      </w:r>
    </w:p>
    <w:p>
      <w:pPr>
        <w:pStyle w:val="BodyText"/>
        <w:spacing w:before="5"/>
      </w:pPr>
    </w:p>
    <w:p>
      <w:pPr>
        <w:tabs>
          <w:tab w:pos="705" w:val="left" w:leader="none"/>
        </w:tabs>
        <w:spacing w:before="0"/>
        <w:ind w:left="165" w:right="0" w:firstLine="0"/>
        <w:jc w:val="left"/>
        <w:rPr>
          <w:sz w:val="20"/>
        </w:rPr>
      </w:pPr>
      <w:bookmarkStart w:name="_bookmark1236" w:id="1238"/>
      <w:bookmarkEnd w:id="1238"/>
      <w:r>
        <w:rPr/>
      </w:r>
      <w:hyperlink w:history="true" w:anchor="_bookmark1187">
        <w:r>
          <w:rPr>
            <w:color w:val="005DA1"/>
            <w:spacing w:val="-4"/>
            <w:position w:val="5"/>
            <w:sz w:val="14"/>
            <w:u w:val="single" w:color="005DA1"/>
          </w:rPr>
          <w:t>650</w:t>
        </w:r>
      </w:hyperlink>
      <w:r>
        <w:rPr>
          <w:spacing w:val="-4"/>
          <w:position w:val="5"/>
          <w:sz w:val="14"/>
        </w:rPr>
        <w:t>.</w:t>
      </w:r>
      <w:r>
        <w:rPr>
          <w:position w:val="5"/>
          <w:sz w:val="14"/>
        </w:rPr>
        <w:tab/>
      </w:r>
      <w:r>
        <w:rPr>
          <w:sz w:val="20"/>
        </w:rPr>
        <w:t>Above, para.7-</w:t>
      </w:r>
      <w:r>
        <w:rPr>
          <w:spacing w:val="-4"/>
          <w:sz w:val="20"/>
        </w:rPr>
        <w:t>110.</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539" w:right="2543"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3916288">
                <wp:simplePos x="0" y="0"/>
                <wp:positionH relativeFrom="page">
                  <wp:posOffset>4851958</wp:posOffset>
                </wp:positionH>
                <wp:positionV relativeFrom="paragraph">
                  <wp:posOffset>377436</wp:posOffset>
                </wp:positionV>
                <wp:extent cx="42545" cy="127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00192" from="382.044006pt,29.719406pt" to="385.380006pt,29.719406pt" stroked="true" strokeweight=".428pt" strokecolor="#005da1">
                <v:stroke dashstyle="solid"/>
                <w10:wrap type="none"/>
              </v:line>
            </w:pict>
          </mc:Fallback>
        </mc:AlternateContent>
      </w:r>
      <w:r>
        <w:rPr>
          <w:rFonts w:ascii="Arial"/>
          <w:b/>
          <w:sz w:val="24"/>
        </w:rPr>
        <w:t>Part 2 - Formation of Contract Chapter 7 - Misrepresentation</w:t>
      </w:r>
      <w:r>
        <w:rPr>
          <w:rFonts w:ascii="Arial"/>
          <w:b/>
          <w:spacing w:val="-1"/>
          <w:sz w:val="24"/>
        </w:rPr>
        <w:t> </w:t>
      </w:r>
      <w:r>
        <w:rPr>
          <w:rFonts w:ascii="Arial"/>
          <w:b/>
          <w:color w:val="005DA1"/>
          <w:spacing w:val="-10"/>
          <w:position w:val="11"/>
          <w:sz w:val="12"/>
        </w:rPr>
        <w:t>1</w:t>
      </w:r>
    </w:p>
    <w:p>
      <w:pPr>
        <w:spacing w:before="2"/>
        <w:ind w:left="940" w:right="943" w:firstLine="0"/>
        <w:jc w:val="center"/>
        <w:rPr>
          <w:rFonts w:ascii="Arial"/>
          <w:b/>
          <w:sz w:val="24"/>
        </w:rPr>
      </w:pPr>
      <w:r>
        <w:rPr>
          <w:rFonts w:ascii="Arial"/>
          <w:b/>
          <w:sz w:val="24"/>
        </w:rPr>
        <w:t>Section 5. - Exclusion of Liability for </w:t>
      </w:r>
      <w:r>
        <w:rPr>
          <w:rFonts w:ascii="Arial"/>
          <w:b/>
          <w:spacing w:val="-2"/>
          <w:sz w:val="24"/>
        </w:rPr>
        <w:t>Misrepresentation</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Position at common </w:t>
      </w:r>
      <w:r>
        <w:rPr>
          <w:rFonts w:ascii="Arial"/>
          <w:b/>
          <w:spacing w:val="-5"/>
          <w:sz w:val="18"/>
        </w:rPr>
        <w:t>law</w:t>
      </w:r>
    </w:p>
    <w:p>
      <w:pPr>
        <w:pStyle w:val="BodyText"/>
        <w:spacing w:before="41"/>
        <w:rPr>
          <w:rFonts w:ascii="Arial"/>
          <w:b/>
          <w:sz w:val="18"/>
        </w:rPr>
      </w:pPr>
    </w:p>
    <w:p>
      <w:pPr>
        <w:pStyle w:val="Heading2"/>
        <w:ind w:left="164"/>
      </w:pPr>
      <w:r>
        <w:rPr/>
        <w:t>7-</w:t>
      </w:r>
      <w:r>
        <w:rPr>
          <w:spacing w:val="-5"/>
        </w:rPr>
        <w:t>143</w:t>
      </w:r>
    </w:p>
    <w:p>
      <w:pPr>
        <w:pStyle w:val="BodyText"/>
        <w:spacing w:line="235" w:lineRule="auto" w:before="203"/>
        <w:ind w:left="164" w:right="167"/>
        <w:jc w:val="both"/>
      </w:pPr>
      <w:bookmarkStart w:name="_bookmark1237" w:id="1239"/>
      <w:bookmarkEnd w:id="1239"/>
      <w:r>
        <w:rPr/>
      </w:r>
      <w:r>
        <w:rPr/>
        <w:t>At common law a person could not contract out of liability for fraud inducing the making of a contract </w:t>
      </w:r>
      <w:bookmarkStart w:name="_bookmark1238" w:id="1240"/>
      <w:bookmarkEnd w:id="1240"/>
      <w:r>
        <w:rPr/>
        <w:t>with</w:t>
      </w:r>
      <w:r>
        <w:rPr/>
        <w:t> him, at least where the fraud was his own. </w:t>
      </w:r>
      <w:r>
        <w:rPr>
          <w:color w:val="005DA1"/>
          <w:u w:val="single" w:color="005DA1"/>
          <w:vertAlign w:val="superscript"/>
        </w:rPr>
        <w:t>651</w:t>
      </w:r>
      <w:r>
        <w:rPr>
          <w:color w:val="005DA1"/>
          <w:vertAlign w:val="baseline"/>
        </w:rPr>
        <w:t> </w:t>
      </w:r>
      <w:r>
        <w:rPr>
          <w:vertAlign w:val="baseline"/>
        </w:rPr>
        <w:t>It is, however, possible that he could do so </w:t>
      </w:r>
      <w:r>
        <w:rPr>
          <w:vertAlign w:val="baseline"/>
        </w:rPr>
        <w:t>where the</w:t>
      </w:r>
      <w:r>
        <w:rPr>
          <w:spacing w:val="-3"/>
          <w:vertAlign w:val="baseline"/>
        </w:rPr>
        <w:t> </w:t>
      </w:r>
      <w:r>
        <w:rPr>
          <w:vertAlign w:val="baseline"/>
        </w:rPr>
        <w:t>fraud</w:t>
      </w:r>
      <w:r>
        <w:rPr>
          <w:spacing w:val="-3"/>
          <w:vertAlign w:val="baseline"/>
        </w:rPr>
        <w:t> </w:t>
      </w:r>
      <w:r>
        <w:rPr>
          <w:vertAlign w:val="baseline"/>
        </w:rPr>
        <w:t>was</w:t>
      </w:r>
      <w:r>
        <w:rPr>
          <w:spacing w:val="-3"/>
          <w:vertAlign w:val="baseline"/>
        </w:rPr>
        <w:t> </w:t>
      </w:r>
      <w:r>
        <w:rPr>
          <w:vertAlign w:val="baseline"/>
        </w:rPr>
        <w:t>that</w:t>
      </w:r>
      <w:r>
        <w:rPr>
          <w:spacing w:val="-3"/>
          <w:vertAlign w:val="baseline"/>
        </w:rPr>
        <w:t> </w:t>
      </w:r>
      <w:r>
        <w:rPr>
          <w:vertAlign w:val="baseline"/>
        </w:rPr>
        <w:t>of</w:t>
      </w:r>
      <w:r>
        <w:rPr>
          <w:spacing w:val="-3"/>
          <w:vertAlign w:val="baseline"/>
        </w:rPr>
        <w:t> </w:t>
      </w:r>
      <w:r>
        <w:rPr>
          <w:vertAlign w:val="baseline"/>
        </w:rPr>
        <w:t>his</w:t>
      </w:r>
      <w:r>
        <w:rPr>
          <w:spacing w:val="-3"/>
          <w:vertAlign w:val="baseline"/>
        </w:rPr>
        <w:t> </w:t>
      </w:r>
      <w:r>
        <w:rPr>
          <w:vertAlign w:val="baseline"/>
        </w:rPr>
        <w:t>employees</w:t>
      </w:r>
      <w:r>
        <w:rPr>
          <w:spacing w:val="-4"/>
          <w:vertAlign w:val="baseline"/>
        </w:rPr>
        <w:t> </w:t>
      </w:r>
      <w:r>
        <w:rPr>
          <w:color w:val="005DA1"/>
          <w:u w:val="single" w:color="005DA1"/>
          <w:vertAlign w:val="superscript"/>
        </w:rPr>
        <w:t>652</w:t>
      </w:r>
      <w:r>
        <w:rPr>
          <w:color w:val="005DA1"/>
          <w:spacing w:val="-3"/>
          <w:vertAlign w:val="baseline"/>
        </w:rPr>
        <w:t> </w:t>
      </w:r>
      <w:r>
        <w:rPr>
          <w:vertAlign w:val="baseline"/>
        </w:rPr>
        <w:t>or</w:t>
      </w:r>
      <w:r>
        <w:rPr>
          <w:spacing w:val="-3"/>
          <w:vertAlign w:val="baseline"/>
        </w:rPr>
        <w:t> </w:t>
      </w:r>
      <w:r>
        <w:rPr>
          <w:vertAlign w:val="baseline"/>
        </w:rPr>
        <w:t>agents</w:t>
      </w:r>
      <w:r>
        <w:rPr>
          <w:spacing w:val="-4"/>
          <w:vertAlign w:val="baseline"/>
        </w:rPr>
        <w:t> </w:t>
      </w:r>
      <w:r>
        <w:rPr>
          <w:color w:val="005DA1"/>
          <w:u w:val="single" w:color="005DA1"/>
          <w:vertAlign w:val="superscript"/>
        </w:rPr>
        <w:t>653</w:t>
      </w:r>
      <w:r>
        <w:rPr>
          <w:color w:val="005DA1"/>
          <w:spacing w:val="-3"/>
          <w:vertAlign w:val="baseline"/>
        </w:rPr>
        <w:t> </w:t>
      </w:r>
      <w:r>
        <w:rPr>
          <w:vertAlign w:val="baseline"/>
        </w:rPr>
        <w:t>and</w:t>
      </w:r>
      <w:r>
        <w:rPr>
          <w:spacing w:val="-3"/>
          <w:vertAlign w:val="baseline"/>
        </w:rPr>
        <w:t> </w:t>
      </w:r>
      <w:r>
        <w:rPr>
          <w:vertAlign w:val="baseline"/>
        </w:rPr>
        <w:t>there</w:t>
      </w:r>
      <w:r>
        <w:rPr>
          <w:spacing w:val="-3"/>
          <w:vertAlign w:val="baseline"/>
        </w:rPr>
        <w:t> </w:t>
      </w:r>
      <w:r>
        <w:rPr>
          <w:vertAlign w:val="baseline"/>
        </w:rPr>
        <w:t>seems</w:t>
      </w:r>
      <w:r>
        <w:rPr>
          <w:spacing w:val="-3"/>
          <w:vertAlign w:val="baseline"/>
        </w:rPr>
        <w:t> </w:t>
      </w:r>
      <w:r>
        <w:rPr>
          <w:vertAlign w:val="baseline"/>
        </w:rPr>
        <w:t>no</w:t>
      </w:r>
      <w:r>
        <w:rPr>
          <w:spacing w:val="-3"/>
          <w:vertAlign w:val="baseline"/>
        </w:rPr>
        <w:t> </w:t>
      </w:r>
      <w:r>
        <w:rPr>
          <w:vertAlign w:val="baseline"/>
        </w:rPr>
        <w:t>doubt</w:t>
      </w:r>
      <w:r>
        <w:rPr>
          <w:spacing w:val="-3"/>
          <w:vertAlign w:val="baseline"/>
        </w:rPr>
        <w:t> </w:t>
      </w:r>
      <w:r>
        <w:rPr>
          <w:vertAlign w:val="baseline"/>
        </w:rPr>
        <w:t>that</w:t>
      </w:r>
      <w:r>
        <w:rPr>
          <w:spacing w:val="-3"/>
          <w:vertAlign w:val="baseline"/>
        </w:rPr>
        <w:t> </w:t>
      </w:r>
      <w:r>
        <w:rPr>
          <w:vertAlign w:val="baseline"/>
        </w:rPr>
        <w:t>it</w:t>
      </w:r>
      <w:r>
        <w:rPr>
          <w:spacing w:val="-3"/>
          <w:vertAlign w:val="baseline"/>
        </w:rPr>
        <w:t> </w:t>
      </w:r>
      <w:r>
        <w:rPr>
          <w:vertAlign w:val="baseline"/>
        </w:rPr>
        <w:t>was</w:t>
      </w:r>
      <w:r>
        <w:rPr>
          <w:spacing w:val="-3"/>
          <w:vertAlign w:val="baseline"/>
        </w:rPr>
        <w:t> </w:t>
      </w:r>
      <w:r>
        <w:rPr>
          <w:vertAlign w:val="baseline"/>
        </w:rPr>
        <w:t>possible,</w:t>
      </w:r>
      <w:r>
        <w:rPr>
          <w:spacing w:val="-3"/>
          <w:vertAlign w:val="baseline"/>
        </w:rPr>
        <w:t> </w:t>
      </w:r>
      <w:r>
        <w:rPr>
          <w:vertAlign w:val="baseline"/>
        </w:rPr>
        <w:t>by </w:t>
      </w:r>
      <w:bookmarkStart w:name="_bookmark1239" w:id="1241"/>
      <w:bookmarkEnd w:id="1241"/>
      <w:r>
        <w:rPr>
          <w:vertAlign w:val="baseline"/>
        </w:rPr>
        <w:t>a</w:t>
      </w:r>
      <w:r>
        <w:rPr>
          <w:vertAlign w:val="baseline"/>
        </w:rPr>
        <w:t> provision of the contract itself, to exclude or modify the normal consequences of innocent or </w:t>
      </w:r>
      <w:bookmarkStart w:name="_bookmark1240" w:id="1242"/>
      <w:bookmarkEnd w:id="1242"/>
      <w:r>
        <w:rPr>
          <w:vertAlign w:val="baseline"/>
        </w:rPr>
        <w:t>negligent</w:t>
      </w:r>
      <w:r>
        <w:rPr>
          <w:vertAlign w:val="baseline"/>
        </w:rPr>
        <w:t> misrepresentation. </w:t>
      </w:r>
      <w:r>
        <w:rPr>
          <w:color w:val="005DA1"/>
          <w:u w:val="single" w:color="005DA1"/>
          <w:vertAlign w:val="superscript"/>
        </w:rPr>
        <w:t>654</w:t>
      </w:r>
      <w:r>
        <w:rPr>
          <w:color w:val="005DA1"/>
          <w:vertAlign w:val="baseline"/>
        </w:rPr>
        <w:t> </w:t>
      </w:r>
      <w:r>
        <w:rPr>
          <w:vertAlign w:val="baseline"/>
        </w:rPr>
        <w:t>Such clauses were, however, subject to the normal principles of construction common to all exemption clauses. </w:t>
      </w:r>
      <w:r>
        <w:rPr>
          <w:color w:val="005DA1"/>
          <w:u w:val="single" w:color="005DA1"/>
          <w:vertAlign w:val="superscript"/>
        </w:rPr>
        <w:t>655</w:t>
      </w:r>
      <w:r>
        <w:rPr>
          <w:color w:val="005DA1"/>
          <w:vertAlign w:val="baseline"/>
        </w:rPr>
        <w:t> </w:t>
      </w:r>
      <w:r>
        <w:rPr>
          <w:vertAlign w:val="baseline"/>
        </w:rPr>
        <w:t>Thus a clause containing a statement by one party </w:t>
      </w:r>
      <w:bookmarkStart w:name="_bookmark1241" w:id="1243"/>
      <w:bookmarkEnd w:id="1243"/>
      <w:r>
        <w:rPr>
          <w:vertAlign w:val="baseline"/>
        </w:rPr>
        <w:t>that</w:t>
      </w:r>
      <w:r>
        <w:rPr>
          <w:vertAlign w:val="baseline"/>
        </w:rPr>
        <w:t> “we are acting for our own account and have made our own independent decisions … “would not exclude liability for misrepresentations in investment advice or recommendations </w:t>
      </w:r>
      <w:r>
        <w:rPr>
          <w:color w:val="005DA1"/>
          <w:u w:val="single" w:color="005DA1"/>
          <w:vertAlign w:val="superscript"/>
        </w:rPr>
        <w:t>656</w:t>
      </w:r>
      <w:r>
        <w:rPr>
          <w:vertAlign w:val="baseline"/>
        </w:rPr>
        <w:t>; and a clause stating that “this Agreement shall supersede any prior promises, agreements, representations, undertakings or implications whether made orally or in writing between you and us relating to the </w:t>
      </w:r>
      <w:bookmarkStart w:name="_bookmark1242" w:id="1244"/>
      <w:bookmarkEnd w:id="1244"/>
      <w:r>
        <w:rPr>
          <w:vertAlign w:val="baseline"/>
        </w:rPr>
        <w:t>subject</w:t>
      </w:r>
      <w:r>
        <w:rPr>
          <w:vertAlign w:val="baseline"/>
        </w:rPr>
        <w:t> matter of this Agreement” was held not to exclude or supersede misrepresentations as to matters that were not the subject of the terms of the Agreement. </w:t>
      </w:r>
      <w:r>
        <w:rPr>
          <w:color w:val="005DA1"/>
          <w:u w:val="single" w:color="005DA1"/>
          <w:vertAlign w:val="superscript"/>
        </w:rPr>
        <w:t>657</w:t>
      </w:r>
    </w:p>
    <w:p>
      <w:pPr>
        <w:pStyle w:val="BodyText"/>
      </w:pPr>
    </w:p>
    <w:p>
      <w:pPr>
        <w:pStyle w:val="BodyText"/>
        <w:spacing w:before="34"/>
      </w:pPr>
    </w:p>
    <w:p>
      <w:pPr>
        <w:spacing w:before="0"/>
        <w:ind w:left="165" w:right="0" w:firstLine="0"/>
        <w:jc w:val="left"/>
        <w:rPr>
          <w:rFonts w:ascii="Arial" w:hAnsi="Arial"/>
          <w:b/>
          <w:sz w:val="18"/>
        </w:rPr>
      </w:pPr>
      <w:r>
        <w:rPr>
          <w:rFonts w:ascii="Arial" w:hAnsi="Arial"/>
          <w:b/>
          <w:sz w:val="18"/>
        </w:rPr>
        <w:t>“No reliance” </w:t>
      </w:r>
      <w:r>
        <w:rPr>
          <w:rFonts w:ascii="Arial" w:hAnsi="Arial"/>
          <w:b/>
          <w:spacing w:val="-2"/>
          <w:sz w:val="18"/>
        </w:rPr>
        <w:t>clauses</w:t>
      </w:r>
    </w:p>
    <w:p>
      <w:pPr>
        <w:pStyle w:val="BodyText"/>
        <w:spacing w:before="41"/>
        <w:rPr>
          <w:rFonts w:ascii="Arial"/>
          <w:b/>
          <w:sz w:val="18"/>
        </w:rPr>
      </w:pPr>
    </w:p>
    <w:p>
      <w:pPr>
        <w:pStyle w:val="Heading2"/>
      </w:pPr>
      <w:r>
        <w:rPr/>
        <w:t>7-</w:t>
      </w:r>
      <w:r>
        <w:rPr>
          <w:spacing w:val="-5"/>
        </w:rPr>
        <w:t>144</w:t>
      </w:r>
    </w:p>
    <w:p>
      <w:pPr>
        <w:pStyle w:val="BodyText"/>
        <w:spacing w:line="235" w:lineRule="auto" w:before="203"/>
        <w:ind w:left="165" w:right="167"/>
        <w:jc w:val="both"/>
      </w:pPr>
      <w:r>
        <w:rPr/>
        <w:t>A clause that acknowledges that a party has not relied on a non-contractual representation may prevent that party showing that he was induced to enter the contract by a representation, as it may raise an estoppel. An “evidential estoppel” will have that effect only if the party who made </w:t>
      </w:r>
      <w:r>
        <w:rPr/>
        <w:t>the representation entered the contract in the belief that the other had not relied on the representation:</w:t>
      </w:r>
    </w:p>
    <w:p>
      <w:pPr>
        <w:pStyle w:val="BodyText"/>
      </w:pPr>
    </w:p>
    <w:p>
      <w:pPr>
        <w:pStyle w:val="BodyText"/>
        <w:spacing w:before="125"/>
      </w:pPr>
    </w:p>
    <w:p>
      <w:pPr>
        <w:pStyle w:val="BodyText"/>
        <w:spacing w:line="235" w:lineRule="auto"/>
        <w:ind w:left="1245" w:right="167"/>
        <w:jc w:val="both"/>
      </w:pPr>
      <w:r>
        <w:rPr/>
        <w:t>“… it may be impossible for a party who has made representations which he intended should be relied upon to satisfy the court that he entered into the contract in the </w:t>
      </w:r>
      <w:r>
        <w:rPr/>
        <w:t>belief</w:t>
      </w:r>
      <w:r>
        <w:rPr>
          <w:spacing w:val="40"/>
        </w:rPr>
        <w:t> </w:t>
      </w:r>
      <w:bookmarkStart w:name="_bookmark1243" w:id="1245"/>
      <w:bookmarkEnd w:id="1245"/>
      <w:r>
        <w:rPr/>
        <w:t>that</w:t>
      </w:r>
      <w:r>
        <w:rPr/>
        <w:t> a statement by the other party that he had not relied upon those representations was true.” </w:t>
      </w:r>
      <w:r>
        <w:rPr>
          <w:color w:val="005DA1"/>
          <w:u w:val="single" w:color="005DA1"/>
          <w:vertAlign w:val="superscript"/>
        </w:rPr>
        <w:t>658</w:t>
      </w:r>
    </w:p>
    <w:p>
      <w:pPr>
        <w:pStyle w:val="BodyText"/>
        <w:spacing w:before="115"/>
      </w:pPr>
    </w:p>
    <w:p>
      <w:pPr>
        <w:pStyle w:val="BodyText"/>
        <w:spacing w:line="235" w:lineRule="auto"/>
        <w:ind w:left="165" w:right="167"/>
        <w:jc w:val="both"/>
      </w:pPr>
      <w:r>
        <w:rPr/>
        <w:t>However</w:t>
      </w:r>
      <w:r>
        <w:rPr>
          <w:spacing w:val="-2"/>
        </w:rPr>
        <w:t> </w:t>
      </w:r>
      <w:r>
        <w:rPr/>
        <w:t>it</w:t>
      </w:r>
      <w:r>
        <w:rPr>
          <w:spacing w:val="-2"/>
        </w:rPr>
        <w:t> </w:t>
      </w:r>
      <w:r>
        <w:rPr/>
        <w:t>was</w:t>
      </w:r>
      <w:r>
        <w:rPr>
          <w:spacing w:val="-2"/>
        </w:rPr>
        <w:t> </w:t>
      </w:r>
      <w:r>
        <w:rPr/>
        <w:t>subsequently</w:t>
      </w:r>
      <w:r>
        <w:rPr>
          <w:spacing w:val="-2"/>
        </w:rPr>
        <w:t> </w:t>
      </w:r>
      <w:r>
        <w:rPr/>
        <w:t>pointed</w:t>
      </w:r>
      <w:r>
        <w:rPr>
          <w:spacing w:val="-2"/>
        </w:rPr>
        <w:t> </w:t>
      </w:r>
      <w:r>
        <w:rPr/>
        <w:t>out</w:t>
      </w:r>
      <w:r>
        <w:rPr>
          <w:spacing w:val="-2"/>
        </w:rPr>
        <w:t> </w:t>
      </w:r>
      <w:r>
        <w:rPr/>
        <w:t>that</w:t>
      </w:r>
      <w:r>
        <w:rPr>
          <w:spacing w:val="-2"/>
        </w:rPr>
        <w:t> </w:t>
      </w:r>
      <w:r>
        <w:rPr/>
        <w:t>the</w:t>
      </w:r>
      <w:r>
        <w:rPr>
          <w:spacing w:val="-2"/>
        </w:rPr>
        <w:t> </w:t>
      </w:r>
      <w:r>
        <w:rPr/>
        <w:t>clause</w:t>
      </w:r>
      <w:r>
        <w:rPr>
          <w:spacing w:val="-2"/>
        </w:rPr>
        <w:t> </w:t>
      </w:r>
      <w:r>
        <w:rPr/>
        <w:t>may</w:t>
      </w:r>
      <w:r>
        <w:rPr>
          <w:spacing w:val="-2"/>
        </w:rPr>
        <w:t> </w:t>
      </w:r>
      <w:r>
        <w:rPr/>
        <w:t>also</w:t>
      </w:r>
      <w:r>
        <w:rPr>
          <w:spacing w:val="-2"/>
        </w:rPr>
        <w:t> </w:t>
      </w:r>
      <w:r>
        <w:rPr/>
        <w:t>be</w:t>
      </w:r>
      <w:r>
        <w:rPr>
          <w:spacing w:val="-2"/>
        </w:rPr>
        <w:t> </w:t>
      </w:r>
      <w:r>
        <w:rPr/>
        <w:t>effective,</w:t>
      </w:r>
      <w:r>
        <w:rPr>
          <w:spacing w:val="-2"/>
        </w:rPr>
        <w:t> </w:t>
      </w:r>
      <w:r>
        <w:rPr/>
        <w:t>even</w:t>
      </w:r>
      <w:r>
        <w:rPr>
          <w:spacing w:val="-2"/>
        </w:rPr>
        <w:t> </w:t>
      </w:r>
      <w:r>
        <w:rPr/>
        <w:t>if</w:t>
      </w:r>
      <w:r>
        <w:rPr>
          <w:spacing w:val="-2"/>
        </w:rPr>
        <w:t> </w:t>
      </w:r>
      <w:r>
        <w:rPr/>
        <w:t>it</w:t>
      </w:r>
      <w:r>
        <w:rPr>
          <w:spacing w:val="-2"/>
        </w:rPr>
        <w:t> </w:t>
      </w:r>
      <w:r>
        <w:rPr/>
        <w:t>is</w:t>
      </w:r>
      <w:r>
        <w:rPr>
          <w:spacing w:val="-2"/>
        </w:rPr>
        <w:t> </w:t>
      </w:r>
      <w:r>
        <w:rPr/>
        <w:t>known</w:t>
      </w:r>
      <w:r>
        <w:rPr>
          <w:spacing w:val="-2"/>
        </w:rPr>
        <w:t> </w:t>
      </w:r>
      <w:r>
        <w:rPr/>
        <w:t>that </w:t>
      </w:r>
      <w:bookmarkStart w:name="_bookmark1244" w:id="1246"/>
      <w:bookmarkEnd w:id="1246"/>
      <w:r>
        <w:rPr/>
        <w:t>the</w:t>
      </w:r>
      <w:r>
        <w:rPr/>
        <w:t> party did rely on a representation, if the parties have in fact agreed to conduct their affairs on the basis that there has been no reliance, so that an estoppel arises by convention </w:t>
      </w:r>
      <w:r>
        <w:rPr>
          <w:color w:val="005DA1"/>
          <w:u w:val="single" w:color="005DA1"/>
          <w:vertAlign w:val="superscript"/>
        </w:rPr>
        <w:t>659</w:t>
      </w:r>
      <w:r>
        <w:rPr>
          <w:color w:val="005DA1"/>
          <w:vertAlign w:val="baseline"/>
        </w:rPr>
        <w:t> </w:t>
      </w:r>
      <w:r>
        <w:rPr>
          <w:vertAlign w:val="baseline"/>
        </w:rPr>
        <w:t>or “by </w:t>
      </w:r>
      <w:r>
        <w:rPr>
          <w:vertAlign w:val="baseline"/>
        </w:rPr>
        <w:t>contract”. </w:t>
      </w:r>
      <w:bookmarkStart w:name="_bookmark1245" w:id="1247"/>
      <w:bookmarkEnd w:id="1247"/>
      <w:r>
        <w:rPr>
          <w:vertAlign w:val="baseline"/>
        </w:rPr>
        <w:t>This</w:t>
      </w:r>
      <w:r>
        <w:rPr>
          <w:vertAlign w:val="baseline"/>
        </w:rPr>
        <w:t> analysis has now been accepted by the Court of Appeal in </w:t>
      </w:r>
      <w:r>
        <w:rPr>
          <w:rFonts w:ascii="Arial" w:hAnsi="Arial"/>
          <w:i/>
          <w:vertAlign w:val="baseline"/>
        </w:rPr>
        <w:t>Springwell Navigation Corp v JP Morgan Chase Bank</w:t>
      </w:r>
      <w:r>
        <w:rPr>
          <w:vertAlign w:val="baseline"/>
        </w:rPr>
        <w:t>. </w:t>
      </w:r>
      <w:r>
        <w:rPr>
          <w:color w:val="005DA1"/>
          <w:u w:val="single" w:color="005DA1"/>
          <w:vertAlign w:val="superscript"/>
        </w:rPr>
        <w:t>660</w:t>
      </w:r>
      <w:r>
        <w:rPr>
          <w:color w:val="005DA1"/>
          <w:vertAlign w:val="baseline"/>
        </w:rPr>
        <w:t> </w:t>
      </w:r>
      <w:r>
        <w:rPr>
          <w:vertAlign w:val="baseline"/>
        </w:rPr>
        <w:t>The estoppel should be regarded as one that arises “by contract” rather than by convention, the difference being that with an estoppel by contract, the party which wishes to rely</w:t>
      </w:r>
      <w:r>
        <w:rPr>
          <w:spacing w:val="40"/>
          <w:vertAlign w:val="baseline"/>
        </w:rPr>
        <w:t> </w:t>
      </w:r>
      <w:bookmarkStart w:name="_bookmark1246" w:id="1248"/>
      <w:bookmarkEnd w:id="1248"/>
      <w:r>
        <w:rPr>
          <w:vertAlign w:val="baseline"/>
        </w:rPr>
        <w:t>on</w:t>
      </w:r>
      <w:r>
        <w:rPr>
          <w:vertAlign w:val="baseline"/>
        </w:rPr>
        <w:t> that estoppel has no need to demonstrate that it would be unconscionable for the other party to resile from the conventional state of affairs that the parties have assumed. </w:t>
      </w:r>
      <w:r>
        <w:rPr>
          <w:color w:val="005DA1"/>
          <w:u w:val="single" w:color="005DA1"/>
          <w:vertAlign w:val="superscript"/>
        </w:rPr>
        <w:t>661</w:t>
      </w:r>
    </w:p>
    <w:p>
      <w:pPr>
        <w:pStyle w:val="BodyText"/>
      </w:pPr>
    </w:p>
    <w:p>
      <w:pPr>
        <w:pStyle w:val="BodyText"/>
        <w:spacing w:before="36"/>
      </w:pPr>
    </w:p>
    <w:p>
      <w:pPr>
        <w:spacing w:before="0"/>
        <w:ind w:left="165" w:right="0" w:firstLine="0"/>
        <w:jc w:val="left"/>
        <w:rPr>
          <w:rFonts w:ascii="Arial"/>
          <w:b/>
          <w:sz w:val="18"/>
        </w:rPr>
      </w:pPr>
      <w:r>
        <w:rPr>
          <w:rFonts w:ascii="Arial"/>
          <w:b/>
          <w:sz w:val="18"/>
        </w:rPr>
        <w:t>Acknowledgement that statement of opinion </w:t>
      </w:r>
      <w:r>
        <w:rPr>
          <w:rFonts w:ascii="Arial"/>
          <w:b/>
          <w:spacing w:val="-4"/>
          <w:sz w:val="18"/>
        </w:rPr>
        <w:t>only</w:t>
      </w:r>
    </w:p>
    <w:p>
      <w:pPr>
        <w:spacing w:after="0"/>
        <w:jc w:val="left"/>
        <w:rPr>
          <w:rFonts w:ascii="Arial"/>
          <w:b/>
          <w:sz w:val="18"/>
        </w:rPr>
        <w:sectPr>
          <w:headerReference w:type="default" r:id="rId17"/>
          <w:pgSz w:w="11900" w:h="16840"/>
          <w:pgMar w:header="971" w:footer="0" w:top="1160" w:bottom="280" w:left="1275" w:right="1275"/>
          <w:pgNumType w:start="1"/>
        </w:sectPr>
      </w:pPr>
    </w:p>
    <w:p>
      <w:pPr>
        <w:pStyle w:val="BodyText"/>
        <w:spacing w:before="130"/>
        <w:rPr>
          <w:rFonts w:ascii="Arial"/>
          <w:b/>
          <w:sz w:val="24"/>
        </w:rPr>
      </w:pPr>
    </w:p>
    <w:p>
      <w:pPr>
        <w:pStyle w:val="Heading2"/>
      </w:pPr>
      <w:r>
        <w:rPr/>
        <w:t>7-</w:t>
      </w:r>
      <w:r>
        <w:rPr>
          <w:spacing w:val="-5"/>
        </w:rPr>
        <w:t>145</w:t>
      </w:r>
    </w:p>
    <w:p>
      <w:pPr>
        <w:pStyle w:val="BodyText"/>
        <w:spacing w:line="235" w:lineRule="auto" w:before="203"/>
        <w:ind w:left="165" w:right="168"/>
      </w:pPr>
      <w:bookmarkStart w:name="_bookmark1247" w:id="1249"/>
      <w:bookmarkEnd w:id="1249"/>
      <w:r>
        <w:rPr/>
      </w:r>
      <w:r>
        <w:rPr/>
        <w:t>The parties’ agreement may create a contractual estoppel to the effect that statements will be treated as no more than expressions of opinion. </w:t>
      </w:r>
      <w:r>
        <w:rPr>
          <w:color w:val="005DA1"/>
          <w:u w:val="single" w:color="005DA1"/>
          <w:vertAlign w:val="superscript"/>
        </w:rPr>
        <w:t>662</w:t>
      </w:r>
    </w:p>
    <w:p>
      <w:pPr>
        <w:pStyle w:val="BodyText"/>
      </w:pPr>
    </w:p>
    <w:p>
      <w:pPr>
        <w:pStyle w:val="BodyText"/>
        <w:spacing w:before="37"/>
      </w:pPr>
    </w:p>
    <w:p>
      <w:pPr>
        <w:spacing w:before="1"/>
        <w:ind w:left="165" w:right="0" w:firstLine="0"/>
        <w:jc w:val="left"/>
        <w:rPr>
          <w:rFonts w:ascii="Arial"/>
          <w:b/>
          <w:sz w:val="18"/>
        </w:rPr>
      </w:pPr>
      <w:r>
        <w:rPr>
          <w:rFonts w:ascii="Arial"/>
          <w:b/>
          <w:sz w:val="18"/>
        </w:rPr>
        <w:t>Misrepresentation Act </w:t>
      </w:r>
      <w:r>
        <w:rPr>
          <w:rFonts w:ascii="Arial"/>
          <w:b/>
          <w:spacing w:val="-5"/>
          <w:sz w:val="18"/>
        </w:rPr>
        <w:t>s.3</w:t>
      </w:r>
    </w:p>
    <w:p>
      <w:pPr>
        <w:pStyle w:val="BodyText"/>
        <w:spacing w:before="41"/>
        <w:rPr>
          <w:rFonts w:ascii="Arial"/>
          <w:b/>
          <w:sz w:val="18"/>
        </w:rPr>
      </w:pPr>
    </w:p>
    <w:p>
      <w:pPr>
        <w:pStyle w:val="Heading2"/>
      </w:pPr>
      <w:r>
        <w:rPr/>
        <w:t>7-</w:t>
      </w:r>
      <w:r>
        <w:rPr>
          <w:spacing w:val="-5"/>
        </w:rPr>
        <w:t>146</w:t>
      </w:r>
    </w:p>
    <w:p>
      <w:pPr>
        <w:pStyle w:val="BodyText"/>
        <w:spacing w:before="21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221" name="Image 221"/>
            <wp:cNvGraphicFramePr>
              <a:graphicFrameLocks/>
            </wp:cNvGraphicFramePr>
            <a:graphic>
              <a:graphicData uri="http://schemas.openxmlformats.org/drawingml/2006/picture">
                <pic:pic>
                  <pic:nvPicPr>
                    <pic:cNvPr id="221" name="Image 22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2"/>
        </w:rPr>
        <w:t> </w:t>
      </w:r>
      <w:bookmarkStart w:name="_bookmark1248" w:id="1250"/>
      <w:bookmarkEnd w:id="1250"/>
      <w:r>
        <w:rPr>
          <w:rFonts w:ascii="Times New Roman"/>
          <w:spacing w:val="14"/>
        </w:rPr>
      </w:r>
      <w:bookmarkStart w:name="_bookmark1249" w:id="1251"/>
      <w:bookmarkEnd w:id="1251"/>
      <w:r>
        <w:rPr>
          <w:rFonts w:ascii="Times New Roman"/>
          <w:spacing w:val="14"/>
        </w:rPr>
      </w:r>
      <w:r>
        <w:rPr/>
        <w:t>Section 3 of the Act of 1967 limits the freedom of the parties </w:t>
      </w:r>
      <w:r>
        <w:rPr>
          <w:color w:val="005DA1"/>
          <w:u w:val="single" w:color="005DA1"/>
          <w:vertAlign w:val="superscript"/>
        </w:rPr>
        <w:t>663</w:t>
      </w:r>
      <w:r>
        <w:rPr>
          <w:color w:val="005DA1"/>
          <w:spacing w:val="80"/>
          <w:w w:val="150"/>
          <w:vertAlign w:val="baseline"/>
        </w:rPr>
        <w:t> </w:t>
      </w:r>
      <w:r>
        <w:rPr>
          <w:color w:val="005DA1"/>
          <w:spacing w:val="26"/>
          <w:position w:val="-2"/>
          <w:vertAlign w:val="baseline"/>
        </w:rPr>
        <w:drawing>
          <wp:inline distT="0" distB="0" distL="0" distR="0">
            <wp:extent cx="107988" cy="107988"/>
            <wp:effectExtent l="0" t="0" r="0" b="0"/>
            <wp:docPr id="222" name="Image 222"/>
            <wp:cNvGraphicFramePr>
              <a:graphicFrameLocks/>
            </wp:cNvGraphicFramePr>
            <a:graphic>
              <a:graphicData uri="http://schemas.openxmlformats.org/drawingml/2006/picture">
                <pic:pic>
                  <pic:nvPicPr>
                    <pic:cNvPr id="222" name="Image 22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6"/>
          <w:position w:val="-2"/>
          <w:vertAlign w:val="baseline"/>
        </w:rPr>
      </w:r>
      <w:r>
        <w:rPr>
          <w:rFonts w:ascii="Times New Roman"/>
          <w:color w:val="005DA1"/>
          <w:spacing w:val="-13"/>
          <w:vertAlign w:val="baseline"/>
        </w:rPr>
        <w:t> </w:t>
      </w:r>
      <w:r>
        <w:rPr>
          <w:vertAlign w:val="baseline"/>
        </w:rPr>
        <w:t>to contract out </w:t>
      </w:r>
      <w:r>
        <w:rPr>
          <w:color w:val="005DA1"/>
          <w:u w:val="single" w:color="005DA1"/>
          <w:vertAlign w:val="superscript"/>
        </w:rPr>
        <w:t>664</w:t>
      </w:r>
      <w:r>
        <w:rPr>
          <w:color w:val="005DA1"/>
          <w:vertAlign w:val="baseline"/>
        </w:rPr>
        <w:t> </w:t>
      </w:r>
      <w:r>
        <w:rPr>
          <w:vertAlign w:val="baseline"/>
        </w:rPr>
        <w:t>of the effect</w:t>
      </w:r>
      <w:r>
        <w:rPr>
          <w:spacing w:val="40"/>
          <w:vertAlign w:val="baseline"/>
        </w:rPr>
        <w:t> </w:t>
      </w:r>
      <w:r>
        <w:rPr>
          <w:vertAlign w:val="baseline"/>
        </w:rPr>
        <w:t>of the Act in certain respects. The original s.3 was replaced by s.8 of the Unfair Contract Terms Act 1977, and s.3 is now as follows:</w:t>
      </w:r>
    </w:p>
    <w:p>
      <w:pPr>
        <w:pStyle w:val="BodyText"/>
      </w:pPr>
    </w:p>
    <w:p>
      <w:pPr>
        <w:pStyle w:val="BodyText"/>
        <w:spacing w:before="121"/>
      </w:pPr>
    </w:p>
    <w:p>
      <w:pPr>
        <w:pStyle w:val="BodyText"/>
        <w:ind w:left="1245"/>
      </w:pPr>
      <w:r>
        <w:rPr/>
        <w:t>“If</w:t>
      </w:r>
      <w:r>
        <w:rPr>
          <w:spacing w:val="-2"/>
        </w:rPr>
        <w:t> </w:t>
      </w:r>
      <w:r>
        <w:rPr/>
        <w:t>a contract contains a term which would exclude or </w:t>
      </w:r>
      <w:r>
        <w:rPr>
          <w:spacing w:val="-2"/>
        </w:rPr>
        <w:t>restrict—</w:t>
      </w:r>
    </w:p>
    <w:p>
      <w:pPr>
        <w:pStyle w:val="BodyText"/>
      </w:pPr>
    </w:p>
    <w:p>
      <w:pPr>
        <w:pStyle w:val="BodyText"/>
        <w:spacing w:before="195"/>
      </w:pPr>
    </w:p>
    <w:p>
      <w:pPr>
        <w:pStyle w:val="BodyText"/>
        <w:spacing w:before="1"/>
        <w:ind w:left="1245"/>
      </w:pPr>
      <w:r>
        <w:rPr>
          <w:spacing w:val="-5"/>
        </w:rPr>
        <w:t>(a)</w:t>
      </w:r>
    </w:p>
    <w:p>
      <w:pPr>
        <w:pStyle w:val="BodyText"/>
        <w:spacing w:line="235" w:lineRule="auto" w:before="113"/>
        <w:ind w:left="1725"/>
      </w:pPr>
      <w:r>
        <w:rPr/>
        <w:t>any</w:t>
      </w:r>
      <w:r>
        <w:rPr>
          <w:spacing w:val="59"/>
        </w:rPr>
        <w:t> </w:t>
      </w:r>
      <w:r>
        <w:rPr/>
        <w:t>liability</w:t>
      </w:r>
      <w:r>
        <w:rPr>
          <w:spacing w:val="59"/>
        </w:rPr>
        <w:t> </w:t>
      </w:r>
      <w:r>
        <w:rPr/>
        <w:t>to</w:t>
      </w:r>
      <w:r>
        <w:rPr>
          <w:spacing w:val="59"/>
        </w:rPr>
        <w:t> </w:t>
      </w:r>
      <w:r>
        <w:rPr/>
        <w:t>which</w:t>
      </w:r>
      <w:r>
        <w:rPr>
          <w:spacing w:val="59"/>
        </w:rPr>
        <w:t> </w:t>
      </w:r>
      <w:r>
        <w:rPr/>
        <w:t>a</w:t>
      </w:r>
      <w:r>
        <w:rPr>
          <w:spacing w:val="59"/>
        </w:rPr>
        <w:t> </w:t>
      </w:r>
      <w:r>
        <w:rPr/>
        <w:t>party</w:t>
      </w:r>
      <w:r>
        <w:rPr>
          <w:spacing w:val="59"/>
        </w:rPr>
        <w:t> </w:t>
      </w:r>
      <w:r>
        <w:rPr/>
        <w:t>to</w:t>
      </w:r>
      <w:r>
        <w:rPr>
          <w:spacing w:val="59"/>
        </w:rPr>
        <w:t> </w:t>
      </w:r>
      <w:r>
        <w:rPr/>
        <w:t>a</w:t>
      </w:r>
      <w:r>
        <w:rPr>
          <w:spacing w:val="59"/>
        </w:rPr>
        <w:t> </w:t>
      </w:r>
      <w:r>
        <w:rPr/>
        <w:t>contract</w:t>
      </w:r>
      <w:r>
        <w:rPr>
          <w:spacing w:val="59"/>
        </w:rPr>
        <w:t> </w:t>
      </w:r>
      <w:r>
        <w:rPr/>
        <w:t>may</w:t>
      </w:r>
      <w:r>
        <w:rPr>
          <w:spacing w:val="59"/>
        </w:rPr>
        <w:t> </w:t>
      </w:r>
      <w:r>
        <w:rPr/>
        <w:t>be</w:t>
      </w:r>
      <w:r>
        <w:rPr>
          <w:spacing w:val="59"/>
        </w:rPr>
        <w:t> </w:t>
      </w:r>
      <w:r>
        <w:rPr/>
        <w:t>subject</w:t>
      </w:r>
      <w:r>
        <w:rPr>
          <w:spacing w:val="59"/>
        </w:rPr>
        <w:t> </w:t>
      </w:r>
      <w:r>
        <w:rPr/>
        <w:t>by</w:t>
      </w:r>
      <w:r>
        <w:rPr>
          <w:spacing w:val="59"/>
        </w:rPr>
        <w:t> </w:t>
      </w:r>
      <w:r>
        <w:rPr/>
        <w:t>reason</w:t>
      </w:r>
      <w:r>
        <w:rPr>
          <w:spacing w:val="59"/>
        </w:rPr>
        <w:t> </w:t>
      </w:r>
      <w:r>
        <w:rPr/>
        <w:t>of</w:t>
      </w:r>
      <w:r>
        <w:rPr>
          <w:spacing w:val="59"/>
        </w:rPr>
        <w:t> </w:t>
      </w:r>
      <w:r>
        <w:rPr/>
        <w:t>any misrepresentation made by him before the contract was made; or</w:t>
      </w:r>
    </w:p>
    <w:p>
      <w:pPr>
        <w:pStyle w:val="BodyText"/>
      </w:pPr>
    </w:p>
    <w:p>
      <w:pPr>
        <w:pStyle w:val="BodyText"/>
        <w:spacing w:before="36"/>
      </w:pPr>
    </w:p>
    <w:p>
      <w:pPr>
        <w:pStyle w:val="BodyText"/>
        <w:ind w:left="1245"/>
      </w:pPr>
      <w:r>
        <w:rPr>
          <w:spacing w:val="-5"/>
        </w:rPr>
        <w:t>(b)</w:t>
      </w:r>
    </w:p>
    <w:p>
      <w:pPr>
        <w:pStyle w:val="BodyText"/>
        <w:spacing w:line="235" w:lineRule="auto" w:before="114"/>
        <w:ind w:left="1725"/>
      </w:pPr>
      <w:r>
        <w:rPr/>
        <w:t>any</w:t>
      </w:r>
      <w:r>
        <w:rPr>
          <w:spacing w:val="72"/>
        </w:rPr>
        <w:t> </w:t>
      </w:r>
      <w:r>
        <w:rPr/>
        <w:t>remedy</w:t>
      </w:r>
      <w:r>
        <w:rPr>
          <w:spacing w:val="72"/>
        </w:rPr>
        <w:t> </w:t>
      </w:r>
      <w:r>
        <w:rPr/>
        <w:t>available</w:t>
      </w:r>
      <w:r>
        <w:rPr>
          <w:spacing w:val="72"/>
        </w:rPr>
        <w:t> </w:t>
      </w:r>
      <w:r>
        <w:rPr/>
        <w:t>to</w:t>
      </w:r>
      <w:r>
        <w:rPr>
          <w:spacing w:val="72"/>
        </w:rPr>
        <w:t> </w:t>
      </w:r>
      <w:r>
        <w:rPr/>
        <w:t>another</w:t>
      </w:r>
      <w:r>
        <w:rPr>
          <w:spacing w:val="72"/>
        </w:rPr>
        <w:t> </w:t>
      </w:r>
      <w:r>
        <w:rPr/>
        <w:t>party</w:t>
      </w:r>
      <w:r>
        <w:rPr>
          <w:spacing w:val="72"/>
        </w:rPr>
        <w:t> </w:t>
      </w:r>
      <w:r>
        <w:rPr/>
        <w:t>to</w:t>
      </w:r>
      <w:r>
        <w:rPr>
          <w:spacing w:val="72"/>
        </w:rPr>
        <w:t> </w:t>
      </w:r>
      <w:r>
        <w:rPr/>
        <w:t>the</w:t>
      </w:r>
      <w:r>
        <w:rPr>
          <w:spacing w:val="72"/>
        </w:rPr>
        <w:t> </w:t>
      </w:r>
      <w:r>
        <w:rPr/>
        <w:t>contract</w:t>
      </w:r>
      <w:r>
        <w:rPr>
          <w:spacing w:val="72"/>
        </w:rPr>
        <w:t> </w:t>
      </w:r>
      <w:r>
        <w:rPr/>
        <w:t>by</w:t>
      </w:r>
      <w:r>
        <w:rPr>
          <w:spacing w:val="72"/>
        </w:rPr>
        <w:t> </w:t>
      </w:r>
      <w:r>
        <w:rPr/>
        <w:t>reason</w:t>
      </w:r>
      <w:r>
        <w:rPr>
          <w:spacing w:val="72"/>
        </w:rPr>
        <w:t> </w:t>
      </w:r>
      <w:r>
        <w:rPr/>
        <w:t>of</w:t>
      </w:r>
      <w:r>
        <w:rPr>
          <w:spacing w:val="72"/>
        </w:rPr>
        <w:t> </w:t>
      </w:r>
      <w:r>
        <w:rPr/>
        <w:t>such</w:t>
      </w:r>
      <w:r>
        <w:rPr>
          <w:spacing w:val="72"/>
        </w:rPr>
        <w:t> </w:t>
      </w:r>
      <w:r>
        <w:rPr/>
        <w:t>a </w:t>
      </w:r>
      <w:r>
        <w:rPr>
          <w:spacing w:val="-2"/>
        </w:rPr>
        <w:t>misrepresentation,</w:t>
      </w:r>
    </w:p>
    <w:p>
      <w:pPr>
        <w:pStyle w:val="BodyText"/>
        <w:spacing w:before="209"/>
      </w:pPr>
    </w:p>
    <w:p>
      <w:pPr>
        <w:pStyle w:val="BodyText"/>
        <w:spacing w:line="235" w:lineRule="auto"/>
        <w:ind w:left="1245" w:right="167"/>
        <w:jc w:val="both"/>
      </w:pPr>
      <w:r>
        <w:rPr/>
        <w:t>that term shall be of no effect except in so far as it satisfies the requirement of reasonableness</w:t>
      </w:r>
      <w:r>
        <w:rPr>
          <w:spacing w:val="-2"/>
        </w:rPr>
        <w:t> </w:t>
      </w:r>
      <w:r>
        <w:rPr/>
        <w:t>as</w:t>
      </w:r>
      <w:r>
        <w:rPr>
          <w:spacing w:val="-2"/>
        </w:rPr>
        <w:t> </w:t>
      </w:r>
      <w:r>
        <w:rPr/>
        <w:t>stated</w:t>
      </w:r>
      <w:r>
        <w:rPr>
          <w:spacing w:val="-2"/>
        </w:rPr>
        <w:t> </w:t>
      </w:r>
      <w:r>
        <w:rPr/>
        <w:t>in</w:t>
      </w:r>
      <w:r>
        <w:rPr>
          <w:spacing w:val="-2"/>
        </w:rPr>
        <w:t> </w:t>
      </w:r>
      <w:r>
        <w:rPr/>
        <w:t>section</w:t>
      </w:r>
      <w:r>
        <w:rPr>
          <w:spacing w:val="-2"/>
        </w:rPr>
        <w:t> </w:t>
      </w:r>
      <w:r>
        <w:rPr/>
        <w:t>11(1)</w:t>
      </w:r>
      <w:r>
        <w:rPr>
          <w:spacing w:val="-2"/>
        </w:rPr>
        <w:t> </w:t>
      </w:r>
      <w:r>
        <w:rPr/>
        <w:t>of</w:t>
      </w:r>
      <w:r>
        <w:rPr>
          <w:spacing w:val="-2"/>
        </w:rPr>
        <w:t> </w:t>
      </w:r>
      <w:r>
        <w:rPr/>
        <w:t>the</w:t>
      </w:r>
      <w:r>
        <w:rPr>
          <w:spacing w:val="-2"/>
        </w:rPr>
        <w:t> </w:t>
      </w:r>
      <w:r>
        <w:rPr/>
        <w:t>Unfair</w:t>
      </w:r>
      <w:r>
        <w:rPr>
          <w:spacing w:val="-2"/>
        </w:rPr>
        <w:t> </w:t>
      </w:r>
      <w:r>
        <w:rPr/>
        <w:t>Contract</w:t>
      </w:r>
      <w:r>
        <w:rPr>
          <w:spacing w:val="-2"/>
        </w:rPr>
        <w:t> </w:t>
      </w:r>
      <w:r>
        <w:rPr/>
        <w:t>Terms</w:t>
      </w:r>
      <w:r>
        <w:rPr>
          <w:spacing w:val="-2"/>
        </w:rPr>
        <w:t> </w:t>
      </w:r>
      <w:r>
        <w:rPr/>
        <w:t>Act</w:t>
      </w:r>
      <w:r>
        <w:rPr>
          <w:spacing w:val="-2"/>
        </w:rPr>
        <w:t> </w:t>
      </w:r>
      <w:r>
        <w:rPr/>
        <w:t>1977;</w:t>
      </w:r>
      <w:r>
        <w:rPr>
          <w:spacing w:val="-2"/>
        </w:rPr>
        <w:t> </w:t>
      </w:r>
      <w:r>
        <w:rPr/>
        <w:t>and</w:t>
      </w:r>
      <w:r>
        <w:rPr>
          <w:spacing w:val="-2"/>
        </w:rPr>
        <w:t> </w:t>
      </w:r>
      <w:r>
        <w:rPr/>
        <w:t>it</w:t>
      </w:r>
      <w:r>
        <w:rPr>
          <w:spacing w:val="-2"/>
        </w:rPr>
        <w:t> </w:t>
      </w:r>
      <w:r>
        <w:rPr/>
        <w:t>is for those claiming that the term satisfies that requirement to show that it does.”</w:t>
      </w:r>
    </w:p>
    <w:p>
      <w:pPr>
        <w:pStyle w:val="BodyText"/>
        <w:spacing w:before="115"/>
      </w:pPr>
    </w:p>
    <w:p>
      <w:pPr>
        <w:pStyle w:val="BodyText"/>
        <w:spacing w:line="235" w:lineRule="auto"/>
        <w:ind w:left="165" w:right="167"/>
        <w:jc w:val="both"/>
      </w:pPr>
      <w:r>
        <w:rPr/>
        <w:t>The main change of substance between the current and the original s.3 is that under the </w:t>
      </w:r>
      <w:r>
        <w:rPr/>
        <w:t>original section</w:t>
      </w:r>
      <w:r>
        <w:rPr>
          <w:spacing w:val="-1"/>
        </w:rPr>
        <w:t> </w:t>
      </w:r>
      <w:r>
        <w:rPr/>
        <w:t>it</w:t>
      </w:r>
      <w:r>
        <w:rPr>
          <w:spacing w:val="-1"/>
        </w:rPr>
        <w:t> </w:t>
      </w:r>
      <w:r>
        <w:rPr/>
        <w:t>was</w:t>
      </w:r>
      <w:r>
        <w:rPr>
          <w:spacing w:val="-1"/>
        </w:rPr>
        <w:t> </w:t>
      </w:r>
      <w:r>
        <w:rPr>
          <w:rFonts w:ascii="Arial"/>
          <w:i/>
        </w:rPr>
        <w:t>reliance</w:t>
      </w:r>
      <w:r>
        <w:rPr>
          <w:rFonts w:ascii="Arial"/>
          <w:i/>
          <w:spacing w:val="-1"/>
        </w:rPr>
        <w:t> </w:t>
      </w:r>
      <w:r>
        <w:rPr/>
        <w:t>on</w:t>
      </w:r>
      <w:r>
        <w:rPr>
          <w:spacing w:val="-1"/>
        </w:rPr>
        <w:t> </w:t>
      </w:r>
      <w:r>
        <w:rPr/>
        <w:t>the</w:t>
      </w:r>
      <w:r>
        <w:rPr>
          <w:spacing w:val="-1"/>
        </w:rPr>
        <w:t> </w:t>
      </w:r>
      <w:r>
        <w:rPr/>
        <w:t>exempting</w:t>
      </w:r>
      <w:r>
        <w:rPr>
          <w:spacing w:val="-1"/>
        </w:rPr>
        <w:t> </w:t>
      </w:r>
      <w:r>
        <w:rPr/>
        <w:t>provision</w:t>
      </w:r>
      <w:r>
        <w:rPr>
          <w:spacing w:val="-1"/>
        </w:rPr>
        <w:t> </w:t>
      </w:r>
      <w:r>
        <w:rPr/>
        <w:t>which</w:t>
      </w:r>
      <w:r>
        <w:rPr>
          <w:spacing w:val="-1"/>
        </w:rPr>
        <w:t> </w:t>
      </w:r>
      <w:r>
        <w:rPr/>
        <w:t>had</w:t>
      </w:r>
      <w:r>
        <w:rPr>
          <w:spacing w:val="-1"/>
        </w:rPr>
        <w:t> </w:t>
      </w:r>
      <w:r>
        <w:rPr/>
        <w:t>to</w:t>
      </w:r>
      <w:r>
        <w:rPr>
          <w:spacing w:val="-1"/>
        </w:rPr>
        <w:t> </w:t>
      </w:r>
      <w:r>
        <w:rPr/>
        <w:t>be</w:t>
      </w:r>
      <w:r>
        <w:rPr>
          <w:spacing w:val="-1"/>
        </w:rPr>
        <w:t> </w:t>
      </w:r>
      <w:r>
        <w:rPr/>
        <w:t>shown</w:t>
      </w:r>
      <w:r>
        <w:rPr>
          <w:spacing w:val="-1"/>
        </w:rPr>
        <w:t> </w:t>
      </w:r>
      <w:r>
        <w:rPr/>
        <w:t>to</w:t>
      </w:r>
      <w:r>
        <w:rPr>
          <w:spacing w:val="-1"/>
        </w:rPr>
        <w:t> </w:t>
      </w:r>
      <w:r>
        <w:rPr/>
        <w:t>be</w:t>
      </w:r>
      <w:r>
        <w:rPr>
          <w:spacing w:val="-1"/>
        </w:rPr>
        <w:t> </w:t>
      </w:r>
      <w:r>
        <w:rPr/>
        <w:t>reasonable;</w:t>
      </w:r>
      <w:r>
        <w:rPr>
          <w:spacing w:val="-1"/>
        </w:rPr>
        <w:t> </w:t>
      </w:r>
      <w:r>
        <w:rPr/>
        <w:t>under</w:t>
      </w:r>
      <w:r>
        <w:rPr>
          <w:spacing w:val="-1"/>
        </w:rPr>
        <w:t> </w:t>
      </w:r>
      <w:r>
        <w:rPr/>
        <w:t>the current s.3, it is the exempting term itself which has to be shown to be reasonable. The requirement</w:t>
      </w:r>
      <w:r>
        <w:rPr>
          <w:spacing w:val="80"/>
        </w:rPr>
        <w:t> </w:t>
      </w:r>
      <w:r>
        <w:rPr/>
        <w:t>of reasonableness is now stated in s.11(1) of the Unfair Contract Terms Act 1977 as a requirement that the term in question:</w:t>
      </w:r>
    </w:p>
    <w:p>
      <w:pPr>
        <w:pStyle w:val="BodyText"/>
      </w:pPr>
    </w:p>
    <w:p>
      <w:pPr>
        <w:pStyle w:val="BodyText"/>
        <w:spacing w:before="125"/>
      </w:pPr>
    </w:p>
    <w:p>
      <w:pPr>
        <w:pStyle w:val="BodyText"/>
        <w:spacing w:line="235" w:lineRule="auto"/>
        <w:ind w:left="1245" w:right="167"/>
        <w:jc w:val="both"/>
      </w:pPr>
      <w:r>
        <w:rPr/>
        <w:t>“… shall have been a fair and reasonable one to be included having regard to the circumstances which were, or ought reasonably to have been, known to or in </w:t>
      </w:r>
      <w:r>
        <w:rPr/>
        <w:t>the contemplation of the parties when the contract was made.”</w:t>
      </w:r>
    </w:p>
    <w:p>
      <w:pPr>
        <w:pStyle w:val="BodyText"/>
        <w:spacing w:before="116"/>
      </w:pPr>
    </w:p>
    <w:p>
      <w:pPr>
        <w:pStyle w:val="BodyText"/>
        <w:spacing w:line="235" w:lineRule="auto"/>
        <w:ind w:left="165" w:right="167"/>
        <w:jc w:val="both"/>
      </w:pPr>
      <w:bookmarkStart w:name="_bookmark1250" w:id="1252"/>
      <w:bookmarkEnd w:id="1252"/>
      <w:r>
        <w:rPr/>
      </w:r>
      <w:r>
        <w:rPr/>
        <w:t>Thus a very wide exempting term may be held unreasonable under the current s.3 while reliance on </w:t>
      </w:r>
      <w:r>
        <w:rPr/>
        <w:t>it might have been reasonable under the old s.3</w:t>
      </w:r>
      <w:r>
        <w:rPr>
          <w:spacing w:val="-1"/>
        </w:rPr>
        <w:t> </w:t>
      </w:r>
      <w:r>
        <w:rPr>
          <w:color w:val="005DA1"/>
          <w:u w:val="single" w:color="005DA1"/>
          <w:vertAlign w:val="superscript"/>
        </w:rPr>
        <w:t>665</w:t>
      </w:r>
      <w:r>
        <w:rPr>
          <w:vertAlign w:val="baseline"/>
        </w:rPr>
        <w:t>; equally, a term may now be held reasonable where reliance on it in particular circumstances might formerly have been held unreasonable. A further change is that the current s.3 makes it clear that the onus is on a person claiming to rely upon an </w:t>
      </w:r>
      <w:bookmarkStart w:name="_bookmark1251" w:id="1253"/>
      <w:bookmarkEnd w:id="1253"/>
      <w:r>
        <w:rPr>
          <w:vertAlign w:val="baseline"/>
        </w:rPr>
        <w:t>exempting</w:t>
      </w:r>
      <w:r>
        <w:rPr>
          <w:vertAlign w:val="baseline"/>
        </w:rPr>
        <w:t> term to show that it is reasonable under the relevant section of the Unfair Contract Terms Act. Reasonableness under the Act is discussed below. </w:t>
      </w:r>
      <w:r>
        <w:rPr>
          <w:color w:val="005DA1"/>
          <w:u w:val="single" w:color="005DA1"/>
          <w:vertAlign w:val="superscript"/>
        </w:rPr>
        <w:t>666</w:t>
      </w:r>
    </w:p>
    <w:p>
      <w:pPr>
        <w:pStyle w:val="BodyText"/>
      </w:pPr>
    </w:p>
    <w:p>
      <w:pPr>
        <w:pStyle w:val="BodyText"/>
        <w:spacing w:before="36"/>
      </w:pPr>
    </w:p>
    <w:p>
      <w:pPr>
        <w:spacing w:before="0"/>
        <w:ind w:left="165" w:right="0" w:firstLine="0"/>
        <w:jc w:val="both"/>
        <w:rPr>
          <w:rFonts w:ascii="Arial"/>
          <w:b/>
          <w:sz w:val="18"/>
        </w:rPr>
      </w:pPr>
      <w:r>
        <w:rPr>
          <w:rFonts w:ascii="Arial"/>
          <w:b/>
          <w:sz w:val="18"/>
        </w:rPr>
        <w:t>Consumer </w:t>
      </w:r>
      <w:r>
        <w:rPr>
          <w:rFonts w:ascii="Arial"/>
          <w:b/>
          <w:spacing w:val="-2"/>
          <w:sz w:val="18"/>
        </w:rPr>
        <w:t>cases</w:t>
      </w:r>
    </w:p>
    <w:p>
      <w:pPr>
        <w:pStyle w:val="BodyText"/>
        <w:spacing w:before="42"/>
        <w:rPr>
          <w:rFonts w:ascii="Arial"/>
          <w:b/>
          <w:sz w:val="18"/>
        </w:rPr>
      </w:pPr>
    </w:p>
    <w:p>
      <w:pPr>
        <w:pStyle w:val="Heading2"/>
      </w:pPr>
      <w:r>
        <w:rPr/>
        <w:t>7-</w:t>
      </w:r>
      <w:r>
        <w:rPr>
          <w:spacing w:val="-5"/>
        </w:rPr>
        <w:t>147</w:t>
      </w:r>
    </w:p>
    <w:p>
      <w:pPr>
        <w:pStyle w:val="Heading2"/>
        <w:spacing w:after="0"/>
        <w:sectPr>
          <w:pgSz w:w="11900" w:h="16840"/>
          <w:pgMar w:header="971" w:footer="0" w:top="1160" w:bottom="280" w:left="1275" w:right="1275"/>
        </w:sectPr>
      </w:pPr>
    </w:p>
    <w:p>
      <w:pPr>
        <w:pStyle w:val="BodyText"/>
        <w:rPr>
          <w:rFonts w:ascii="Arial"/>
          <w:b/>
        </w:rPr>
      </w:pPr>
    </w:p>
    <w:p>
      <w:pPr>
        <w:pStyle w:val="BodyText"/>
        <w:spacing w:before="15"/>
        <w:rPr>
          <w:rFonts w:ascii="Arial"/>
          <w:b/>
        </w:rPr>
      </w:pPr>
    </w:p>
    <w:p>
      <w:pPr>
        <w:pStyle w:val="BodyText"/>
        <w:spacing w:line="235" w:lineRule="auto"/>
        <w:ind w:left="165" w:right="165"/>
      </w:pPr>
      <w:r>
        <w:rPr>
          <w:position w:val="-2"/>
        </w:rPr>
        <w:drawing>
          <wp:inline distT="0" distB="0" distL="0" distR="0">
            <wp:extent cx="107988" cy="107988"/>
            <wp:effectExtent l="0" t="0" r="0" b="0"/>
            <wp:docPr id="223" name="Image 223"/>
            <wp:cNvGraphicFramePr>
              <a:graphicFrameLocks/>
            </wp:cNvGraphicFramePr>
            <a:graphic>
              <a:graphicData uri="http://schemas.openxmlformats.org/drawingml/2006/picture">
                <pic:pic>
                  <pic:nvPicPr>
                    <pic:cNvPr id="223" name="Image 22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40"/>
        </w:rPr>
        <w:t> </w:t>
      </w:r>
      <w:r>
        <w:rPr/>
        <w:t>With</w:t>
      </w:r>
      <w:r>
        <w:rPr>
          <w:spacing w:val="40"/>
        </w:rPr>
        <w:t> </w:t>
      </w:r>
      <w:r>
        <w:rPr/>
        <w:t>the</w:t>
      </w:r>
      <w:r>
        <w:rPr>
          <w:spacing w:val="40"/>
        </w:rPr>
        <w:t> </w:t>
      </w:r>
      <w:r>
        <w:rPr/>
        <w:t>coming</w:t>
      </w:r>
      <w:r>
        <w:rPr>
          <w:spacing w:val="40"/>
        </w:rPr>
        <w:t> </w:t>
      </w:r>
      <w:r>
        <w:rPr/>
        <w:t>into</w:t>
      </w:r>
      <w:r>
        <w:rPr>
          <w:spacing w:val="40"/>
        </w:rPr>
        <w:t> </w:t>
      </w:r>
      <w:r>
        <w:rPr/>
        <w:t>force</w:t>
      </w:r>
      <w:r>
        <w:rPr>
          <w:spacing w:val="40"/>
        </w:rPr>
        <w:t> </w:t>
      </w:r>
      <w:r>
        <w:rPr/>
        <w:t>of</w:t>
      </w:r>
      <w:r>
        <w:rPr>
          <w:spacing w:val="40"/>
        </w:rPr>
        <w:t> </w:t>
      </w:r>
      <w:r>
        <w:rPr/>
        <w:t>the</w:t>
      </w:r>
      <w:r>
        <w:rPr>
          <w:spacing w:val="40"/>
        </w:rPr>
        <w:t> </w:t>
      </w:r>
      <w:r>
        <w:rPr/>
        <w:t>Consumer</w:t>
      </w:r>
      <w:r>
        <w:rPr>
          <w:spacing w:val="40"/>
        </w:rPr>
        <w:t> </w:t>
      </w:r>
      <w:r>
        <w:rPr/>
        <w:t>Rights</w:t>
      </w:r>
      <w:r>
        <w:rPr>
          <w:spacing w:val="40"/>
        </w:rPr>
        <w:t> </w:t>
      </w:r>
      <w:r>
        <w:rPr/>
        <w:t>Act</w:t>
      </w:r>
      <w:r>
        <w:rPr>
          <w:spacing w:val="40"/>
        </w:rPr>
        <w:t> </w:t>
      </w:r>
      <w:r>
        <w:rPr/>
        <w:t>2015</w:t>
      </w:r>
      <w:r>
        <w:rPr>
          <w:spacing w:val="40"/>
        </w:rPr>
        <w:t> </w:t>
      </w:r>
      <w:r>
        <w:rPr/>
        <w:t>(for</w:t>
      </w:r>
      <w:r>
        <w:rPr>
          <w:spacing w:val="40"/>
        </w:rPr>
        <w:t> </w:t>
      </w:r>
      <w:r>
        <w:rPr/>
        <w:t>contracts</w:t>
      </w:r>
      <w:r>
        <w:rPr>
          <w:spacing w:val="40"/>
        </w:rPr>
        <w:t> </w:t>
      </w:r>
      <w:r>
        <w:rPr/>
        <w:t>made</w:t>
      </w:r>
      <w:r>
        <w:rPr>
          <w:spacing w:val="40"/>
        </w:rPr>
        <w:t> </w:t>
      </w:r>
      <w:r>
        <w:rPr/>
        <w:t>on</w:t>
      </w:r>
      <w:r>
        <w:rPr>
          <w:spacing w:val="40"/>
        </w:rPr>
        <w:t> </w:t>
      </w:r>
      <w:r>
        <w:rPr/>
        <w:t>or</w:t>
      </w:r>
      <w:r>
        <w:rPr>
          <w:spacing w:val="40"/>
        </w:rPr>
        <w:t> </w:t>
      </w:r>
      <w:r>
        <w:rPr/>
        <w:t>after </w:t>
      </w:r>
      <w:bookmarkStart w:name="_bookmark1252" w:id="1254"/>
      <w:bookmarkEnd w:id="1254"/>
      <w:r>
        <w:rPr/>
        <w:t>October</w:t>
      </w:r>
      <w:r>
        <w:rPr>
          <w:spacing w:val="20"/>
        </w:rPr>
        <w:t> </w:t>
      </w:r>
      <w:r>
        <w:rPr/>
        <w:t>1,</w:t>
      </w:r>
      <w:r>
        <w:rPr>
          <w:spacing w:val="20"/>
        </w:rPr>
        <w:t> </w:t>
      </w:r>
      <w:r>
        <w:rPr/>
        <w:t>2015),</w:t>
      </w:r>
      <w:r>
        <w:rPr>
          <w:spacing w:val="20"/>
        </w:rPr>
        <w:t> </w:t>
      </w:r>
      <w:r>
        <w:rPr/>
        <w:t>s.3</w:t>
      </w:r>
      <w:r>
        <w:rPr>
          <w:spacing w:val="20"/>
        </w:rPr>
        <w:t> </w:t>
      </w:r>
      <w:r>
        <w:rPr/>
        <w:t>of</w:t>
      </w:r>
      <w:r>
        <w:rPr>
          <w:spacing w:val="20"/>
        </w:rPr>
        <w:t> </w:t>
      </w:r>
      <w:r>
        <w:rPr/>
        <w:t>the</w:t>
      </w:r>
      <w:r>
        <w:rPr>
          <w:spacing w:val="20"/>
        </w:rPr>
        <w:t> </w:t>
      </w:r>
      <w:r>
        <w:rPr/>
        <w:t>Misrepresentation</w:t>
      </w:r>
      <w:r>
        <w:rPr>
          <w:spacing w:val="20"/>
        </w:rPr>
        <w:t> </w:t>
      </w:r>
      <w:r>
        <w:rPr/>
        <w:t>Act</w:t>
      </w:r>
      <w:r>
        <w:rPr>
          <w:spacing w:val="20"/>
        </w:rPr>
        <w:t> </w:t>
      </w:r>
      <w:r>
        <w:rPr/>
        <w:t>1967</w:t>
      </w:r>
      <w:r>
        <w:rPr>
          <w:spacing w:val="20"/>
        </w:rPr>
        <w:t> </w:t>
      </w:r>
      <w:r>
        <w:rPr/>
        <w:t>is</w:t>
      </w:r>
      <w:r>
        <w:rPr>
          <w:spacing w:val="20"/>
        </w:rPr>
        <w:t> </w:t>
      </w:r>
      <w:r>
        <w:rPr/>
        <w:t>amended</w:t>
      </w:r>
      <w:r>
        <w:rPr>
          <w:spacing w:val="20"/>
        </w:rPr>
        <w:t> </w:t>
      </w:r>
      <w:r>
        <w:rPr/>
        <w:t>so</w:t>
      </w:r>
      <w:r>
        <w:rPr>
          <w:spacing w:val="20"/>
        </w:rPr>
        <w:t> </w:t>
      </w:r>
      <w:r>
        <w:rPr/>
        <w:t>as</w:t>
      </w:r>
      <w:r>
        <w:rPr>
          <w:spacing w:val="20"/>
        </w:rPr>
        <w:t> </w:t>
      </w:r>
      <w:r>
        <w:rPr/>
        <w:t>to</w:t>
      </w:r>
      <w:r>
        <w:rPr>
          <w:spacing w:val="20"/>
        </w:rPr>
        <w:t> </w:t>
      </w:r>
      <w:r>
        <w:rPr/>
        <w:t>no</w:t>
      </w:r>
      <w:r>
        <w:rPr>
          <w:spacing w:val="20"/>
        </w:rPr>
        <w:t> </w:t>
      </w:r>
      <w:r>
        <w:rPr/>
        <w:t>longer</w:t>
      </w:r>
      <w:r>
        <w:rPr>
          <w:spacing w:val="20"/>
        </w:rPr>
        <w:t> </w:t>
      </w:r>
      <w:r>
        <w:rPr/>
        <w:t>apply</w:t>
      </w:r>
      <w:r>
        <w:rPr>
          <w:spacing w:val="20"/>
        </w:rPr>
        <w:t> </w:t>
      </w:r>
      <w:r>
        <w:rPr/>
        <w:t>to</w:t>
      </w:r>
      <w:r>
        <w:rPr>
          <w:spacing w:val="20"/>
        </w:rPr>
        <w:t> </w:t>
      </w:r>
      <w:r>
        <w:rPr>
          <w:spacing w:val="-5"/>
        </w:rPr>
        <w:t>“a</w:t>
      </w:r>
    </w:p>
    <w:p>
      <w:pPr>
        <w:pStyle w:val="BodyText"/>
        <w:tabs>
          <w:tab w:pos="9008" w:val="left" w:leader="none"/>
        </w:tabs>
        <w:spacing w:before="115"/>
        <w:ind w:left="165"/>
        <w:rPr>
          <w:position w:val="-2"/>
        </w:rPr>
      </w:pPr>
      <w:bookmarkStart w:name="_bookmark1253" w:id="1255"/>
      <w:bookmarkEnd w:id="1255"/>
      <w:r>
        <w:rPr/>
      </w:r>
      <w:r>
        <w:rPr/>
        <w:t>term</w:t>
      </w:r>
      <w:r>
        <w:rPr>
          <w:spacing w:val="23"/>
        </w:rPr>
        <w:t> </w:t>
      </w:r>
      <w:r>
        <w:rPr/>
        <w:t>in</w:t>
      </w:r>
      <w:r>
        <w:rPr>
          <w:spacing w:val="23"/>
        </w:rPr>
        <w:t> </w:t>
      </w:r>
      <w:r>
        <w:rPr/>
        <w:t>a</w:t>
      </w:r>
      <w:r>
        <w:rPr>
          <w:spacing w:val="23"/>
        </w:rPr>
        <w:t> </w:t>
      </w:r>
      <w:r>
        <w:rPr/>
        <w:t>consumer</w:t>
      </w:r>
      <w:r>
        <w:rPr>
          <w:spacing w:val="23"/>
        </w:rPr>
        <w:t> </w:t>
      </w:r>
      <w:r>
        <w:rPr/>
        <w:t>contract</w:t>
      </w:r>
      <w:r>
        <w:rPr>
          <w:spacing w:val="23"/>
        </w:rPr>
        <w:t> </w:t>
      </w:r>
      <w:r>
        <w:rPr/>
        <w:t>within</w:t>
      </w:r>
      <w:r>
        <w:rPr>
          <w:spacing w:val="23"/>
        </w:rPr>
        <w:t> </w:t>
      </w:r>
      <w:r>
        <w:rPr/>
        <w:t>the</w:t>
      </w:r>
      <w:r>
        <w:rPr>
          <w:spacing w:val="23"/>
        </w:rPr>
        <w:t> </w:t>
      </w:r>
      <w:r>
        <w:rPr/>
        <w:t>meaning</w:t>
      </w:r>
      <w:r>
        <w:rPr>
          <w:spacing w:val="23"/>
        </w:rPr>
        <w:t> </w:t>
      </w:r>
      <w:r>
        <w:rPr/>
        <w:t>of</w:t>
      </w:r>
      <w:r>
        <w:rPr>
          <w:spacing w:val="23"/>
        </w:rPr>
        <w:t> </w:t>
      </w:r>
      <w:r>
        <w:rPr/>
        <w:t>Pt</w:t>
      </w:r>
      <w:r>
        <w:rPr>
          <w:spacing w:val="23"/>
        </w:rPr>
        <w:t> </w:t>
      </w:r>
      <w:r>
        <w:rPr/>
        <w:t>2</w:t>
      </w:r>
      <w:r>
        <w:rPr>
          <w:spacing w:val="23"/>
        </w:rPr>
        <w:t> </w:t>
      </w:r>
      <w:r>
        <w:rPr/>
        <w:t>of</w:t>
      </w:r>
      <w:r>
        <w:rPr>
          <w:spacing w:val="23"/>
        </w:rPr>
        <w:t> </w:t>
      </w:r>
      <w:r>
        <w:rPr/>
        <w:t>the</w:t>
      </w:r>
      <w:r>
        <w:rPr>
          <w:spacing w:val="23"/>
        </w:rPr>
        <w:t> </w:t>
      </w:r>
      <w:r>
        <w:rPr/>
        <w:t>Consumer</w:t>
      </w:r>
      <w:r>
        <w:rPr>
          <w:spacing w:val="23"/>
        </w:rPr>
        <w:t> </w:t>
      </w:r>
      <w:r>
        <w:rPr/>
        <w:t>Rights</w:t>
      </w:r>
      <w:r>
        <w:rPr>
          <w:spacing w:val="23"/>
        </w:rPr>
        <w:t> </w:t>
      </w:r>
      <w:r>
        <w:rPr/>
        <w:t>Act</w:t>
      </w:r>
      <w:r>
        <w:rPr>
          <w:spacing w:val="23"/>
        </w:rPr>
        <w:t> </w:t>
      </w:r>
      <w:r>
        <w:rPr/>
        <w:t>2015”.</w:t>
      </w:r>
      <w:r>
        <w:rPr>
          <w:spacing w:val="22"/>
        </w:rPr>
        <w:t> </w:t>
      </w:r>
      <w:r>
        <w:rPr>
          <w:color w:val="005DA1"/>
          <w:spacing w:val="-5"/>
          <w:u w:val="single" w:color="005DA1"/>
          <w:vertAlign w:val="superscript"/>
        </w:rPr>
        <w:t>667</w:t>
      </w:r>
      <w:r>
        <w:rPr>
          <w:color w:val="005DA1"/>
          <w:vertAlign w:val="baseline"/>
        </w:rPr>
        <w:tab/>
      </w:r>
      <w:r>
        <w:rPr>
          <w:color w:val="005DA1"/>
          <w:position w:val="-2"/>
          <w:vertAlign w:val="baseline"/>
        </w:rPr>
        <w:drawing>
          <wp:inline distT="0" distB="0" distL="0" distR="0">
            <wp:extent cx="107988" cy="107988"/>
            <wp:effectExtent l="0" t="0" r="0" b="0"/>
            <wp:docPr id="224" name="Image 224"/>
            <wp:cNvGraphicFramePr>
              <a:graphicFrameLocks/>
            </wp:cNvGraphicFramePr>
            <a:graphic>
              <a:graphicData uri="http://schemas.openxmlformats.org/drawingml/2006/picture">
                <pic:pic>
                  <pic:nvPicPr>
                    <pic:cNvPr id="224" name="Image 22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line="235" w:lineRule="auto" w:before="119"/>
        <w:ind w:left="165" w:right="182"/>
      </w:pPr>
      <w:r>
        <w:rPr/>
        <w:t>These terms are controlled under the 2015 Act by the general test of unfairness provided by s.62. </w:t>
      </w:r>
      <w:r>
        <w:rPr>
          <w:color w:val="005DA1"/>
          <w:u w:val="single" w:color="005DA1"/>
          <w:vertAlign w:val="superscript"/>
        </w:rPr>
        <w:t>668</w:t>
      </w:r>
      <w:r>
        <w:rPr>
          <w:color w:val="005DA1"/>
          <w:vertAlign w:val="baseline"/>
        </w:rPr>
        <w:t> </w:t>
      </w:r>
      <w:r>
        <w:rPr>
          <w:color w:val="005DA1"/>
          <w:position w:val="-2"/>
          <w:vertAlign w:val="baseline"/>
        </w:rPr>
        <w:drawing>
          <wp:inline distT="0" distB="0" distL="0" distR="0">
            <wp:extent cx="107988" cy="107988"/>
            <wp:effectExtent l="0" t="0" r="0" b="0"/>
            <wp:docPr id="225" name="Image 225"/>
            <wp:cNvGraphicFramePr>
              <a:graphicFrameLocks/>
            </wp:cNvGraphicFramePr>
            <a:graphic>
              <a:graphicData uri="http://schemas.openxmlformats.org/drawingml/2006/picture">
                <pic:pic>
                  <pic:nvPicPr>
                    <pic:cNvPr id="225" name="Image 22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vertAlign w:val="baseline"/>
        </w:rPr>
        <w:t> </w:t>
      </w:r>
      <w:r>
        <w:rPr>
          <w:vertAlign w:val="baseline"/>
        </w:rPr>
        <w:t>This has the effect of making the application of the legislation (the Misrepresentation Act 1967 s.3 on</w:t>
      </w:r>
      <w:r>
        <w:rPr>
          <w:spacing w:val="-1"/>
          <w:vertAlign w:val="baseline"/>
        </w:rPr>
        <w:t> </w:t>
      </w:r>
      <w:r>
        <w:rPr>
          <w:vertAlign w:val="baseline"/>
        </w:rPr>
        <w:t>the</w:t>
      </w:r>
      <w:r>
        <w:rPr>
          <w:spacing w:val="-1"/>
          <w:vertAlign w:val="baseline"/>
        </w:rPr>
        <w:t> </w:t>
      </w:r>
      <w:r>
        <w:rPr>
          <w:vertAlign w:val="baseline"/>
        </w:rPr>
        <w:t>one</w:t>
      </w:r>
      <w:r>
        <w:rPr>
          <w:spacing w:val="-1"/>
          <w:vertAlign w:val="baseline"/>
        </w:rPr>
        <w:t> </w:t>
      </w:r>
      <w:r>
        <w:rPr>
          <w:vertAlign w:val="baseline"/>
        </w:rPr>
        <w:t>hand,</w:t>
      </w:r>
      <w:r>
        <w:rPr>
          <w:spacing w:val="-1"/>
          <w:vertAlign w:val="baseline"/>
        </w:rPr>
        <w:t> </w:t>
      </w:r>
      <w:r>
        <w:rPr>
          <w:vertAlign w:val="baseline"/>
        </w:rPr>
        <w:t>the</w:t>
      </w:r>
      <w:r>
        <w:rPr>
          <w:spacing w:val="-1"/>
          <w:vertAlign w:val="baseline"/>
        </w:rPr>
        <w:t> </w:t>
      </w:r>
      <w:r>
        <w:rPr>
          <w:vertAlign w:val="baseline"/>
        </w:rPr>
        <w:t>Consumer</w:t>
      </w:r>
      <w:r>
        <w:rPr>
          <w:spacing w:val="-1"/>
          <w:vertAlign w:val="baseline"/>
        </w:rPr>
        <w:t> </w:t>
      </w:r>
      <w:r>
        <w:rPr>
          <w:vertAlign w:val="baseline"/>
        </w:rPr>
        <w:t>Rights</w:t>
      </w:r>
      <w:r>
        <w:rPr>
          <w:spacing w:val="-1"/>
          <w:vertAlign w:val="baseline"/>
        </w:rPr>
        <w:t> </w:t>
      </w:r>
      <w:r>
        <w:rPr>
          <w:vertAlign w:val="baseline"/>
        </w:rPr>
        <w:t>Act</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other)</w:t>
      </w:r>
      <w:r>
        <w:rPr>
          <w:spacing w:val="-1"/>
          <w:vertAlign w:val="baseline"/>
        </w:rPr>
        <w:t> </w:t>
      </w:r>
      <w:r>
        <w:rPr>
          <w:vertAlign w:val="baseline"/>
        </w:rPr>
        <w:t>turn</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distinction</w:t>
      </w:r>
      <w:r>
        <w:rPr>
          <w:spacing w:val="-1"/>
          <w:vertAlign w:val="baseline"/>
        </w:rPr>
        <w:t> </w:t>
      </w:r>
      <w:r>
        <w:rPr>
          <w:vertAlign w:val="baseline"/>
        </w:rPr>
        <w:t>between</w:t>
      </w:r>
      <w:r>
        <w:rPr>
          <w:spacing w:val="-1"/>
          <w:vertAlign w:val="baseline"/>
        </w:rPr>
        <w:t> </w:t>
      </w:r>
      <w:r>
        <w:rPr>
          <w:vertAlign w:val="baseline"/>
        </w:rPr>
        <w:t>a</w:t>
      </w:r>
      <w:r>
        <w:rPr>
          <w:spacing w:val="-1"/>
          <w:vertAlign w:val="baseline"/>
        </w:rPr>
        <w:t> </w:t>
      </w:r>
      <w:r>
        <w:rPr>
          <w:vertAlign w:val="baseline"/>
        </w:rPr>
        <w:t>person</w:t>
      </w:r>
      <w:r>
        <w:rPr>
          <w:spacing w:val="-1"/>
          <w:vertAlign w:val="baseline"/>
        </w:rPr>
        <w:t> </w:t>
      </w:r>
      <w:r>
        <w:rPr>
          <w:vertAlign w:val="baseline"/>
        </w:rPr>
        <w:t>who contracts</w:t>
      </w:r>
      <w:r>
        <w:rPr>
          <w:spacing w:val="23"/>
          <w:vertAlign w:val="baseline"/>
        </w:rPr>
        <w:t> </w:t>
      </w:r>
      <w:r>
        <w:rPr>
          <w:vertAlign w:val="baseline"/>
        </w:rPr>
        <w:t>as</w:t>
      </w:r>
      <w:r>
        <w:rPr>
          <w:spacing w:val="23"/>
          <w:vertAlign w:val="baseline"/>
        </w:rPr>
        <w:t> </w:t>
      </w:r>
      <w:r>
        <w:rPr>
          <w:vertAlign w:val="baseline"/>
        </w:rPr>
        <w:t>a</w:t>
      </w:r>
      <w:r>
        <w:rPr>
          <w:spacing w:val="23"/>
          <w:vertAlign w:val="baseline"/>
        </w:rPr>
        <w:t> </w:t>
      </w:r>
      <w:r>
        <w:rPr>
          <w:vertAlign w:val="baseline"/>
        </w:rPr>
        <w:t>“consumer”</w:t>
      </w:r>
      <w:r>
        <w:rPr>
          <w:spacing w:val="23"/>
          <w:vertAlign w:val="baseline"/>
        </w:rPr>
        <w:t> </w:t>
      </w:r>
      <w:r>
        <w:rPr>
          <w:vertAlign w:val="baseline"/>
        </w:rPr>
        <w:t>with</w:t>
      </w:r>
      <w:r>
        <w:rPr>
          <w:spacing w:val="23"/>
          <w:vertAlign w:val="baseline"/>
        </w:rPr>
        <w:t> </w:t>
      </w:r>
      <w:r>
        <w:rPr>
          <w:vertAlign w:val="baseline"/>
        </w:rPr>
        <w:t>a</w:t>
      </w:r>
      <w:r>
        <w:rPr>
          <w:spacing w:val="23"/>
          <w:vertAlign w:val="baseline"/>
        </w:rPr>
        <w:t> </w:t>
      </w:r>
      <w:r>
        <w:rPr>
          <w:vertAlign w:val="baseline"/>
        </w:rPr>
        <w:t>“trader”</w:t>
      </w:r>
      <w:r>
        <w:rPr>
          <w:spacing w:val="23"/>
          <w:vertAlign w:val="baseline"/>
        </w:rPr>
        <w:t> </w:t>
      </w:r>
      <w:r>
        <w:rPr>
          <w:vertAlign w:val="baseline"/>
        </w:rPr>
        <w:t>within</w:t>
      </w:r>
      <w:r>
        <w:rPr>
          <w:spacing w:val="23"/>
          <w:vertAlign w:val="baseline"/>
        </w:rPr>
        <w:t> </w:t>
      </w:r>
      <w:r>
        <w:rPr>
          <w:vertAlign w:val="baseline"/>
        </w:rPr>
        <w:t>the</w:t>
      </w:r>
      <w:r>
        <w:rPr>
          <w:spacing w:val="23"/>
          <w:vertAlign w:val="baseline"/>
        </w:rPr>
        <w:t> </w:t>
      </w:r>
      <w:r>
        <w:rPr>
          <w:vertAlign w:val="baseline"/>
        </w:rPr>
        <w:t>meanings</w:t>
      </w:r>
      <w:r>
        <w:rPr>
          <w:spacing w:val="23"/>
          <w:vertAlign w:val="baseline"/>
        </w:rPr>
        <w:t> </w:t>
      </w:r>
      <w:r>
        <w:rPr>
          <w:vertAlign w:val="baseline"/>
        </w:rPr>
        <w:t>of</w:t>
      </w:r>
      <w:r>
        <w:rPr>
          <w:spacing w:val="23"/>
          <w:vertAlign w:val="baseline"/>
        </w:rPr>
        <w:t> </w:t>
      </w:r>
      <w:r>
        <w:rPr>
          <w:vertAlign w:val="baseline"/>
        </w:rPr>
        <w:t>the</w:t>
      </w:r>
      <w:r>
        <w:rPr>
          <w:spacing w:val="23"/>
          <w:vertAlign w:val="baseline"/>
        </w:rPr>
        <w:t> </w:t>
      </w:r>
      <w:r>
        <w:rPr>
          <w:vertAlign w:val="baseline"/>
        </w:rPr>
        <w:t>Act</w:t>
      </w:r>
      <w:r>
        <w:rPr>
          <w:spacing w:val="23"/>
          <w:vertAlign w:val="baseline"/>
        </w:rPr>
        <w:t> </w:t>
      </w:r>
      <w:r>
        <w:rPr>
          <w:vertAlign w:val="baseline"/>
        </w:rPr>
        <w:t>and</w:t>
      </w:r>
      <w:r>
        <w:rPr>
          <w:spacing w:val="23"/>
          <w:vertAlign w:val="baseline"/>
        </w:rPr>
        <w:t> </w:t>
      </w:r>
      <w:r>
        <w:rPr>
          <w:vertAlign w:val="baseline"/>
        </w:rPr>
        <w:t>otherwise.</w:t>
      </w:r>
      <w:r>
        <w:rPr>
          <w:spacing w:val="23"/>
          <w:vertAlign w:val="baseline"/>
        </w:rPr>
        <w:t> </w:t>
      </w:r>
      <w:r>
        <w:rPr>
          <w:vertAlign w:val="baseline"/>
        </w:rPr>
        <w:t>As</w:t>
      </w:r>
      <w:r>
        <w:rPr>
          <w:spacing w:val="23"/>
          <w:vertAlign w:val="baseline"/>
        </w:rPr>
        <w:t> </w:t>
      </w:r>
      <w:r>
        <w:rPr>
          <w:vertAlign w:val="baseline"/>
        </w:rPr>
        <w:t>will</w:t>
      </w:r>
      <w:r>
        <w:rPr>
          <w:spacing w:val="23"/>
          <w:vertAlign w:val="baseline"/>
        </w:rPr>
        <w:t> </w:t>
      </w:r>
      <w:r>
        <w:rPr>
          <w:vertAlign w:val="baseline"/>
        </w:rPr>
        <w:t>be </w:t>
      </w:r>
      <w:bookmarkStart w:name="_bookmark1254" w:id="1256"/>
      <w:bookmarkEnd w:id="1256"/>
      <w:r>
        <w:rPr>
          <w:vertAlign w:val="baseline"/>
        </w:rPr>
        <w:t>seen,</w:t>
      </w:r>
      <w:r>
        <w:rPr>
          <w:vertAlign w:val="baseline"/>
        </w:rPr>
        <w:t> the definition of “consumer” provided by the Act is fact-sensitive and, therefore, in some cases the relevant legislation applicable will be difficult to determine. </w:t>
      </w:r>
      <w:r>
        <w:rPr>
          <w:color w:val="005DA1"/>
          <w:u w:val="single" w:color="005DA1"/>
          <w:vertAlign w:val="superscript"/>
        </w:rPr>
        <w:t>669</w:t>
      </w:r>
      <w:r>
        <w:rPr>
          <w:color w:val="005DA1"/>
          <w:vertAlign w:val="baseline"/>
        </w:rPr>
        <w:t> </w:t>
      </w:r>
      <w:r>
        <w:rPr>
          <w:vertAlign w:val="baseline"/>
        </w:rPr>
        <w:t>It is not thought that the distinction will make much, if any, difference to the outcome of cases in which it has to be determined whether a term that purports to exclude or restrict liability for misrepresentation is “fair” or “reasonable”. This is because in relation to any particular type of term, application of the test of fairness employed in s.62</w:t>
      </w:r>
      <w:r>
        <w:rPr>
          <w:spacing w:val="40"/>
          <w:vertAlign w:val="baseline"/>
        </w:rPr>
        <w:t> </w:t>
      </w:r>
      <w:bookmarkStart w:name="_bookmark1255" w:id="1257"/>
      <w:bookmarkEnd w:id="1257"/>
      <w:r>
        <w:rPr>
          <w:vertAlign w:val="baseline"/>
        </w:rPr>
        <w:t>of</w:t>
      </w:r>
      <w:r>
        <w:rPr>
          <w:vertAlign w:val="baseline"/>
        </w:rPr>
        <w:t> the 2015 Act is unlikely to differ from the test of “reasonableness” under the Unfair Contract Terms Act</w:t>
      </w:r>
      <w:r>
        <w:rPr>
          <w:spacing w:val="18"/>
          <w:vertAlign w:val="baseline"/>
        </w:rPr>
        <w:t> </w:t>
      </w:r>
      <w:r>
        <w:rPr>
          <w:vertAlign w:val="baseline"/>
        </w:rPr>
        <w:t>1977.</w:t>
      </w:r>
      <w:r>
        <w:rPr>
          <w:spacing w:val="18"/>
          <w:vertAlign w:val="baseline"/>
        </w:rPr>
        <w:t> </w:t>
      </w:r>
      <w:r>
        <w:rPr>
          <w:color w:val="005DA1"/>
          <w:u w:val="single" w:color="005DA1"/>
          <w:vertAlign w:val="superscript"/>
        </w:rPr>
        <w:t>670</w:t>
      </w:r>
      <w:r>
        <w:rPr>
          <w:color w:val="005DA1"/>
          <w:spacing w:val="18"/>
          <w:vertAlign w:val="baseline"/>
        </w:rPr>
        <w:t> </w:t>
      </w:r>
      <w:r>
        <w:rPr>
          <w:vertAlign w:val="baseline"/>
        </w:rPr>
        <w:t>However,</w:t>
      </w:r>
      <w:r>
        <w:rPr>
          <w:spacing w:val="18"/>
          <w:vertAlign w:val="baseline"/>
        </w:rPr>
        <w:t> </w:t>
      </w:r>
      <w:r>
        <w:rPr>
          <w:vertAlign w:val="baseline"/>
        </w:rPr>
        <w:t>it</w:t>
      </w:r>
      <w:r>
        <w:rPr>
          <w:spacing w:val="18"/>
          <w:vertAlign w:val="baseline"/>
        </w:rPr>
        <w:t> </w:t>
      </w:r>
      <w:r>
        <w:rPr>
          <w:vertAlign w:val="baseline"/>
        </w:rPr>
        <w:t>may</w:t>
      </w:r>
      <w:r>
        <w:rPr>
          <w:spacing w:val="18"/>
          <w:vertAlign w:val="baseline"/>
        </w:rPr>
        <w:t> </w:t>
      </w:r>
      <w:r>
        <w:rPr>
          <w:vertAlign w:val="baseline"/>
        </w:rPr>
        <w:t>be</w:t>
      </w:r>
      <w:r>
        <w:rPr>
          <w:spacing w:val="18"/>
          <w:vertAlign w:val="baseline"/>
        </w:rPr>
        <w:t> </w:t>
      </w:r>
      <w:r>
        <w:rPr>
          <w:vertAlign w:val="baseline"/>
        </w:rPr>
        <w:t>easier</w:t>
      </w:r>
      <w:r>
        <w:rPr>
          <w:spacing w:val="18"/>
          <w:vertAlign w:val="baseline"/>
        </w:rPr>
        <w:t> </w:t>
      </w:r>
      <w:r>
        <w:rPr>
          <w:vertAlign w:val="baseline"/>
        </w:rPr>
        <w:t>to</w:t>
      </w:r>
      <w:r>
        <w:rPr>
          <w:spacing w:val="18"/>
          <w:vertAlign w:val="baseline"/>
        </w:rPr>
        <w:t> </w:t>
      </w:r>
      <w:r>
        <w:rPr>
          <w:vertAlign w:val="baseline"/>
        </w:rPr>
        <w:t>show</w:t>
      </w:r>
      <w:r>
        <w:rPr>
          <w:spacing w:val="18"/>
          <w:vertAlign w:val="baseline"/>
        </w:rPr>
        <w:t> </w:t>
      </w:r>
      <w:r>
        <w:rPr>
          <w:vertAlign w:val="baseline"/>
        </w:rPr>
        <w:t>that</w:t>
      </w:r>
      <w:r>
        <w:rPr>
          <w:spacing w:val="18"/>
          <w:vertAlign w:val="baseline"/>
        </w:rPr>
        <w:t> </w:t>
      </w:r>
      <w:r>
        <w:rPr>
          <w:vertAlign w:val="baseline"/>
        </w:rPr>
        <w:t>a</w:t>
      </w:r>
      <w:r>
        <w:rPr>
          <w:spacing w:val="18"/>
          <w:vertAlign w:val="baseline"/>
        </w:rPr>
        <w:t> </w:t>
      </w:r>
      <w:r>
        <w:rPr>
          <w:vertAlign w:val="baseline"/>
        </w:rPr>
        <w:t>term</w:t>
      </w:r>
      <w:r>
        <w:rPr>
          <w:spacing w:val="18"/>
          <w:vertAlign w:val="baseline"/>
        </w:rPr>
        <w:t> </w:t>
      </w:r>
      <w:r>
        <w:rPr>
          <w:vertAlign w:val="baseline"/>
        </w:rPr>
        <w:t>in</w:t>
      </w:r>
      <w:r>
        <w:rPr>
          <w:spacing w:val="18"/>
          <w:vertAlign w:val="baseline"/>
        </w:rPr>
        <w:t> </w:t>
      </w:r>
      <w:r>
        <w:rPr>
          <w:vertAlign w:val="baseline"/>
        </w:rPr>
        <w:t>a</w:t>
      </w:r>
      <w:r>
        <w:rPr>
          <w:spacing w:val="18"/>
          <w:vertAlign w:val="baseline"/>
        </w:rPr>
        <w:t> </w:t>
      </w:r>
      <w:r>
        <w:rPr>
          <w:vertAlign w:val="baseline"/>
        </w:rPr>
        <w:t>consumer</w:t>
      </w:r>
      <w:r>
        <w:rPr>
          <w:spacing w:val="18"/>
          <w:vertAlign w:val="baseline"/>
        </w:rPr>
        <w:t> </w:t>
      </w:r>
      <w:r>
        <w:rPr>
          <w:vertAlign w:val="baseline"/>
        </w:rPr>
        <w:t>contract</w:t>
      </w:r>
      <w:r>
        <w:rPr>
          <w:spacing w:val="18"/>
          <w:vertAlign w:val="baseline"/>
        </w:rPr>
        <w:t> </w:t>
      </w:r>
      <w:r>
        <w:rPr>
          <w:vertAlign w:val="baseline"/>
        </w:rPr>
        <w:t>falls</w:t>
      </w:r>
      <w:r>
        <w:rPr>
          <w:spacing w:val="18"/>
          <w:vertAlign w:val="baseline"/>
        </w:rPr>
        <w:t> </w:t>
      </w:r>
      <w:r>
        <w:rPr>
          <w:vertAlign w:val="baseline"/>
        </w:rPr>
        <w:t>within</w:t>
      </w:r>
      <w:r>
        <w:rPr>
          <w:spacing w:val="18"/>
          <w:vertAlign w:val="baseline"/>
        </w:rPr>
        <w:t> </w:t>
      </w:r>
      <w:r>
        <w:rPr>
          <w:vertAlign w:val="baseline"/>
        </w:rPr>
        <w:t>the scope</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control,</w:t>
      </w:r>
      <w:r>
        <w:rPr>
          <w:spacing w:val="15"/>
          <w:vertAlign w:val="baseline"/>
        </w:rPr>
        <w:t> </w:t>
      </w:r>
      <w:r>
        <w:rPr>
          <w:vertAlign w:val="baseline"/>
        </w:rPr>
        <w:t>as</w:t>
      </w:r>
      <w:r>
        <w:rPr>
          <w:spacing w:val="15"/>
          <w:vertAlign w:val="baseline"/>
        </w:rPr>
        <w:t> </w:t>
      </w:r>
      <w:r>
        <w:rPr>
          <w:vertAlign w:val="baseline"/>
        </w:rPr>
        <w:t>it</w:t>
      </w:r>
      <w:r>
        <w:rPr>
          <w:spacing w:val="15"/>
          <w:vertAlign w:val="baseline"/>
        </w:rPr>
        <w:t> </w:t>
      </w:r>
      <w:r>
        <w:rPr>
          <w:vertAlign w:val="baseline"/>
        </w:rPr>
        <w:t>will</w:t>
      </w:r>
      <w:r>
        <w:rPr>
          <w:spacing w:val="15"/>
          <w:vertAlign w:val="baseline"/>
        </w:rPr>
        <w:t> </w:t>
      </w:r>
      <w:r>
        <w:rPr>
          <w:vertAlign w:val="baseline"/>
        </w:rPr>
        <w:t>not</w:t>
      </w:r>
      <w:r>
        <w:rPr>
          <w:spacing w:val="15"/>
          <w:vertAlign w:val="baseline"/>
        </w:rPr>
        <w:t> </w:t>
      </w:r>
      <w:r>
        <w:rPr>
          <w:vertAlign w:val="baseline"/>
        </w:rPr>
        <w:t>be</w:t>
      </w:r>
      <w:r>
        <w:rPr>
          <w:spacing w:val="15"/>
          <w:vertAlign w:val="baseline"/>
        </w:rPr>
        <w:t> </w:t>
      </w:r>
      <w:r>
        <w:rPr>
          <w:vertAlign w:val="baseline"/>
        </w:rPr>
        <w:t>necessary</w:t>
      </w:r>
      <w:r>
        <w:rPr>
          <w:spacing w:val="15"/>
          <w:vertAlign w:val="baseline"/>
        </w:rPr>
        <w:t> </w:t>
      </w:r>
      <w:r>
        <w:rPr>
          <w:vertAlign w:val="baseline"/>
        </w:rPr>
        <w:t>to</w:t>
      </w:r>
      <w:r>
        <w:rPr>
          <w:spacing w:val="15"/>
          <w:vertAlign w:val="baseline"/>
        </w:rPr>
        <w:t> </w:t>
      </w:r>
      <w:r>
        <w:rPr>
          <w:vertAlign w:val="baseline"/>
        </w:rPr>
        <w:t>show</w:t>
      </w:r>
      <w:r>
        <w:rPr>
          <w:spacing w:val="15"/>
          <w:vertAlign w:val="baseline"/>
        </w:rPr>
        <w:t> </w:t>
      </w:r>
      <w:r>
        <w:rPr>
          <w:vertAlign w:val="baseline"/>
        </w:rPr>
        <w:t>that</w:t>
      </w:r>
      <w:r>
        <w:rPr>
          <w:spacing w:val="15"/>
          <w:vertAlign w:val="baseline"/>
        </w:rPr>
        <w:t> </w:t>
      </w:r>
      <w:r>
        <w:rPr>
          <w:vertAlign w:val="baseline"/>
        </w:rPr>
        <w:t>the</w:t>
      </w:r>
      <w:r>
        <w:rPr>
          <w:spacing w:val="15"/>
          <w:vertAlign w:val="baseline"/>
        </w:rPr>
        <w:t> </w:t>
      </w:r>
      <w:r>
        <w:rPr>
          <w:vertAlign w:val="baseline"/>
        </w:rPr>
        <w:t>term</w:t>
      </w:r>
      <w:r>
        <w:rPr>
          <w:spacing w:val="15"/>
          <w:vertAlign w:val="baseline"/>
        </w:rPr>
        <w:t> </w:t>
      </w:r>
      <w:r>
        <w:rPr>
          <w:vertAlign w:val="baseline"/>
        </w:rPr>
        <w:t>is</w:t>
      </w:r>
      <w:r>
        <w:rPr>
          <w:spacing w:val="15"/>
          <w:vertAlign w:val="baseline"/>
        </w:rPr>
        <w:t> </w:t>
      </w:r>
      <w:r>
        <w:rPr>
          <w:vertAlign w:val="baseline"/>
        </w:rPr>
        <w:t>one</w:t>
      </w:r>
      <w:r>
        <w:rPr>
          <w:spacing w:val="15"/>
          <w:vertAlign w:val="baseline"/>
        </w:rPr>
        <w:t> </w:t>
      </w:r>
      <w:r>
        <w:rPr>
          <w:vertAlign w:val="baseline"/>
        </w:rPr>
        <w:t>that</w:t>
      </w:r>
      <w:r>
        <w:rPr>
          <w:spacing w:val="15"/>
          <w:vertAlign w:val="baseline"/>
        </w:rPr>
        <w:t> </w:t>
      </w:r>
      <w:r>
        <w:rPr>
          <w:vertAlign w:val="baseline"/>
        </w:rPr>
        <w:t>“would</w:t>
      </w:r>
      <w:r>
        <w:rPr>
          <w:spacing w:val="15"/>
          <w:vertAlign w:val="baseline"/>
        </w:rPr>
        <w:t> </w:t>
      </w:r>
      <w:r>
        <w:rPr>
          <w:vertAlign w:val="baseline"/>
        </w:rPr>
        <w:t>exclude</w:t>
      </w:r>
      <w:r>
        <w:rPr>
          <w:spacing w:val="15"/>
          <w:vertAlign w:val="baseline"/>
        </w:rPr>
        <w:t> </w:t>
      </w:r>
      <w:r>
        <w:rPr>
          <w:vertAlign w:val="baseline"/>
        </w:rPr>
        <w:t>or </w:t>
      </w:r>
      <w:bookmarkStart w:name="_bookmark1256" w:id="1258"/>
      <w:bookmarkEnd w:id="1258"/>
      <w:r>
        <w:rPr>
          <w:vertAlign w:val="baseline"/>
        </w:rPr>
        <w:t>restrict</w:t>
      </w:r>
      <w:r>
        <w:rPr>
          <w:vertAlign w:val="baseline"/>
        </w:rPr>
        <w:t> liability” (as opposed to preventing any liability for misrepresentation arising in the first place, e.g. by negating reliance), as is necessary to bring the term within s.3 of the 1967 Act. </w:t>
      </w:r>
      <w:r>
        <w:rPr>
          <w:color w:val="005DA1"/>
          <w:u w:val="single" w:color="005DA1"/>
          <w:vertAlign w:val="superscript"/>
        </w:rPr>
        <w:t>671</w:t>
      </w:r>
    </w:p>
    <w:p>
      <w:pPr>
        <w:pStyle w:val="BodyText"/>
      </w:pPr>
    </w:p>
    <w:p>
      <w:pPr>
        <w:pStyle w:val="BodyText"/>
        <w:spacing w:before="33"/>
      </w:pPr>
    </w:p>
    <w:p>
      <w:pPr>
        <w:spacing w:before="0"/>
        <w:ind w:left="165" w:right="0" w:firstLine="0"/>
        <w:jc w:val="left"/>
        <w:rPr>
          <w:rFonts w:ascii="Arial"/>
          <w:b/>
          <w:sz w:val="18"/>
        </w:rPr>
      </w:pPr>
      <w:r>
        <w:rPr>
          <w:rFonts w:ascii="Arial"/>
          <w:b/>
          <w:sz w:val="18"/>
        </w:rPr>
        <w:t>International supply contracts and </w:t>
      </w:r>
      <w:r>
        <w:rPr>
          <w:rFonts w:ascii="Arial"/>
          <w:b/>
          <w:spacing w:val="-5"/>
          <w:sz w:val="18"/>
        </w:rPr>
        <w:t>s.3</w:t>
      </w:r>
    </w:p>
    <w:p>
      <w:pPr>
        <w:pStyle w:val="BodyText"/>
        <w:spacing w:before="41"/>
        <w:rPr>
          <w:rFonts w:ascii="Arial"/>
          <w:b/>
          <w:sz w:val="18"/>
        </w:rPr>
      </w:pPr>
    </w:p>
    <w:p>
      <w:pPr>
        <w:pStyle w:val="Heading2"/>
        <w:spacing w:before="1"/>
      </w:pPr>
      <w:r>
        <w:rPr/>
        <w:t>7-</w:t>
      </w:r>
      <w:r>
        <w:rPr>
          <w:spacing w:val="-5"/>
        </w:rPr>
        <w:t>148</w:t>
      </w:r>
    </w:p>
    <w:p>
      <w:pPr>
        <w:pStyle w:val="BodyText"/>
        <w:spacing w:line="235" w:lineRule="auto" w:before="202"/>
        <w:ind w:left="165" w:right="167"/>
        <w:jc w:val="both"/>
      </w:pPr>
      <w:bookmarkStart w:name="_bookmark1257" w:id="1259"/>
      <w:bookmarkEnd w:id="1259"/>
      <w:r>
        <w:rPr/>
      </w:r>
      <w:r>
        <w:rPr/>
        <w:t>Section 3 does not apply if the contract is an “international supply contract” within the meaning of the Unfair Contract Terms Act 1977 s.26. </w:t>
      </w:r>
      <w:r>
        <w:rPr>
          <w:color w:val="005DA1"/>
          <w:u w:val="single" w:color="005DA1"/>
          <w:vertAlign w:val="superscript"/>
        </w:rPr>
        <w:t>672</w:t>
      </w:r>
      <w:r>
        <w:rPr>
          <w:color w:val="005DA1"/>
          <w:vertAlign w:val="baseline"/>
        </w:rPr>
        <w:t> </w:t>
      </w:r>
      <w:r>
        <w:rPr>
          <w:vertAlign w:val="baseline"/>
        </w:rPr>
        <w:t>This is because s.3 subjects the relevant clauses to </w:t>
      </w:r>
      <w:r>
        <w:rPr>
          <w:vertAlign w:val="baseline"/>
        </w:rPr>
        <w:t>the requirement of reasonableness under s.11 of the 1977 Act, and s.26 of the 1977 Act provides that the </w:t>
      </w:r>
      <w:bookmarkStart w:name="_bookmark1258" w:id="1260"/>
      <w:bookmarkEnd w:id="1260"/>
      <w:r>
        <w:rPr>
          <w:vertAlign w:val="baseline"/>
        </w:rPr>
        <w:t>requirement</w:t>
      </w:r>
      <w:r>
        <w:rPr>
          <w:vertAlign w:val="baseline"/>
        </w:rPr>
        <w:t> of reasonableness does not apply to exclusions or restrictions of liability arising under contracts within s.26. </w:t>
      </w:r>
      <w:r>
        <w:rPr>
          <w:color w:val="005DA1"/>
          <w:u w:val="single" w:color="005DA1"/>
          <w:vertAlign w:val="superscript"/>
        </w:rPr>
        <w:t>673</w:t>
      </w:r>
    </w:p>
    <w:p>
      <w:pPr>
        <w:pStyle w:val="BodyText"/>
      </w:pPr>
    </w:p>
    <w:p>
      <w:pPr>
        <w:pStyle w:val="BodyText"/>
        <w:spacing w:before="37"/>
      </w:pPr>
    </w:p>
    <w:p>
      <w:pPr>
        <w:spacing w:before="0"/>
        <w:ind w:left="165" w:right="0" w:firstLine="0"/>
        <w:jc w:val="left"/>
        <w:rPr>
          <w:rFonts w:ascii="Arial"/>
          <w:b/>
          <w:sz w:val="18"/>
        </w:rPr>
      </w:pPr>
      <w:r>
        <w:rPr>
          <w:rFonts w:ascii="Arial"/>
          <w:b/>
          <w:sz w:val="18"/>
        </w:rPr>
        <w:t>Scope of </w:t>
      </w:r>
      <w:r>
        <w:rPr>
          <w:rFonts w:ascii="Arial"/>
          <w:b/>
          <w:spacing w:val="-5"/>
          <w:sz w:val="18"/>
        </w:rPr>
        <w:t>s.3</w:t>
      </w:r>
    </w:p>
    <w:p>
      <w:pPr>
        <w:pStyle w:val="BodyText"/>
        <w:spacing w:before="41"/>
        <w:rPr>
          <w:rFonts w:ascii="Arial"/>
          <w:b/>
          <w:sz w:val="18"/>
        </w:rPr>
      </w:pPr>
    </w:p>
    <w:p>
      <w:pPr>
        <w:pStyle w:val="Heading2"/>
      </w:pPr>
      <w:r>
        <w:rPr/>
        <w:t>7-</w:t>
      </w:r>
      <w:r>
        <w:rPr>
          <w:spacing w:val="-5"/>
        </w:rPr>
        <w:t>149</w:t>
      </w:r>
    </w:p>
    <w:p>
      <w:pPr>
        <w:pStyle w:val="BodyText"/>
        <w:spacing w:line="235" w:lineRule="auto" w:before="203"/>
        <w:ind w:left="164" w:right="167"/>
        <w:jc w:val="both"/>
      </w:pPr>
      <w:r>
        <w:rPr/>
        <w:t>The terms “any liability” and “any remedy” are presumably wide enough to cover provisions which </w:t>
      </w:r>
      <w:bookmarkStart w:name="_bookmark1259" w:id="1261"/>
      <w:bookmarkEnd w:id="1261"/>
      <w:r>
        <w:rPr/>
        <w:t>would</w:t>
      </w:r>
      <w:r>
        <w:rPr/>
        <w:t> exclude or restrict a claim to damages, or the right to rescind, or the right to set up the misrepresentation by way of defence to an action. </w:t>
      </w:r>
      <w:r>
        <w:rPr>
          <w:color w:val="005DA1"/>
          <w:u w:val="single" w:color="005DA1"/>
          <w:vertAlign w:val="superscript"/>
        </w:rPr>
        <w:t>674</w:t>
      </w:r>
      <w:r>
        <w:rPr>
          <w:color w:val="005DA1"/>
          <w:vertAlign w:val="baseline"/>
        </w:rPr>
        <w:t> </w:t>
      </w:r>
      <w:r>
        <w:rPr>
          <w:vertAlign w:val="baseline"/>
        </w:rPr>
        <w:t>The section applies not merely to provisions </w:t>
      </w:r>
      <w:bookmarkStart w:name="_bookmark1260" w:id="1262"/>
      <w:bookmarkEnd w:id="1262"/>
      <w:r>
        <w:rPr>
          <w:vertAlign w:val="baseline"/>
        </w:rPr>
        <w:t>totally</w:t>
      </w:r>
      <w:r>
        <w:rPr>
          <w:vertAlign w:val="baseline"/>
        </w:rPr>
        <w:t> excluding the normal consequences of misrepresentation, but also to provisions which restrict any liability or remedy arising from a misrepresentation. </w:t>
      </w:r>
      <w:r>
        <w:rPr>
          <w:color w:val="005DA1"/>
          <w:u w:val="single" w:color="005DA1"/>
          <w:vertAlign w:val="superscript"/>
        </w:rPr>
        <w:t>675</w:t>
      </w:r>
      <w:r>
        <w:rPr>
          <w:color w:val="005DA1"/>
          <w:vertAlign w:val="baseline"/>
        </w:rPr>
        <w:t> </w:t>
      </w:r>
      <w:r>
        <w:rPr>
          <w:vertAlign w:val="baseline"/>
        </w:rPr>
        <w:t>This means, for instance, that a provision barring rescission but allowing claims for damages would fall within the section, as also would a provision</w:t>
      </w:r>
      <w:r>
        <w:rPr>
          <w:spacing w:val="-2"/>
          <w:vertAlign w:val="baseline"/>
        </w:rPr>
        <w:t> </w:t>
      </w:r>
      <w:r>
        <w:rPr>
          <w:vertAlign w:val="baseline"/>
        </w:rPr>
        <w:t>limiting</w:t>
      </w:r>
      <w:r>
        <w:rPr>
          <w:spacing w:val="-3"/>
          <w:vertAlign w:val="baseline"/>
        </w:rPr>
        <w:t> </w:t>
      </w:r>
      <w:r>
        <w:rPr>
          <w:vertAlign w:val="baseline"/>
        </w:rPr>
        <w:t>the</w:t>
      </w:r>
      <w:r>
        <w:rPr>
          <w:spacing w:val="-2"/>
          <w:vertAlign w:val="baseline"/>
        </w:rPr>
        <w:t> </w:t>
      </w:r>
      <w:r>
        <w:rPr>
          <w:vertAlign w:val="baseline"/>
        </w:rPr>
        <w:t>amount</w:t>
      </w:r>
      <w:r>
        <w:rPr>
          <w:spacing w:val="-3"/>
          <w:vertAlign w:val="baseline"/>
        </w:rPr>
        <w:t> </w:t>
      </w:r>
      <w:r>
        <w:rPr>
          <w:vertAlign w:val="baseline"/>
        </w:rPr>
        <w:t>of</w:t>
      </w:r>
      <w:r>
        <w:rPr>
          <w:spacing w:val="-2"/>
          <w:vertAlign w:val="baseline"/>
        </w:rPr>
        <w:t> </w:t>
      </w:r>
      <w:r>
        <w:rPr>
          <w:vertAlign w:val="baseline"/>
        </w:rPr>
        <w:t>damages</w:t>
      </w:r>
      <w:r>
        <w:rPr>
          <w:spacing w:val="-3"/>
          <w:vertAlign w:val="baseline"/>
        </w:rPr>
        <w:t> </w:t>
      </w:r>
      <w:r>
        <w:rPr>
          <w:vertAlign w:val="baseline"/>
        </w:rPr>
        <w:t>or</w:t>
      </w:r>
      <w:r>
        <w:rPr>
          <w:spacing w:val="-2"/>
          <w:vertAlign w:val="baseline"/>
        </w:rPr>
        <w:t> </w:t>
      </w:r>
      <w:r>
        <w:rPr>
          <w:vertAlign w:val="baseline"/>
        </w:rPr>
        <w:t>the</w:t>
      </w:r>
      <w:r>
        <w:rPr>
          <w:spacing w:val="-3"/>
          <w:vertAlign w:val="baseline"/>
        </w:rPr>
        <w:t> </w:t>
      </w:r>
      <w:r>
        <w:rPr>
          <w:vertAlign w:val="baseline"/>
        </w:rPr>
        <w:t>time</w:t>
      </w:r>
      <w:r>
        <w:rPr>
          <w:spacing w:val="-2"/>
          <w:vertAlign w:val="baseline"/>
        </w:rPr>
        <w:t> </w:t>
      </w:r>
      <w:r>
        <w:rPr>
          <w:vertAlign w:val="baseline"/>
        </w:rPr>
        <w:t>within</w:t>
      </w:r>
      <w:r>
        <w:rPr>
          <w:spacing w:val="-3"/>
          <w:vertAlign w:val="baseline"/>
        </w:rPr>
        <w:t> </w:t>
      </w:r>
      <w:r>
        <w:rPr>
          <w:vertAlign w:val="baseline"/>
        </w:rPr>
        <w:t>which</w:t>
      </w:r>
      <w:r>
        <w:rPr>
          <w:spacing w:val="-2"/>
          <w:vertAlign w:val="baseline"/>
        </w:rPr>
        <w:t> </w:t>
      </w:r>
      <w:r>
        <w:rPr>
          <w:vertAlign w:val="baseline"/>
        </w:rPr>
        <w:t>a</w:t>
      </w:r>
      <w:r>
        <w:rPr>
          <w:spacing w:val="-3"/>
          <w:vertAlign w:val="baseline"/>
        </w:rPr>
        <w:t> </w:t>
      </w:r>
      <w:r>
        <w:rPr>
          <w:vertAlign w:val="baseline"/>
        </w:rPr>
        <w:t>claim</w:t>
      </w:r>
      <w:r>
        <w:rPr>
          <w:spacing w:val="-2"/>
          <w:vertAlign w:val="baseline"/>
        </w:rPr>
        <w:t> </w:t>
      </w:r>
      <w:r>
        <w:rPr>
          <w:vertAlign w:val="baseline"/>
        </w:rPr>
        <w:t>may</w:t>
      </w:r>
      <w:r>
        <w:rPr>
          <w:spacing w:val="-3"/>
          <w:vertAlign w:val="baseline"/>
        </w:rPr>
        <w:t> </w:t>
      </w:r>
      <w:r>
        <w:rPr>
          <w:vertAlign w:val="baseline"/>
        </w:rPr>
        <w:t>be</w:t>
      </w:r>
      <w:r>
        <w:rPr>
          <w:spacing w:val="-2"/>
          <w:vertAlign w:val="baseline"/>
        </w:rPr>
        <w:t> </w:t>
      </w:r>
      <w:r>
        <w:rPr>
          <w:vertAlign w:val="baseline"/>
        </w:rPr>
        <w:t>made.</w:t>
      </w:r>
      <w:r>
        <w:rPr>
          <w:spacing w:val="-3"/>
          <w:vertAlign w:val="baseline"/>
        </w:rPr>
        <w:t> </w:t>
      </w:r>
      <w:r>
        <w:rPr>
          <w:vertAlign w:val="baseline"/>
        </w:rPr>
        <w:t>What</w:t>
      </w:r>
      <w:r>
        <w:rPr>
          <w:spacing w:val="-2"/>
          <w:vertAlign w:val="baseline"/>
        </w:rPr>
        <w:t> </w:t>
      </w:r>
      <w:r>
        <w:rPr>
          <w:vertAlign w:val="baseline"/>
        </w:rPr>
        <w:t>is</w:t>
      </w:r>
      <w:r>
        <w:rPr>
          <w:spacing w:val="-3"/>
          <w:vertAlign w:val="baseline"/>
        </w:rPr>
        <w:t> </w:t>
      </w:r>
      <w:r>
        <w:rPr>
          <w:vertAlign w:val="baseline"/>
        </w:rPr>
        <w:t>more </w:t>
      </w:r>
      <w:bookmarkStart w:name="_bookmark1261" w:id="1263"/>
      <w:bookmarkEnd w:id="1263"/>
      <w:r>
        <w:rPr>
          <w:vertAlign w:val="baseline"/>
        </w:rPr>
        <w:t>problematic</w:t>
      </w:r>
      <w:r>
        <w:rPr>
          <w:vertAlign w:val="baseline"/>
        </w:rPr>
        <w:t> is whether the section applies to a clause that is worded so as to exclude any liability for misrepresentation </w:t>
      </w:r>
      <w:r>
        <w:rPr>
          <w:color w:val="005DA1"/>
          <w:u w:val="single" w:color="005DA1"/>
          <w:vertAlign w:val="superscript"/>
        </w:rPr>
        <w:t>676</w:t>
      </w:r>
      <w:r>
        <w:rPr>
          <w:color w:val="005DA1"/>
          <w:vertAlign w:val="baseline"/>
        </w:rPr>
        <w:t> </w:t>
      </w:r>
      <w:r>
        <w:rPr>
          <w:vertAlign w:val="baseline"/>
        </w:rPr>
        <w:t>from arising at all, by stating that one of the essential elements is missing. </w:t>
      </w:r>
      <w:r>
        <w:rPr>
          <w:color w:val="005DA1"/>
          <w:u w:val="single" w:color="005DA1"/>
          <w:vertAlign w:val="superscript"/>
        </w:rPr>
        <w:t>677</w:t>
      </w:r>
      <w:r>
        <w:rPr>
          <w:color w:val="005DA1"/>
          <w:vertAlign w:val="baseline"/>
        </w:rPr>
        <w:t> </w:t>
      </w:r>
      <w:r>
        <w:rPr>
          <w:vertAlign w:val="baseline"/>
        </w:rPr>
        <w:t>Thus it has been held that the section does not prevent a principal from limiting the authority of his </w:t>
      </w:r>
      <w:bookmarkStart w:name="_bookmark1262" w:id="1264"/>
      <w:bookmarkEnd w:id="1264"/>
      <w:r>
        <w:rPr>
          <w:vertAlign w:val="baseline"/>
        </w:rPr>
        <w:t>agent</w:t>
      </w:r>
      <w:r>
        <w:rPr>
          <w:vertAlign w:val="baseline"/>
        </w:rPr>
        <w:t> even though the effect is to exclude or restrict a liability to which the principal would otherwise be subject, </w:t>
      </w:r>
      <w:r>
        <w:rPr>
          <w:color w:val="005DA1"/>
          <w:u w:val="single" w:color="005DA1"/>
          <w:vertAlign w:val="superscript"/>
        </w:rPr>
        <w:t>678</w:t>
      </w:r>
      <w:r>
        <w:rPr>
          <w:color w:val="005DA1"/>
          <w:vertAlign w:val="baseline"/>
        </w:rPr>
        <w:t> </w:t>
      </w:r>
      <w:r>
        <w:rPr>
          <w:vertAlign w:val="baseline"/>
        </w:rPr>
        <w:t>and it may not apply to a “no reliance” clause. </w:t>
      </w:r>
      <w:r>
        <w:rPr>
          <w:color w:val="005DA1"/>
          <w:u w:val="single" w:color="005DA1"/>
          <w:vertAlign w:val="superscript"/>
        </w:rPr>
        <w:t>679</w:t>
      </w:r>
    </w:p>
    <w:p>
      <w:pPr>
        <w:pStyle w:val="BodyText"/>
      </w:pPr>
    </w:p>
    <w:p>
      <w:pPr>
        <w:pStyle w:val="BodyText"/>
        <w:spacing w:before="34"/>
      </w:pPr>
    </w:p>
    <w:p>
      <w:pPr>
        <w:spacing w:before="0"/>
        <w:ind w:left="165" w:right="0" w:firstLine="0"/>
        <w:jc w:val="left"/>
        <w:rPr>
          <w:rFonts w:ascii="Arial"/>
          <w:b/>
          <w:sz w:val="18"/>
        </w:rPr>
      </w:pPr>
      <w:r>
        <w:rPr>
          <w:rFonts w:ascii="Arial"/>
          <w:b/>
          <w:sz w:val="18"/>
        </w:rPr>
        <w:t>Section 3 and no reliance </w:t>
      </w:r>
      <w:r>
        <w:rPr>
          <w:rFonts w:ascii="Arial"/>
          <w:b/>
          <w:spacing w:val="-2"/>
          <w:sz w:val="18"/>
        </w:rPr>
        <w:t>clauses</w:t>
      </w:r>
    </w:p>
    <w:p>
      <w:pPr>
        <w:pStyle w:val="BodyText"/>
        <w:spacing w:before="41"/>
        <w:rPr>
          <w:rFonts w:ascii="Arial"/>
          <w:b/>
          <w:sz w:val="18"/>
        </w:rPr>
      </w:pPr>
    </w:p>
    <w:p>
      <w:pPr>
        <w:pStyle w:val="Heading2"/>
      </w:pPr>
      <w:r>
        <w:rPr/>
        <w:t>7-</w:t>
      </w:r>
      <w:r>
        <w:rPr>
          <w:spacing w:val="-5"/>
        </w:rPr>
        <w:t>150</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226" name="Image 226"/>
            <wp:cNvGraphicFramePr>
              <a:graphicFrameLocks/>
            </wp:cNvGraphicFramePr>
            <a:graphic>
              <a:graphicData uri="http://schemas.openxmlformats.org/drawingml/2006/picture">
                <pic:pic>
                  <pic:nvPicPr>
                    <pic:cNvPr id="226" name="Image 22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263" w:id="1265"/>
      <w:bookmarkEnd w:id="1265"/>
      <w:r>
        <w:rPr>
          <w:rFonts w:ascii="Times New Roman"/>
          <w:spacing w:val="21"/>
        </w:rPr>
      </w:r>
      <w:r>
        <w:rPr/>
        <w:t>Whether s.3 applies to clauses under which one party acknowledges that it has not relied on any </w:t>
      </w:r>
      <w:bookmarkStart w:name="_bookmark1264" w:id="1266"/>
      <w:bookmarkEnd w:id="1266"/>
      <w:r>
        <w:rPr/>
        <w:t>statement</w:t>
      </w:r>
      <w:r>
        <w:rPr/>
        <w:t> made to it </w:t>
      </w:r>
      <w:r>
        <w:rPr>
          <w:color w:val="005DA1"/>
          <w:u w:val="single" w:color="005DA1"/>
          <w:vertAlign w:val="superscript"/>
        </w:rPr>
        <w:t>680</w:t>
      </w:r>
      <w:r>
        <w:rPr>
          <w:color w:val="005DA1"/>
          <w:vertAlign w:val="baseline"/>
        </w:rPr>
        <w:t> </w:t>
      </w:r>
      <w:r>
        <w:rPr>
          <w:vertAlign w:val="baseline"/>
        </w:rPr>
        <w:t>have been the subject of apparently conflicting views. </w:t>
      </w:r>
      <w:r>
        <w:rPr>
          <w:color w:val="005DA1"/>
          <w:u w:val="single" w:color="005DA1"/>
          <w:vertAlign w:val="superscript"/>
        </w:rPr>
        <w:t>681</w:t>
      </w:r>
      <w:r>
        <w:rPr>
          <w:color w:val="005DA1"/>
          <w:vertAlign w:val="baseline"/>
        </w:rPr>
        <w:t> </w:t>
      </w:r>
      <w:r>
        <w:rPr>
          <w:vertAlign w:val="baseline"/>
        </w:rPr>
        <w:t>In </w:t>
      </w:r>
      <w:r>
        <w:rPr>
          <w:rFonts w:ascii="Arial"/>
          <w:i/>
          <w:vertAlign w:val="baseline"/>
        </w:rPr>
        <w:t>Springwell Navigation Corp v JP Morgan Chase Bank </w:t>
      </w:r>
      <w:r>
        <w:rPr>
          <w:color w:val="005DA1"/>
          <w:u w:val="single" w:color="005DA1"/>
          <w:vertAlign w:val="superscript"/>
        </w:rPr>
        <w:t>682</w:t>
      </w:r>
      <w:r>
        <w:rPr>
          <w:color w:val="005DA1"/>
          <w:vertAlign w:val="baseline"/>
        </w:rPr>
        <w:t> </w:t>
      </w:r>
      <w:r>
        <w:rPr>
          <w:vertAlign w:val="baseline"/>
        </w:rPr>
        <w:t>the Court of Appeal held that statements by one party that it had made its decision to contract independently, without relying on the other party, and that </w:t>
      </w:r>
      <w:r>
        <w:rPr>
          <w:vertAlign w:val="baseline"/>
        </w:rPr>
        <w:t>it </w:t>
      </w:r>
      <w:bookmarkStart w:name="_bookmark1265" w:id="1267"/>
      <w:bookmarkEnd w:id="1267"/>
      <w:r>
        <w:rPr>
          <w:vertAlign w:val="baseline"/>
        </w:rPr>
        <w:t>was</w:t>
      </w:r>
      <w:r>
        <w:rPr>
          <w:vertAlign w:val="baseline"/>
        </w:rPr>
        <w:t> fully familiar with the risks, created a contractual estoppel to the effect that any statement by</w:t>
      </w:r>
      <w:r>
        <w:rPr>
          <w:spacing w:val="40"/>
          <w:vertAlign w:val="baseline"/>
        </w:rPr>
        <w:t> </w:t>
      </w:r>
      <w:r>
        <w:rPr>
          <w:vertAlign w:val="baseline"/>
        </w:rPr>
        <w:t>other</w:t>
      </w:r>
      <w:r>
        <w:rPr>
          <w:spacing w:val="3"/>
          <w:vertAlign w:val="baseline"/>
        </w:rPr>
        <w:t> </w:t>
      </w:r>
      <w:r>
        <w:rPr>
          <w:vertAlign w:val="baseline"/>
        </w:rPr>
        <w:t>would</w:t>
      </w:r>
      <w:r>
        <w:rPr>
          <w:spacing w:val="3"/>
          <w:vertAlign w:val="baseline"/>
        </w:rPr>
        <w:t> </w:t>
      </w:r>
      <w:r>
        <w:rPr>
          <w:vertAlign w:val="baseline"/>
        </w:rPr>
        <w:t>amount</w:t>
      </w:r>
      <w:r>
        <w:rPr>
          <w:spacing w:val="3"/>
          <w:vertAlign w:val="baseline"/>
        </w:rPr>
        <w:t> </w:t>
      </w:r>
      <w:r>
        <w:rPr>
          <w:vertAlign w:val="baseline"/>
        </w:rPr>
        <w:t>to</w:t>
      </w:r>
      <w:r>
        <w:rPr>
          <w:spacing w:val="3"/>
          <w:vertAlign w:val="baseline"/>
        </w:rPr>
        <w:t> </w:t>
      </w:r>
      <w:r>
        <w:rPr>
          <w:vertAlign w:val="baseline"/>
        </w:rPr>
        <w:t>merely</w:t>
      </w:r>
      <w:r>
        <w:rPr>
          <w:spacing w:val="3"/>
          <w:vertAlign w:val="baseline"/>
        </w:rPr>
        <w:t> </w:t>
      </w:r>
      <w:r>
        <w:rPr>
          <w:vertAlign w:val="baseline"/>
        </w:rPr>
        <w:t>one</w:t>
      </w:r>
      <w:r>
        <w:rPr>
          <w:spacing w:val="4"/>
          <w:vertAlign w:val="baseline"/>
        </w:rPr>
        <w:t> </w:t>
      </w:r>
      <w:r>
        <w:rPr>
          <w:vertAlign w:val="baseline"/>
        </w:rPr>
        <w:t>of</w:t>
      </w:r>
      <w:r>
        <w:rPr>
          <w:spacing w:val="3"/>
          <w:vertAlign w:val="baseline"/>
        </w:rPr>
        <w:t> </w:t>
      </w:r>
      <w:r>
        <w:rPr>
          <w:vertAlign w:val="baseline"/>
        </w:rPr>
        <w:t>opinion</w:t>
      </w:r>
      <w:r>
        <w:rPr>
          <w:spacing w:val="3"/>
          <w:vertAlign w:val="baseline"/>
        </w:rPr>
        <w:t> </w:t>
      </w:r>
      <w:r>
        <w:rPr>
          <w:color w:val="005DA1"/>
          <w:u w:val="single" w:color="005DA1"/>
          <w:vertAlign w:val="superscript"/>
        </w:rPr>
        <w:t>683</w:t>
      </w:r>
      <w:r>
        <w:rPr>
          <w:color w:val="005DA1"/>
          <w:spacing w:val="3"/>
          <w:vertAlign w:val="baseline"/>
        </w:rPr>
        <w:t> </w:t>
      </w:r>
      <w:r>
        <w:rPr>
          <w:vertAlign w:val="baseline"/>
        </w:rPr>
        <w:t>and</w:t>
      </w:r>
      <w:r>
        <w:rPr>
          <w:spacing w:val="3"/>
          <w:vertAlign w:val="baseline"/>
        </w:rPr>
        <w:t> </w:t>
      </w:r>
      <w:r>
        <w:rPr>
          <w:vertAlign w:val="baseline"/>
        </w:rPr>
        <w:t>were</w:t>
      </w:r>
      <w:r>
        <w:rPr>
          <w:spacing w:val="3"/>
          <w:vertAlign w:val="baseline"/>
        </w:rPr>
        <w:t> </w:t>
      </w:r>
      <w:r>
        <w:rPr>
          <w:vertAlign w:val="baseline"/>
        </w:rPr>
        <w:t>not</w:t>
      </w:r>
      <w:r>
        <w:rPr>
          <w:spacing w:val="4"/>
          <w:vertAlign w:val="baseline"/>
        </w:rPr>
        <w:t> </w:t>
      </w:r>
      <w:r>
        <w:rPr>
          <w:vertAlign w:val="baseline"/>
        </w:rPr>
        <w:t>within</w:t>
      </w:r>
      <w:r>
        <w:rPr>
          <w:spacing w:val="3"/>
          <w:vertAlign w:val="baseline"/>
        </w:rPr>
        <w:t> </w:t>
      </w:r>
      <w:r>
        <w:rPr>
          <w:vertAlign w:val="baseline"/>
        </w:rPr>
        <w:t>s.3.</w:t>
      </w:r>
      <w:r>
        <w:rPr>
          <w:spacing w:val="3"/>
          <w:vertAlign w:val="baseline"/>
        </w:rPr>
        <w:t> </w:t>
      </w:r>
      <w:r>
        <w:rPr>
          <w:color w:val="005DA1"/>
          <w:u w:val="single" w:color="005DA1"/>
          <w:vertAlign w:val="superscript"/>
        </w:rPr>
        <w:t>684</w:t>
      </w:r>
      <w:r>
        <w:rPr>
          <w:color w:val="005DA1"/>
          <w:spacing w:val="3"/>
          <w:vertAlign w:val="baseline"/>
        </w:rPr>
        <w:t> </w:t>
      </w:r>
      <w:r>
        <w:rPr>
          <w:vertAlign w:val="baseline"/>
        </w:rPr>
        <w:t>In</w:t>
      </w:r>
      <w:r>
        <w:rPr>
          <w:spacing w:val="3"/>
          <w:vertAlign w:val="baseline"/>
        </w:rPr>
        <w:t> </w:t>
      </w:r>
      <w:r>
        <w:rPr>
          <w:vertAlign w:val="baseline"/>
        </w:rPr>
        <w:t>contrast,</w:t>
      </w:r>
      <w:r>
        <w:rPr>
          <w:spacing w:val="3"/>
          <w:vertAlign w:val="baseline"/>
        </w:rPr>
        <w:t> </w:t>
      </w:r>
      <w:r>
        <w:rPr>
          <w:vertAlign w:val="baseline"/>
        </w:rPr>
        <w:t>a</w:t>
      </w:r>
      <w:r>
        <w:rPr>
          <w:spacing w:val="4"/>
          <w:vertAlign w:val="baseline"/>
        </w:rPr>
        <w:t> </w:t>
      </w:r>
      <w:r>
        <w:rPr>
          <w:vertAlign w:val="baseline"/>
        </w:rPr>
        <w:t>sentence</w:t>
      </w:r>
      <w:r>
        <w:rPr>
          <w:spacing w:val="3"/>
          <w:vertAlign w:val="baseline"/>
        </w:rPr>
        <w:t> </w:t>
      </w:r>
      <w:r>
        <w:rPr>
          <w:spacing w:val="-5"/>
          <w:vertAlign w:val="baseline"/>
        </w:rPr>
        <w:t>in</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r>
        <w:rPr/>
        <w:t>the same paragraph of the document which stated that the other party would not be liable for any </w:t>
      </w:r>
      <w:r>
        <w:rPr/>
        <w:t>loss </w:t>
      </w:r>
      <w:bookmarkStart w:name="_bookmark1266" w:id="1268"/>
      <w:bookmarkEnd w:id="1268"/>
      <w:r>
        <w:rPr/>
        <w:t>suffered</w:t>
      </w:r>
      <w:r>
        <w:rPr/>
        <w:t> by the first party unless the loss was caused by gross negligence or wilful misconduct was within s.3, though in the circumstances it was reasonable and therefore effective. </w:t>
      </w:r>
      <w:r>
        <w:rPr>
          <w:color w:val="005DA1"/>
          <w:u w:val="single" w:color="005DA1"/>
          <w:vertAlign w:val="superscript"/>
        </w:rPr>
        <w:t>685</w:t>
      </w:r>
      <w:r>
        <w:rPr>
          <w:color w:val="005DA1"/>
          <w:vertAlign w:val="baseline"/>
        </w:rPr>
        <w:t> </w:t>
      </w:r>
      <w:r>
        <w:rPr>
          <w:vertAlign w:val="baseline"/>
        </w:rPr>
        <w:t>Aikens L.J., delivering the only full judgment, said that a statement that “ … no representation or warranty,</w:t>
      </w:r>
      <w:r>
        <w:rPr>
          <w:spacing w:val="80"/>
          <w:vertAlign w:val="baseline"/>
        </w:rPr>
        <w:t> </w:t>
      </w:r>
      <w:r>
        <w:rPr>
          <w:vertAlign w:val="baseline"/>
        </w:rPr>
        <w:t>express or implied, is or will be made” by the relevant party “is more difficult to classify”; but he was </w:t>
      </w:r>
      <w:bookmarkStart w:name="_bookmark1267" w:id="1269"/>
      <w:bookmarkEnd w:id="1269"/>
      <w:r>
        <w:rPr>
          <w:vertAlign w:val="baseline"/>
        </w:rPr>
        <w:t>inclined</w:t>
      </w:r>
      <w:r>
        <w:rPr>
          <w:vertAlign w:val="baseline"/>
        </w:rPr>
        <w:t> to treat it as falling within s.3 following because, as Christopher Clarke J. in </w:t>
      </w:r>
      <w:r>
        <w:rPr>
          <w:rFonts w:ascii="Arial" w:hAnsi="Arial"/>
          <w:i/>
          <w:vertAlign w:val="baseline"/>
        </w:rPr>
        <w:t>Raiffeisen </w:t>
      </w:r>
      <w:bookmarkStart w:name="_bookmark1268" w:id="1270"/>
      <w:bookmarkEnd w:id="1270"/>
      <w:r>
        <w:rPr>
          <w:rFonts w:ascii="Arial" w:hAnsi="Arial"/>
          <w:i/>
          <w:vertAlign w:val="baseline"/>
        </w:rPr>
        <w:t>Zentralbank</w:t>
      </w:r>
      <w:r>
        <w:rPr>
          <w:rFonts w:ascii="Arial" w:hAnsi="Arial"/>
          <w:i/>
          <w:vertAlign w:val="baseline"/>
        </w:rPr>
        <w:t> Osterreich AG v Royal Bank of Scotland Plc </w:t>
      </w:r>
      <w:r>
        <w:rPr>
          <w:color w:val="005DA1"/>
          <w:u w:val="single" w:color="005DA1"/>
          <w:vertAlign w:val="superscript"/>
        </w:rPr>
        <w:t>686</w:t>
      </w:r>
      <w:r>
        <w:rPr>
          <w:color w:val="005DA1"/>
          <w:vertAlign w:val="baseline"/>
        </w:rPr>
        <w:t> </w:t>
      </w:r>
      <w:r>
        <w:rPr>
          <w:vertAlign w:val="baseline"/>
        </w:rPr>
        <w:t>put it, it “may be nothing more than an </w:t>
      </w:r>
      <w:bookmarkStart w:name="_bookmark1269" w:id="1271"/>
      <w:bookmarkEnd w:id="1271"/>
      <w:r>
        <w:rPr>
          <w:vertAlign w:val="baseline"/>
        </w:rPr>
        <w:t>attempt</w:t>
      </w:r>
      <w:r>
        <w:rPr>
          <w:spacing w:val="33"/>
          <w:vertAlign w:val="baseline"/>
        </w:rPr>
        <w:t> </w:t>
      </w:r>
      <w:r>
        <w:rPr>
          <w:vertAlign w:val="baseline"/>
        </w:rPr>
        <w:t>retrospectively</w:t>
      </w:r>
      <w:r>
        <w:rPr>
          <w:spacing w:val="34"/>
          <w:vertAlign w:val="baseline"/>
        </w:rPr>
        <w:t> </w:t>
      </w:r>
      <w:r>
        <w:rPr>
          <w:vertAlign w:val="baseline"/>
        </w:rPr>
        <w:t>to</w:t>
      </w:r>
      <w:r>
        <w:rPr>
          <w:spacing w:val="34"/>
          <w:vertAlign w:val="baseline"/>
        </w:rPr>
        <w:t> </w:t>
      </w:r>
      <w:r>
        <w:rPr>
          <w:vertAlign w:val="baseline"/>
        </w:rPr>
        <w:t>alter</w:t>
      </w:r>
      <w:r>
        <w:rPr>
          <w:spacing w:val="34"/>
          <w:vertAlign w:val="baseline"/>
        </w:rPr>
        <w:t> </w:t>
      </w:r>
      <w:r>
        <w:rPr>
          <w:vertAlign w:val="baseline"/>
        </w:rPr>
        <w:t>the</w:t>
      </w:r>
      <w:r>
        <w:rPr>
          <w:spacing w:val="33"/>
          <w:vertAlign w:val="baseline"/>
        </w:rPr>
        <w:t> </w:t>
      </w:r>
      <w:r>
        <w:rPr>
          <w:vertAlign w:val="baseline"/>
        </w:rPr>
        <w:t>character</w:t>
      </w:r>
      <w:r>
        <w:rPr>
          <w:spacing w:val="34"/>
          <w:vertAlign w:val="baseline"/>
        </w:rPr>
        <w:t> </w:t>
      </w:r>
      <w:r>
        <w:rPr>
          <w:vertAlign w:val="baseline"/>
        </w:rPr>
        <w:t>and</w:t>
      </w:r>
      <w:r>
        <w:rPr>
          <w:spacing w:val="34"/>
          <w:vertAlign w:val="baseline"/>
        </w:rPr>
        <w:t> </w:t>
      </w:r>
      <w:r>
        <w:rPr>
          <w:vertAlign w:val="baseline"/>
        </w:rPr>
        <w:t>effect</w:t>
      </w:r>
      <w:r>
        <w:rPr>
          <w:spacing w:val="34"/>
          <w:vertAlign w:val="baseline"/>
        </w:rPr>
        <w:t> </w:t>
      </w:r>
      <w:r>
        <w:rPr>
          <w:vertAlign w:val="baseline"/>
        </w:rPr>
        <w:t>of</w:t>
      </w:r>
      <w:r>
        <w:rPr>
          <w:spacing w:val="33"/>
          <w:vertAlign w:val="baseline"/>
        </w:rPr>
        <w:t> </w:t>
      </w:r>
      <w:r>
        <w:rPr>
          <w:vertAlign w:val="baseline"/>
        </w:rPr>
        <w:t>what</w:t>
      </w:r>
      <w:r>
        <w:rPr>
          <w:spacing w:val="34"/>
          <w:vertAlign w:val="baseline"/>
        </w:rPr>
        <w:t> </w:t>
      </w:r>
      <w:r>
        <w:rPr>
          <w:vertAlign w:val="baseline"/>
        </w:rPr>
        <w:t>has</w:t>
      </w:r>
      <w:r>
        <w:rPr>
          <w:spacing w:val="34"/>
          <w:vertAlign w:val="baseline"/>
        </w:rPr>
        <w:t> </w:t>
      </w:r>
      <w:r>
        <w:rPr>
          <w:vertAlign w:val="baseline"/>
        </w:rPr>
        <w:t>gone</w:t>
      </w:r>
      <w:r>
        <w:rPr>
          <w:spacing w:val="34"/>
          <w:vertAlign w:val="baseline"/>
        </w:rPr>
        <w:t> </w:t>
      </w:r>
      <w:r>
        <w:rPr>
          <w:vertAlign w:val="baseline"/>
        </w:rPr>
        <w:t>before”.</w:t>
      </w:r>
      <w:r>
        <w:rPr>
          <w:spacing w:val="33"/>
          <w:vertAlign w:val="baseline"/>
        </w:rPr>
        <w:t> </w:t>
      </w:r>
      <w:r>
        <w:rPr>
          <w:color w:val="005DA1"/>
          <w:u w:val="single" w:color="005DA1"/>
          <w:vertAlign w:val="superscript"/>
        </w:rPr>
        <w:t>687</w:t>
      </w:r>
      <w:r>
        <w:rPr>
          <w:color w:val="005DA1"/>
          <w:spacing w:val="34"/>
          <w:vertAlign w:val="baseline"/>
        </w:rPr>
        <w:t> </w:t>
      </w:r>
      <w:r>
        <w:rPr>
          <w:spacing w:val="-2"/>
          <w:vertAlign w:val="baseline"/>
        </w:rPr>
        <w:t>Christopher</w:t>
      </w:r>
    </w:p>
    <w:p>
      <w:pPr>
        <w:pStyle w:val="BodyText"/>
        <w:spacing w:line="235" w:lineRule="auto" w:before="117"/>
        <w:ind w:left="165" w:right="167"/>
        <w:jc w:val="both"/>
      </w:pPr>
      <w:r>
        <w:rPr/>
        <w:t>Clarke</w:t>
      </w:r>
      <w:r>
        <w:rPr>
          <w:spacing w:val="-1"/>
        </w:rPr>
        <w:t> </w:t>
      </w:r>
      <w:r>
        <w:rPr/>
        <w:t>J.</w:t>
      </w:r>
      <w:r>
        <w:rPr>
          <w:spacing w:val="-1"/>
        </w:rPr>
        <w:t> </w:t>
      </w:r>
      <w:r>
        <w:rPr/>
        <w:t>held</w:t>
      </w:r>
      <w:r>
        <w:rPr>
          <w:spacing w:val="-1"/>
        </w:rPr>
        <w:t> </w:t>
      </w:r>
      <w:r>
        <w:rPr/>
        <w:t>that</w:t>
      </w:r>
      <w:r>
        <w:rPr>
          <w:spacing w:val="-1"/>
        </w:rPr>
        <w:t> </w:t>
      </w:r>
      <w:r>
        <w:rPr/>
        <w:t>the</w:t>
      </w:r>
      <w:r>
        <w:rPr>
          <w:spacing w:val="-1"/>
        </w:rPr>
        <w:t> </w:t>
      </w:r>
      <w:r>
        <w:rPr/>
        <w:t>same</w:t>
      </w:r>
      <w:r>
        <w:rPr>
          <w:spacing w:val="-1"/>
        </w:rPr>
        <w:t> </w:t>
      </w:r>
      <w:r>
        <w:rPr/>
        <w:t>was</w:t>
      </w:r>
      <w:r>
        <w:rPr>
          <w:spacing w:val="-1"/>
        </w:rPr>
        <w:t> </w:t>
      </w:r>
      <w:r>
        <w:rPr/>
        <w:t>true</w:t>
      </w:r>
      <w:r>
        <w:rPr>
          <w:spacing w:val="-1"/>
        </w:rPr>
        <w:t> </w:t>
      </w:r>
      <w:r>
        <w:rPr/>
        <w:t>of</w:t>
      </w:r>
      <w:r>
        <w:rPr>
          <w:spacing w:val="-1"/>
        </w:rPr>
        <w:t> </w:t>
      </w:r>
      <w:r>
        <w:rPr/>
        <w:t>a</w:t>
      </w:r>
      <w:r>
        <w:rPr>
          <w:spacing w:val="-1"/>
        </w:rPr>
        <w:t> </w:t>
      </w:r>
      <w:r>
        <w:rPr/>
        <w:t>non-reliance</w:t>
      </w:r>
      <w:r>
        <w:rPr>
          <w:spacing w:val="-1"/>
        </w:rPr>
        <w:t> </w:t>
      </w:r>
      <w:r>
        <w:rPr/>
        <w:t>clause</w:t>
      </w:r>
      <w:r>
        <w:rPr>
          <w:spacing w:val="-1"/>
        </w:rPr>
        <w:t> </w:t>
      </w:r>
      <w:r>
        <w:rPr/>
        <w:t>in</w:t>
      </w:r>
      <w:r>
        <w:rPr>
          <w:spacing w:val="-1"/>
        </w:rPr>
        <w:t> </w:t>
      </w:r>
      <w:r>
        <w:rPr/>
        <w:t>the</w:t>
      </w:r>
      <w:r>
        <w:rPr>
          <w:spacing w:val="-1"/>
        </w:rPr>
        <w:t> </w:t>
      </w:r>
      <w:r>
        <w:rPr/>
        <w:t>agreement.</w:t>
      </w:r>
      <w:r>
        <w:rPr>
          <w:spacing w:val="-2"/>
        </w:rPr>
        <w:t> </w:t>
      </w:r>
      <w:r>
        <w:rPr>
          <w:color w:val="005DA1"/>
          <w:u w:val="single" w:color="005DA1"/>
          <w:vertAlign w:val="superscript"/>
        </w:rPr>
        <w:t>688</w:t>
      </w:r>
      <w:r>
        <w:rPr>
          <w:color w:val="005DA1"/>
          <w:spacing w:val="80"/>
          <w:vertAlign w:val="baseline"/>
        </w:rPr>
        <w:t> </w:t>
      </w:r>
      <w:r>
        <w:rPr>
          <w:color w:val="005DA1"/>
          <w:spacing w:val="5"/>
          <w:position w:val="-2"/>
          <w:vertAlign w:val="baseline"/>
        </w:rPr>
        <w:drawing>
          <wp:inline distT="0" distB="0" distL="0" distR="0">
            <wp:extent cx="107988" cy="107988"/>
            <wp:effectExtent l="0" t="0" r="0" b="0"/>
            <wp:docPr id="227" name="Image 227"/>
            <wp:cNvGraphicFramePr>
              <a:graphicFrameLocks/>
            </wp:cNvGraphicFramePr>
            <a:graphic>
              <a:graphicData uri="http://schemas.openxmlformats.org/drawingml/2006/picture">
                <pic:pic>
                  <pic:nvPicPr>
                    <pic:cNvPr id="227" name="Image 22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color w:val="005DA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submitted </w:t>
      </w:r>
      <w:bookmarkStart w:name="_bookmark1270" w:id="1272"/>
      <w:bookmarkEnd w:id="1272"/>
      <w:r>
        <w:rPr>
          <w:vertAlign w:val="baseline"/>
        </w:rPr>
        <w:t>that</w:t>
      </w:r>
      <w:r>
        <w:rPr>
          <w:spacing w:val="19"/>
          <w:vertAlign w:val="baseline"/>
        </w:rPr>
        <w:t> </w:t>
      </w:r>
      <w:r>
        <w:rPr>
          <w:vertAlign w:val="baseline"/>
        </w:rPr>
        <w:t>the</w:t>
      </w:r>
      <w:r>
        <w:rPr>
          <w:spacing w:val="19"/>
          <w:vertAlign w:val="baseline"/>
        </w:rPr>
        <w:t> </w:t>
      </w:r>
      <w:r>
        <w:rPr>
          <w:vertAlign w:val="baseline"/>
        </w:rPr>
        <w:t>question</w:t>
      </w:r>
      <w:r>
        <w:rPr>
          <w:spacing w:val="19"/>
          <w:vertAlign w:val="baseline"/>
        </w:rPr>
        <w:t> </w:t>
      </w:r>
      <w:r>
        <w:rPr>
          <w:vertAlign w:val="baseline"/>
        </w:rPr>
        <w:t>is</w:t>
      </w:r>
      <w:r>
        <w:rPr>
          <w:spacing w:val="19"/>
          <w:vertAlign w:val="baseline"/>
        </w:rPr>
        <w:t> </w:t>
      </w:r>
      <w:r>
        <w:rPr>
          <w:vertAlign w:val="baseline"/>
        </w:rPr>
        <w:t>whether</w:t>
      </w:r>
      <w:r>
        <w:rPr>
          <w:spacing w:val="19"/>
          <w:vertAlign w:val="baseline"/>
        </w:rPr>
        <w:t> </w:t>
      </w:r>
      <w:r>
        <w:rPr>
          <w:vertAlign w:val="baseline"/>
        </w:rPr>
        <w:t>a</w:t>
      </w:r>
      <w:r>
        <w:rPr>
          <w:spacing w:val="19"/>
          <w:vertAlign w:val="baseline"/>
        </w:rPr>
        <w:t> </w:t>
      </w:r>
      <w:r>
        <w:rPr>
          <w:vertAlign w:val="baseline"/>
        </w:rPr>
        <w:t>misrepresentation</w:t>
      </w:r>
      <w:r>
        <w:rPr>
          <w:spacing w:val="19"/>
          <w:vertAlign w:val="baseline"/>
        </w:rPr>
        <w:t> </w:t>
      </w:r>
      <w:r>
        <w:rPr>
          <w:vertAlign w:val="baseline"/>
        </w:rPr>
        <w:t>was</w:t>
      </w:r>
      <w:r>
        <w:rPr>
          <w:spacing w:val="19"/>
          <w:vertAlign w:val="baseline"/>
        </w:rPr>
        <w:t> </w:t>
      </w:r>
      <w:r>
        <w:rPr>
          <w:vertAlign w:val="baseline"/>
        </w:rPr>
        <w:t>made;</w:t>
      </w:r>
      <w:r>
        <w:rPr>
          <w:spacing w:val="19"/>
          <w:vertAlign w:val="baseline"/>
        </w:rPr>
        <w:t> </w:t>
      </w:r>
      <w:r>
        <w:rPr>
          <w:vertAlign w:val="baseline"/>
        </w:rPr>
        <w:t>the</w:t>
      </w:r>
      <w:r>
        <w:rPr>
          <w:spacing w:val="19"/>
          <w:vertAlign w:val="baseline"/>
        </w:rPr>
        <w:t> </w:t>
      </w:r>
      <w:r>
        <w:rPr>
          <w:vertAlign w:val="baseline"/>
        </w:rPr>
        <w:t>evidence</w:t>
      </w:r>
      <w:r>
        <w:rPr>
          <w:spacing w:val="19"/>
          <w:vertAlign w:val="baseline"/>
        </w:rPr>
        <w:t> </w:t>
      </w:r>
      <w:r>
        <w:rPr>
          <w:vertAlign w:val="baseline"/>
        </w:rPr>
        <w:t>as</w:t>
      </w:r>
      <w:r>
        <w:rPr>
          <w:spacing w:val="19"/>
          <w:vertAlign w:val="baseline"/>
        </w:rPr>
        <w:t> </w:t>
      </w:r>
      <w:r>
        <w:rPr>
          <w:vertAlign w:val="baseline"/>
        </w:rPr>
        <w:t>a</w:t>
      </w:r>
      <w:r>
        <w:rPr>
          <w:spacing w:val="19"/>
          <w:vertAlign w:val="baseline"/>
        </w:rPr>
        <w:t> </w:t>
      </w:r>
      <w:r>
        <w:rPr>
          <w:vertAlign w:val="baseline"/>
        </w:rPr>
        <w:t>whole,</w:t>
      </w:r>
      <w:r>
        <w:rPr>
          <w:spacing w:val="19"/>
          <w:vertAlign w:val="baseline"/>
        </w:rPr>
        <w:t> </w:t>
      </w:r>
      <w:r>
        <w:rPr>
          <w:vertAlign w:val="baseline"/>
        </w:rPr>
        <w:t>including</w:t>
      </w:r>
      <w:r>
        <w:rPr>
          <w:spacing w:val="19"/>
          <w:vertAlign w:val="baseline"/>
        </w:rPr>
        <w:t> </w:t>
      </w:r>
      <w:r>
        <w:rPr>
          <w:spacing w:val="-5"/>
          <w:vertAlign w:val="baseline"/>
        </w:rPr>
        <w:t>the</w:t>
      </w:r>
    </w:p>
    <w:p>
      <w:pPr>
        <w:pStyle w:val="BodyText"/>
        <w:spacing w:line="235" w:lineRule="auto" w:before="119"/>
        <w:ind w:left="165" w:right="167"/>
        <w:jc w:val="both"/>
      </w:pPr>
      <w:r>
        <w:rPr/>
        <w:t>clause,</w:t>
      </w:r>
      <w:r>
        <w:rPr>
          <w:spacing w:val="-3"/>
        </w:rPr>
        <w:t> </w:t>
      </w:r>
      <w:r>
        <w:rPr/>
        <w:t>might</w:t>
      </w:r>
      <w:r>
        <w:rPr>
          <w:spacing w:val="-3"/>
        </w:rPr>
        <w:t> </w:t>
      </w:r>
      <w:r>
        <w:rPr/>
        <w:t>show</w:t>
      </w:r>
      <w:r>
        <w:rPr>
          <w:spacing w:val="-3"/>
        </w:rPr>
        <w:t> </w:t>
      </w:r>
      <w:r>
        <w:rPr/>
        <w:t>that</w:t>
      </w:r>
      <w:r>
        <w:rPr>
          <w:spacing w:val="-3"/>
        </w:rPr>
        <w:t> </w:t>
      </w:r>
      <w:r>
        <w:rPr/>
        <w:t>the</w:t>
      </w:r>
      <w:r>
        <w:rPr>
          <w:spacing w:val="-3"/>
        </w:rPr>
        <w:t> </w:t>
      </w:r>
      <w:r>
        <w:rPr/>
        <w:t>representee</w:t>
      </w:r>
      <w:r>
        <w:rPr>
          <w:spacing w:val="-3"/>
        </w:rPr>
        <w:t> </w:t>
      </w:r>
      <w:r>
        <w:rPr/>
        <w:t>did</w:t>
      </w:r>
      <w:r>
        <w:rPr>
          <w:spacing w:val="-3"/>
        </w:rPr>
        <w:t> </w:t>
      </w:r>
      <w:r>
        <w:rPr/>
        <w:t>not</w:t>
      </w:r>
      <w:r>
        <w:rPr>
          <w:spacing w:val="-3"/>
        </w:rPr>
        <w:t> </w:t>
      </w:r>
      <w:r>
        <w:rPr/>
        <w:t>rely</w:t>
      </w:r>
      <w:r>
        <w:rPr>
          <w:spacing w:val="-3"/>
        </w:rPr>
        <w:t> </w:t>
      </w:r>
      <w:r>
        <w:rPr/>
        <w:t>on</w:t>
      </w:r>
      <w:r>
        <w:rPr>
          <w:spacing w:val="-3"/>
        </w:rPr>
        <w:t> </w:t>
      </w:r>
      <w:r>
        <w:rPr/>
        <w:t>the</w:t>
      </w:r>
      <w:r>
        <w:rPr>
          <w:spacing w:val="-3"/>
        </w:rPr>
        <w:t> </w:t>
      </w:r>
      <w:r>
        <w:rPr/>
        <w:t>misrepresentation.</w:t>
      </w:r>
      <w:r>
        <w:rPr>
          <w:spacing w:val="-4"/>
        </w:rPr>
        <w:t> </w:t>
      </w:r>
      <w:r>
        <w:rPr>
          <w:color w:val="005DA1"/>
          <w:u w:val="single" w:color="005DA1"/>
          <w:vertAlign w:val="superscript"/>
        </w:rPr>
        <w:t>689</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228" name="Image 228"/>
            <wp:cNvGraphicFramePr>
              <a:graphicFrameLocks/>
            </wp:cNvGraphicFramePr>
            <a:graphic>
              <a:graphicData uri="http://schemas.openxmlformats.org/drawingml/2006/picture">
                <pic:pic>
                  <pic:nvPicPr>
                    <pic:cNvPr id="228" name="Image 22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hAnsi="Times New Roman"/>
          <w:color w:val="005DA1"/>
          <w:spacing w:val="1"/>
          <w:vertAlign w:val="baseline"/>
        </w:rPr>
        <w:t> </w:t>
      </w:r>
      <w:r>
        <w:rPr>
          <w:vertAlign w:val="baseline"/>
        </w:rPr>
        <w:t>Or,</w:t>
      </w:r>
      <w:r>
        <w:rPr>
          <w:spacing w:val="-3"/>
          <w:vertAlign w:val="baseline"/>
        </w:rPr>
        <w:t> </w:t>
      </w:r>
      <w:r>
        <w:rPr>
          <w:vertAlign w:val="baseline"/>
        </w:rPr>
        <w:t>even</w:t>
      </w:r>
      <w:r>
        <w:rPr>
          <w:spacing w:val="-3"/>
          <w:vertAlign w:val="baseline"/>
        </w:rPr>
        <w:t> </w:t>
      </w:r>
      <w:r>
        <w:rPr>
          <w:vertAlign w:val="baseline"/>
        </w:rPr>
        <w:t>if</w:t>
      </w:r>
      <w:r>
        <w:rPr>
          <w:spacing w:val="-3"/>
          <w:vertAlign w:val="baseline"/>
        </w:rPr>
        <w:t> </w:t>
      </w:r>
      <w:r>
        <w:rPr>
          <w:vertAlign w:val="baseline"/>
        </w:rPr>
        <w:t>it</w:t>
      </w:r>
      <w:r>
        <w:rPr>
          <w:spacing w:val="-3"/>
          <w:vertAlign w:val="baseline"/>
        </w:rPr>
        <w:t> </w:t>
      </w:r>
      <w:r>
        <w:rPr>
          <w:vertAlign w:val="baseline"/>
        </w:rPr>
        <w:t>had </w:t>
      </w:r>
      <w:bookmarkStart w:name="_bookmark1271" w:id="1273"/>
      <w:bookmarkEnd w:id="1273"/>
      <w:r>
        <w:rPr>
          <w:vertAlign w:val="baseline"/>
        </w:rPr>
        <w:t>relied</w:t>
      </w:r>
      <w:r>
        <w:rPr>
          <w:spacing w:val="7"/>
          <w:vertAlign w:val="baseline"/>
        </w:rPr>
        <w:t> </w:t>
      </w:r>
      <w:r>
        <w:rPr>
          <w:vertAlign w:val="baseline"/>
        </w:rPr>
        <w:t>on</w:t>
      </w:r>
      <w:r>
        <w:rPr>
          <w:spacing w:val="7"/>
          <w:vertAlign w:val="baseline"/>
        </w:rPr>
        <w:t> </w:t>
      </w:r>
      <w:r>
        <w:rPr>
          <w:vertAlign w:val="baseline"/>
        </w:rPr>
        <w:t>a</w:t>
      </w:r>
      <w:r>
        <w:rPr>
          <w:spacing w:val="7"/>
          <w:vertAlign w:val="baseline"/>
        </w:rPr>
        <w:t> </w:t>
      </w:r>
      <w:r>
        <w:rPr>
          <w:vertAlign w:val="baseline"/>
        </w:rPr>
        <w:t>statement</w:t>
      </w:r>
      <w:r>
        <w:rPr>
          <w:spacing w:val="7"/>
          <w:vertAlign w:val="baseline"/>
        </w:rPr>
        <w:t> </w:t>
      </w:r>
      <w:r>
        <w:rPr>
          <w:vertAlign w:val="baseline"/>
        </w:rPr>
        <w:t>made</w:t>
      </w:r>
      <w:r>
        <w:rPr>
          <w:spacing w:val="7"/>
          <w:vertAlign w:val="baseline"/>
        </w:rPr>
        <w:t> </w:t>
      </w:r>
      <w:r>
        <w:rPr>
          <w:vertAlign w:val="baseline"/>
        </w:rPr>
        <w:t>by</w:t>
      </w:r>
      <w:r>
        <w:rPr>
          <w:spacing w:val="7"/>
          <w:vertAlign w:val="baseline"/>
        </w:rPr>
        <w:t> </w:t>
      </w:r>
      <w:r>
        <w:rPr>
          <w:vertAlign w:val="baseline"/>
        </w:rPr>
        <w:t>the</w:t>
      </w:r>
      <w:r>
        <w:rPr>
          <w:spacing w:val="7"/>
          <w:vertAlign w:val="baseline"/>
        </w:rPr>
        <w:t> </w:t>
      </w:r>
      <w:r>
        <w:rPr>
          <w:vertAlign w:val="baseline"/>
        </w:rPr>
        <w:t>other</w:t>
      </w:r>
      <w:r>
        <w:rPr>
          <w:spacing w:val="7"/>
          <w:vertAlign w:val="baseline"/>
        </w:rPr>
        <w:t> </w:t>
      </w:r>
      <w:r>
        <w:rPr>
          <w:vertAlign w:val="baseline"/>
        </w:rPr>
        <w:t>party,</w:t>
      </w:r>
      <w:r>
        <w:rPr>
          <w:spacing w:val="7"/>
          <w:vertAlign w:val="baseline"/>
        </w:rPr>
        <w:t> </w:t>
      </w:r>
      <w:r>
        <w:rPr>
          <w:vertAlign w:val="baseline"/>
        </w:rPr>
        <w:t>it</w:t>
      </w:r>
      <w:r>
        <w:rPr>
          <w:spacing w:val="7"/>
          <w:vertAlign w:val="baseline"/>
        </w:rPr>
        <w:t> </w:t>
      </w:r>
      <w:r>
        <w:rPr>
          <w:vertAlign w:val="baseline"/>
        </w:rPr>
        <w:t>was</w:t>
      </w:r>
      <w:r>
        <w:rPr>
          <w:spacing w:val="7"/>
          <w:vertAlign w:val="baseline"/>
        </w:rPr>
        <w:t> </w:t>
      </w:r>
      <w:r>
        <w:rPr>
          <w:vertAlign w:val="baseline"/>
        </w:rPr>
        <w:t>not</w:t>
      </w:r>
      <w:r>
        <w:rPr>
          <w:spacing w:val="7"/>
          <w:vertAlign w:val="baseline"/>
        </w:rPr>
        <w:t> </w:t>
      </w:r>
      <w:r>
        <w:rPr>
          <w:vertAlign w:val="baseline"/>
        </w:rPr>
        <w:t>“entitled</w:t>
      </w:r>
      <w:r>
        <w:rPr>
          <w:spacing w:val="7"/>
          <w:vertAlign w:val="baseline"/>
        </w:rPr>
        <w:t> </w:t>
      </w:r>
      <w:r>
        <w:rPr>
          <w:vertAlign w:val="baseline"/>
        </w:rPr>
        <w:t>to</w:t>
      </w:r>
      <w:r>
        <w:rPr>
          <w:spacing w:val="7"/>
          <w:vertAlign w:val="baseline"/>
        </w:rPr>
        <w:t> </w:t>
      </w:r>
      <w:r>
        <w:rPr>
          <w:vertAlign w:val="baseline"/>
        </w:rPr>
        <w:t>do</w:t>
      </w:r>
      <w:r>
        <w:rPr>
          <w:spacing w:val="7"/>
          <w:vertAlign w:val="baseline"/>
        </w:rPr>
        <w:t> </w:t>
      </w:r>
      <w:r>
        <w:rPr>
          <w:vertAlign w:val="baseline"/>
        </w:rPr>
        <w:t>so”</w:t>
      </w:r>
      <w:r>
        <w:rPr>
          <w:spacing w:val="7"/>
          <w:vertAlign w:val="baseline"/>
        </w:rPr>
        <w:t> </w:t>
      </w:r>
      <w:r>
        <w:rPr>
          <w:vertAlign w:val="baseline"/>
        </w:rPr>
        <w:t>as</w:t>
      </w:r>
      <w:r>
        <w:rPr>
          <w:spacing w:val="7"/>
          <w:vertAlign w:val="baseline"/>
        </w:rPr>
        <w:t> </w:t>
      </w:r>
      <w:r>
        <w:rPr>
          <w:vertAlign w:val="baseline"/>
        </w:rPr>
        <w:t>the</w:t>
      </w:r>
      <w:r>
        <w:rPr>
          <w:spacing w:val="7"/>
          <w:vertAlign w:val="baseline"/>
        </w:rPr>
        <w:t> </w:t>
      </w:r>
      <w:r>
        <w:rPr>
          <w:vertAlign w:val="baseline"/>
        </w:rPr>
        <w:t>statement</w:t>
      </w:r>
      <w:r>
        <w:rPr>
          <w:spacing w:val="7"/>
          <w:vertAlign w:val="baseline"/>
        </w:rPr>
        <w:t> </w:t>
      </w:r>
      <w:r>
        <w:rPr>
          <w:vertAlign w:val="baseline"/>
        </w:rPr>
        <w:t>was</w:t>
      </w:r>
      <w:r>
        <w:rPr>
          <w:spacing w:val="7"/>
          <w:vertAlign w:val="baseline"/>
        </w:rPr>
        <w:t> </w:t>
      </w:r>
      <w:r>
        <w:rPr>
          <w:spacing w:val="-5"/>
          <w:vertAlign w:val="baseline"/>
        </w:rPr>
        <w:t>not</w:t>
      </w:r>
    </w:p>
    <w:p>
      <w:pPr>
        <w:pStyle w:val="BodyText"/>
        <w:spacing w:line="235" w:lineRule="auto" w:before="119"/>
        <w:ind w:left="165" w:right="168"/>
        <w:jc w:val="both"/>
      </w:pPr>
      <w:bookmarkStart w:name="_bookmark1272" w:id="1274"/>
      <w:bookmarkEnd w:id="1274"/>
      <w:r>
        <w:rPr/>
      </w:r>
      <w:r>
        <w:rPr/>
        <w:t>put forward as one of fact. </w:t>
      </w:r>
      <w:r>
        <w:rPr>
          <w:color w:val="005DA1"/>
          <w:u w:val="single" w:color="005DA1"/>
          <w:vertAlign w:val="superscript"/>
        </w:rPr>
        <w:t>690</w:t>
      </w:r>
      <w:r>
        <w:rPr>
          <w:color w:val="005DA1"/>
          <w:spacing w:val="80"/>
          <w:w w:val="150"/>
          <w:vertAlign w:val="baseline"/>
        </w:rPr>
        <w:t> </w:t>
      </w:r>
      <w:r>
        <w:rPr>
          <w:color w:val="005DA1"/>
          <w:spacing w:val="-9"/>
          <w:position w:val="-2"/>
          <w:vertAlign w:val="baseline"/>
        </w:rPr>
        <w:drawing>
          <wp:inline distT="0" distB="0" distL="0" distR="0">
            <wp:extent cx="107988" cy="107988"/>
            <wp:effectExtent l="0" t="0" r="0" b="0"/>
            <wp:docPr id="229" name="Image 229"/>
            <wp:cNvGraphicFramePr>
              <a:graphicFrameLocks/>
            </wp:cNvGraphicFramePr>
            <a:graphic>
              <a:graphicData uri="http://schemas.openxmlformats.org/drawingml/2006/picture">
                <pic:pic>
                  <pic:nvPicPr>
                    <pic:cNvPr id="229" name="Image 22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rFonts w:ascii="Times New Roman"/>
          <w:color w:val="005DA1"/>
          <w:spacing w:val="26"/>
          <w:vertAlign w:val="baseline"/>
        </w:rPr>
        <w:t> </w:t>
      </w:r>
      <w:r>
        <w:rPr>
          <w:vertAlign w:val="baseline"/>
        </w:rPr>
        <w:t>But if the contract was induced by misrepresentation, s.3 </w:t>
      </w:r>
      <w:r>
        <w:rPr>
          <w:vertAlign w:val="baseline"/>
        </w:rPr>
        <w:t>applies, and its effect cannot be excluded. </w:t>
      </w:r>
      <w:r>
        <w:rPr>
          <w:color w:val="005DA1"/>
          <w:u w:val="single" w:color="005DA1"/>
          <w:vertAlign w:val="superscript"/>
        </w:rPr>
        <w:t>691</w:t>
      </w:r>
      <w:r>
        <w:rPr>
          <w:color w:val="005DA1"/>
          <w:vertAlign w:val="baseline"/>
        </w:rPr>
        <w:t> </w:t>
      </w:r>
      <w:r>
        <w:rPr>
          <w:vertAlign w:val="baseline"/>
        </w:rPr>
        <w:t>As it was put by Toulson J.:</w:t>
      </w:r>
    </w:p>
    <w:p>
      <w:pPr>
        <w:pStyle w:val="BodyText"/>
      </w:pPr>
    </w:p>
    <w:p>
      <w:pPr>
        <w:pStyle w:val="BodyText"/>
        <w:spacing w:before="126"/>
      </w:pPr>
    </w:p>
    <w:p>
      <w:pPr>
        <w:pStyle w:val="BodyText"/>
        <w:spacing w:line="235" w:lineRule="auto"/>
        <w:ind w:left="1245" w:right="167"/>
        <w:jc w:val="both"/>
      </w:pPr>
      <w:r>
        <w:rPr/>
        <w:t>“If a seller of a car said to a buyer ‘I have serviced the car since it was new, it has had only one owner and the clock reading is accurate’, those statements would </w:t>
      </w:r>
      <w:r>
        <w:rPr/>
        <w:t>be representations, and they would still have that character even if the seller added the words ‘but those statements are not representations on which you can rely’ … If,</w:t>
      </w:r>
      <w:r>
        <w:rPr>
          <w:spacing w:val="40"/>
        </w:rPr>
        <w:t> </w:t>
      </w:r>
      <w:r>
        <w:rPr/>
        <w:t>however, the seller of the car said ‘The clock reading is 20,000 miles, but I have no knowledge whether the reading is true or false’, the position would be different, because </w:t>
      </w:r>
      <w:bookmarkStart w:name="_bookmark1273" w:id="1275"/>
      <w:bookmarkEnd w:id="1275"/>
      <w:r>
        <w:rPr/>
        <w:t>the</w:t>
      </w:r>
      <w:r>
        <w:rPr/>
        <w:t> qualifying words could not fairly be regarded as an attempt to exclude liability for a false representation arising from the first half of the sentence.” </w:t>
      </w:r>
      <w:r>
        <w:rPr>
          <w:color w:val="005DA1"/>
          <w:u w:val="single" w:color="005DA1"/>
          <w:vertAlign w:val="superscript"/>
        </w:rPr>
        <w:t>692</w:t>
      </w:r>
    </w:p>
    <w:p>
      <w:pPr>
        <w:pStyle w:val="BodyText"/>
        <w:spacing w:before="110"/>
      </w:pPr>
    </w:p>
    <w:p>
      <w:pPr>
        <w:spacing w:before="0"/>
        <w:ind w:left="165" w:right="0" w:firstLine="0"/>
        <w:jc w:val="both"/>
        <w:rPr>
          <w:sz w:val="20"/>
        </w:rPr>
      </w:pPr>
      <w:r>
        <w:rPr>
          <w:sz w:val="20"/>
        </w:rPr>
        <w:t>As Christopher Clarke J. said in the</w:t>
      </w:r>
      <w:r>
        <w:rPr>
          <w:spacing w:val="-1"/>
          <w:sz w:val="20"/>
        </w:rPr>
        <w:t> </w:t>
      </w:r>
      <w:r>
        <w:rPr>
          <w:rFonts w:ascii="Arial"/>
          <w:i/>
          <w:sz w:val="20"/>
        </w:rPr>
        <w:t>Raiffeisen</w:t>
      </w:r>
      <w:r>
        <w:rPr>
          <w:rFonts w:ascii="Arial"/>
          <w:i/>
          <w:spacing w:val="-1"/>
          <w:sz w:val="20"/>
        </w:rPr>
        <w:t> </w:t>
      </w:r>
      <w:r>
        <w:rPr>
          <w:spacing w:val="-2"/>
          <w:sz w:val="20"/>
        </w:rPr>
        <w:t>case:</w:t>
      </w:r>
    </w:p>
    <w:p>
      <w:pPr>
        <w:pStyle w:val="BodyText"/>
      </w:pPr>
    </w:p>
    <w:p>
      <w:pPr>
        <w:pStyle w:val="BodyText"/>
        <w:spacing w:before="126"/>
      </w:pPr>
    </w:p>
    <w:p>
      <w:pPr>
        <w:pStyle w:val="BodyText"/>
        <w:spacing w:line="235" w:lineRule="auto"/>
        <w:ind w:left="1245" w:right="167"/>
        <w:jc w:val="both"/>
      </w:pPr>
      <w:r>
        <w:rPr/>
        <w:t>“… the essential question is whether the clause in question goes to whether the alleged representation was made (or, I would add, was intended to be understood and acted </w:t>
      </w:r>
      <w:r>
        <w:rPr/>
        <w:t>on as a representation), or whether it excludes or restricts liability in respect of </w:t>
      </w:r>
      <w:bookmarkStart w:name="_bookmark1274" w:id="1276"/>
      <w:bookmarkEnd w:id="1276"/>
      <w:r>
        <w:rPr/>
        <w:t>representations</w:t>
      </w:r>
      <w:r>
        <w:rPr/>
        <w:t> made, intended to be acted on and in fact acted on; and that question is one of substance not form.” </w:t>
      </w:r>
      <w:r>
        <w:rPr>
          <w:color w:val="005DA1"/>
          <w:u w:val="single" w:color="005DA1"/>
          <w:vertAlign w:val="superscript"/>
        </w:rPr>
        <w:t>693</w:t>
      </w:r>
    </w:p>
    <w:p>
      <w:pPr>
        <w:pStyle w:val="BodyText"/>
      </w:pPr>
    </w:p>
    <w:p>
      <w:pPr>
        <w:pStyle w:val="BodyText"/>
      </w:pPr>
    </w:p>
    <w:p>
      <w:pPr>
        <w:pStyle w:val="BodyText"/>
        <w:spacing w:before="153"/>
      </w:pPr>
    </w:p>
    <w:p>
      <w:pPr>
        <w:spacing w:before="0"/>
        <w:ind w:left="165" w:right="0" w:firstLine="0"/>
        <w:jc w:val="both"/>
        <w:rPr>
          <w:rFonts w:ascii="Arial"/>
          <w:b/>
          <w:sz w:val="18"/>
        </w:rPr>
      </w:pPr>
      <w:r>
        <w:rPr>
          <w:rFonts w:ascii="Arial"/>
          <w:b/>
          <w:sz w:val="18"/>
        </w:rPr>
        <w:t>Unfair Contract Terms Act 1977 </w:t>
      </w:r>
      <w:r>
        <w:rPr>
          <w:rFonts w:ascii="Arial"/>
          <w:b/>
          <w:spacing w:val="-2"/>
          <w:sz w:val="18"/>
        </w:rPr>
        <w:t>s.3(2)(b)(i)</w:t>
      </w:r>
    </w:p>
    <w:p>
      <w:pPr>
        <w:pStyle w:val="BodyText"/>
        <w:spacing w:before="41"/>
        <w:rPr>
          <w:rFonts w:ascii="Arial"/>
          <w:b/>
          <w:sz w:val="18"/>
        </w:rPr>
      </w:pPr>
    </w:p>
    <w:p>
      <w:pPr>
        <w:pStyle w:val="Heading2"/>
        <w:spacing w:before="1"/>
      </w:pPr>
      <w:r>
        <w:rPr/>
        <w:t>7-</w:t>
      </w:r>
      <w:r>
        <w:rPr>
          <w:spacing w:val="-5"/>
        </w:rPr>
        <w:t>151</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It has been said that a clause stating that the document constitutes the “entire agreement </w:t>
      </w:r>
      <w:r>
        <w:rPr/>
        <w:t>[which] shall supersede any prior promises, agreements, representations, undertakings or implications whether made orally or in writing between you and us” may also fall within s.3(2)(b)(ii) of the Unfair Contract Terms Act 1977. This section prevents a party relying on one of its written standard terms of business to entitle it to render a contractual performance which is substantially different from that </w:t>
      </w:r>
      <w:bookmarkStart w:name="_bookmark1275" w:id="1277"/>
      <w:bookmarkEnd w:id="1277"/>
      <w:r>
        <w:rPr/>
        <w:t>which</w:t>
      </w:r>
      <w:r>
        <w:rPr/>
        <w:t> was reasonably expected of him, unless the clause satisfies the requirement of reasonableness. </w:t>
      </w:r>
      <w:r>
        <w:rPr>
          <w:color w:val="005DA1"/>
          <w:u w:val="single" w:color="005DA1"/>
          <w:vertAlign w:val="superscript"/>
        </w:rPr>
        <w:t>694</w:t>
      </w:r>
      <w:r>
        <w:rPr>
          <w:color w:val="005DA1"/>
          <w:vertAlign w:val="baseline"/>
        </w:rPr>
        <w:t> </w:t>
      </w:r>
      <w:r>
        <w:rPr>
          <w:vertAlign w:val="baseline"/>
        </w:rPr>
        <w:t>In </w:t>
      </w:r>
      <w:r>
        <w:rPr>
          <w:rFonts w:ascii="Arial" w:hAnsi="Arial"/>
          <w:i/>
          <w:vertAlign w:val="baseline"/>
        </w:rPr>
        <w:t>AXA Sun Life Services Plc v Campbell Martin Ltd </w:t>
      </w:r>
      <w:r>
        <w:rPr>
          <w:vertAlign w:val="baseline"/>
        </w:rPr>
        <w:t>Stanley Burnton L.J. said</w:t>
      </w:r>
      <w:r>
        <w:rPr>
          <w:spacing w:val="40"/>
          <w:vertAlign w:val="baseline"/>
        </w:rPr>
        <w:t> </w:t>
      </w:r>
      <w:r>
        <w:rPr>
          <w:vertAlign w:val="baseline"/>
        </w:rPr>
        <w:t>that a pre-contractual representation might affect what was reasonably expected; and therefore the </w:t>
      </w:r>
      <w:bookmarkStart w:name="_bookmark1276" w:id="1278"/>
      <w:bookmarkEnd w:id="1278"/>
      <w:r>
        <w:rPr>
          <w:vertAlign w:val="baseline"/>
        </w:rPr>
        <w:t>clause</w:t>
      </w:r>
      <w:r>
        <w:rPr>
          <w:vertAlign w:val="baseline"/>
        </w:rPr>
        <w:t> “may be subject to the reasonableness test in UCTA in relation to both collateral warranties and representations”. </w:t>
      </w:r>
      <w:r>
        <w:rPr>
          <w:color w:val="005DA1"/>
          <w:u w:val="single" w:color="005DA1"/>
          <w:vertAlign w:val="superscript"/>
        </w:rPr>
        <w:t>695</w:t>
      </w:r>
    </w:p>
    <w:p>
      <w:pPr>
        <w:pStyle w:val="BodyText"/>
      </w:pPr>
    </w:p>
    <w:p>
      <w:pPr>
        <w:pStyle w:val="BodyText"/>
        <w:spacing w:before="35"/>
      </w:pPr>
    </w:p>
    <w:p>
      <w:pPr>
        <w:spacing w:before="0"/>
        <w:ind w:left="165" w:right="0" w:firstLine="0"/>
        <w:jc w:val="left"/>
        <w:rPr>
          <w:rFonts w:ascii="Arial"/>
          <w:b/>
          <w:sz w:val="18"/>
        </w:rPr>
      </w:pPr>
      <w:r>
        <w:rPr>
          <w:rFonts w:ascii="Arial"/>
          <w:b/>
          <w:spacing w:val="-2"/>
          <w:sz w:val="18"/>
        </w:rPr>
        <w:t>Reasonableness</w:t>
      </w:r>
    </w:p>
    <w:p>
      <w:pPr>
        <w:pStyle w:val="BodyText"/>
        <w:spacing w:before="41"/>
        <w:rPr>
          <w:rFonts w:ascii="Arial"/>
          <w:b/>
          <w:sz w:val="18"/>
        </w:rPr>
      </w:pPr>
    </w:p>
    <w:p>
      <w:pPr>
        <w:pStyle w:val="Heading2"/>
      </w:pPr>
      <w:r>
        <w:rPr/>
        <w:t>7-</w:t>
      </w:r>
      <w:r>
        <w:rPr>
          <w:spacing w:val="-5"/>
        </w:rPr>
        <w:t>152</w:t>
      </w:r>
    </w:p>
    <w:p>
      <w:pPr>
        <w:pStyle w:val="Heading2"/>
        <w:spacing w:after="0"/>
        <w:sectPr>
          <w:pgSz w:w="11900" w:h="16840"/>
          <w:pgMar w:header="971" w:footer="0" w:top="1160" w:bottom="280" w:left="1275" w:right="1275"/>
        </w:sectPr>
      </w:pPr>
    </w:p>
    <w:p>
      <w:pPr>
        <w:pStyle w:val="BodyText"/>
        <w:rPr>
          <w:rFonts w:ascii="Arial"/>
          <w:b/>
        </w:rPr>
      </w:pPr>
    </w:p>
    <w:p>
      <w:pPr>
        <w:pStyle w:val="BodyText"/>
        <w:spacing w:before="11"/>
        <w:rPr>
          <w:rFonts w:ascii="Arial"/>
          <w:b/>
        </w:rPr>
      </w:pPr>
    </w:p>
    <w:p>
      <w:pPr>
        <w:pStyle w:val="BodyText"/>
        <w:ind w:left="165"/>
        <w:jc w:val="both"/>
      </w:pPr>
      <w:r>
        <w:rPr>
          <w:position w:val="-2"/>
        </w:rPr>
        <w:drawing>
          <wp:inline distT="0" distB="0" distL="0" distR="0">
            <wp:extent cx="107988" cy="107988"/>
            <wp:effectExtent l="0" t="0" r="0" b="0"/>
            <wp:docPr id="231" name="Image 231"/>
            <wp:cNvGraphicFramePr>
              <a:graphicFrameLocks/>
            </wp:cNvGraphicFramePr>
            <a:graphic>
              <a:graphicData uri="http://schemas.openxmlformats.org/drawingml/2006/picture">
                <pic:pic>
                  <pic:nvPicPr>
                    <pic:cNvPr id="231" name="Image 23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49"/>
        </w:rPr>
        <w:t> </w:t>
      </w:r>
      <w:bookmarkStart w:name="_bookmark1277" w:id="1279"/>
      <w:bookmarkEnd w:id="1279"/>
      <w:r>
        <w:rPr>
          <w:rFonts w:ascii="Times New Roman" w:hAnsi="Times New Roman"/>
          <w:spacing w:val="-1"/>
        </w:rPr>
      </w:r>
      <w:r>
        <w:rPr/>
        <w:t>Reasonableness</w:t>
      </w:r>
      <w:r>
        <w:rPr>
          <w:spacing w:val="47"/>
        </w:rPr>
        <w:t> </w:t>
      </w:r>
      <w:r>
        <w:rPr/>
        <w:t>under</w:t>
      </w:r>
      <w:r>
        <w:rPr>
          <w:spacing w:val="47"/>
        </w:rPr>
        <w:t> </w:t>
      </w:r>
      <w:r>
        <w:rPr/>
        <w:t>the</w:t>
      </w:r>
      <w:r>
        <w:rPr>
          <w:spacing w:val="47"/>
        </w:rPr>
        <w:t> </w:t>
      </w:r>
      <w:r>
        <w:rPr/>
        <w:t>Act</w:t>
      </w:r>
      <w:r>
        <w:rPr>
          <w:spacing w:val="47"/>
        </w:rPr>
        <w:t> </w:t>
      </w:r>
      <w:r>
        <w:rPr/>
        <w:t>is</w:t>
      </w:r>
      <w:r>
        <w:rPr>
          <w:spacing w:val="47"/>
        </w:rPr>
        <w:t> </w:t>
      </w:r>
      <w:r>
        <w:rPr/>
        <w:t>discussed</w:t>
      </w:r>
      <w:r>
        <w:rPr>
          <w:spacing w:val="47"/>
        </w:rPr>
        <w:t> </w:t>
      </w:r>
      <w:r>
        <w:rPr/>
        <w:t>below</w:t>
      </w:r>
      <w:r>
        <w:rPr>
          <w:spacing w:val="47"/>
        </w:rPr>
        <w:t> </w:t>
      </w:r>
      <w:r>
        <w:rPr/>
        <w:t>(paras</w:t>
      </w:r>
      <w:r>
        <w:rPr>
          <w:spacing w:val="47"/>
        </w:rPr>
        <w:t> </w:t>
      </w:r>
      <w:r>
        <w:rPr/>
        <w:t>15-101—15-111)</w:t>
      </w:r>
      <w:r>
        <w:rPr>
          <w:spacing w:val="47"/>
        </w:rPr>
        <w:t> </w:t>
      </w:r>
      <w:r>
        <w:rPr/>
        <w:t>and</w:t>
      </w:r>
      <w:r>
        <w:rPr>
          <w:spacing w:val="47"/>
        </w:rPr>
        <w:t> </w:t>
      </w:r>
      <w:r>
        <w:rPr/>
        <w:t>only</w:t>
      </w:r>
      <w:r>
        <w:rPr>
          <w:spacing w:val="47"/>
        </w:rPr>
        <w:t> </w:t>
      </w:r>
      <w:r>
        <w:rPr/>
        <w:t>selected</w:t>
      </w:r>
    </w:p>
    <w:p>
      <w:pPr>
        <w:pStyle w:val="BodyText"/>
        <w:spacing w:line="235" w:lineRule="auto" w:before="119"/>
        <w:ind w:left="165" w:right="166"/>
        <w:jc w:val="both"/>
      </w:pPr>
      <w:bookmarkStart w:name="_bookmark1278" w:id="1280"/>
      <w:bookmarkEnd w:id="1280"/>
      <w:r>
        <w:rPr/>
      </w:r>
      <w:r>
        <w:rPr/>
        <w:t>points</w:t>
      </w:r>
      <w:r>
        <w:rPr>
          <w:spacing w:val="-1"/>
        </w:rPr>
        <w:t> </w:t>
      </w:r>
      <w:r>
        <w:rPr/>
        <w:t>will</w:t>
      </w:r>
      <w:r>
        <w:rPr>
          <w:spacing w:val="-1"/>
        </w:rPr>
        <w:t> </w:t>
      </w:r>
      <w:r>
        <w:rPr/>
        <w:t>be</w:t>
      </w:r>
      <w:r>
        <w:rPr>
          <w:spacing w:val="-1"/>
        </w:rPr>
        <w:t> </w:t>
      </w:r>
      <w:r>
        <w:rPr/>
        <w:t>considered</w:t>
      </w:r>
      <w:r>
        <w:rPr>
          <w:spacing w:val="-1"/>
        </w:rPr>
        <w:t> </w:t>
      </w:r>
      <w:r>
        <w:rPr/>
        <w:t>here.</w:t>
      </w:r>
      <w:r>
        <w:rPr>
          <w:spacing w:val="-2"/>
        </w:rPr>
        <w:t> </w:t>
      </w:r>
      <w:r>
        <w:rPr>
          <w:color w:val="005DA1"/>
          <w:u w:val="single" w:color="005DA1"/>
          <w:vertAlign w:val="superscript"/>
        </w:rPr>
        <w:t>696</w:t>
      </w:r>
      <w:r>
        <w:rPr>
          <w:color w:val="005DA1"/>
          <w:spacing w:val="80"/>
          <w:vertAlign w:val="baseline"/>
        </w:rPr>
        <w:t> </w:t>
      </w:r>
      <w:r>
        <w:rPr>
          <w:color w:val="005DA1"/>
          <w:spacing w:val="6"/>
          <w:position w:val="-2"/>
          <w:vertAlign w:val="baseline"/>
        </w:rPr>
        <w:drawing>
          <wp:inline distT="0" distB="0" distL="0" distR="0">
            <wp:extent cx="107988" cy="107988"/>
            <wp:effectExtent l="0" t="0" r="0" b="0"/>
            <wp:docPr id="232" name="Image 232"/>
            <wp:cNvGraphicFramePr>
              <a:graphicFrameLocks/>
            </wp:cNvGraphicFramePr>
            <a:graphic>
              <a:graphicData uri="http://schemas.openxmlformats.org/drawingml/2006/picture">
                <pic:pic>
                  <pic:nvPicPr>
                    <pic:cNvPr id="232" name="Image 23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spacing w:val="-2"/>
          <w:vertAlign w:val="baseline"/>
        </w:rPr>
        <w:t> </w:t>
      </w:r>
      <w:r>
        <w:rPr>
          <w:vertAlign w:val="baseline"/>
        </w:rPr>
        <w:t>It</w:t>
      </w:r>
      <w:r>
        <w:rPr>
          <w:spacing w:val="-1"/>
          <w:vertAlign w:val="baseline"/>
        </w:rPr>
        <w:t> </w:t>
      </w:r>
      <w:r>
        <w:rPr>
          <w:vertAlign w:val="baseline"/>
        </w:rPr>
        <w:t>seems</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court</w:t>
      </w:r>
      <w:r>
        <w:rPr>
          <w:spacing w:val="-1"/>
          <w:vertAlign w:val="baseline"/>
        </w:rPr>
        <w:t> </w:t>
      </w:r>
      <w:r>
        <w:rPr>
          <w:vertAlign w:val="baseline"/>
        </w:rPr>
        <w:t>must</w:t>
      </w:r>
      <w:r>
        <w:rPr>
          <w:spacing w:val="-1"/>
          <w:vertAlign w:val="baseline"/>
        </w:rPr>
        <w:t> </w:t>
      </w:r>
      <w:r>
        <w:rPr>
          <w:vertAlign w:val="baseline"/>
        </w:rPr>
        <w:t>consider</w:t>
      </w:r>
      <w:r>
        <w:rPr>
          <w:spacing w:val="-1"/>
          <w:vertAlign w:val="baseline"/>
        </w:rPr>
        <w:t> </w:t>
      </w:r>
      <w:r>
        <w:rPr>
          <w:vertAlign w:val="baseline"/>
        </w:rPr>
        <w:t>the</w:t>
      </w:r>
      <w:r>
        <w:rPr>
          <w:spacing w:val="-1"/>
          <w:vertAlign w:val="baseline"/>
        </w:rPr>
        <w:t> </w:t>
      </w:r>
      <w:r>
        <w:rPr>
          <w:vertAlign w:val="baseline"/>
        </w:rPr>
        <w:t>reasonableness</w:t>
      </w:r>
      <w:r>
        <w:rPr>
          <w:spacing w:val="-1"/>
          <w:vertAlign w:val="baseline"/>
        </w:rPr>
        <w:t> </w:t>
      </w:r>
      <w:r>
        <w:rPr>
          <w:vertAlign w:val="baseline"/>
        </w:rPr>
        <w:t>of</w:t>
      </w:r>
      <w:r>
        <w:rPr>
          <w:spacing w:val="-1"/>
          <w:vertAlign w:val="baseline"/>
        </w:rPr>
        <w:t> </w:t>
      </w:r>
      <w:r>
        <w:rPr>
          <w:vertAlign w:val="baseline"/>
        </w:rPr>
        <w:t>the provision as a whole. </w:t>
      </w:r>
      <w:r>
        <w:rPr>
          <w:color w:val="005DA1"/>
          <w:u w:val="single" w:color="005DA1"/>
          <w:vertAlign w:val="superscript"/>
        </w:rPr>
        <w:t>697</w:t>
      </w:r>
      <w:r>
        <w:rPr>
          <w:color w:val="005DA1"/>
          <w:vertAlign w:val="baseline"/>
        </w:rPr>
        <w:t> </w:t>
      </w:r>
      <w:r>
        <w:rPr>
          <w:vertAlign w:val="baseline"/>
        </w:rPr>
        <w:t>A clause may be invalid because, taken as a whole, it is too wide, even though it would not necessarily be unreasonable to exclude or restrict liability on the facts which have occurred. Thus a clause which purports to exclude liability for misrepresentation of any kind will </w:t>
      </w:r>
      <w:r>
        <w:rPr>
          <w:vertAlign w:val="baseline"/>
        </w:rPr>
        <w:t>be </w:t>
      </w:r>
      <w:bookmarkStart w:name="_bookmark1279" w:id="1281"/>
      <w:bookmarkEnd w:id="1281"/>
      <w:r>
        <w:rPr>
          <w:vertAlign w:val="baseline"/>
        </w:rPr>
        <w:t>unreasonable,</w:t>
      </w:r>
      <w:r>
        <w:rPr>
          <w:spacing w:val="-1"/>
          <w:vertAlign w:val="baseline"/>
        </w:rPr>
        <w:t> </w:t>
      </w:r>
      <w:r>
        <w:rPr>
          <w:vertAlign w:val="baseline"/>
        </w:rPr>
        <w:t>since</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reasonable</w:t>
      </w:r>
      <w:r>
        <w:rPr>
          <w:spacing w:val="-1"/>
          <w:vertAlign w:val="baseline"/>
        </w:rPr>
        <w:t> </w:t>
      </w:r>
      <w:r>
        <w:rPr>
          <w:vertAlign w:val="baseline"/>
        </w:rPr>
        <w:t>to</w:t>
      </w:r>
      <w:r>
        <w:rPr>
          <w:spacing w:val="-1"/>
          <w:vertAlign w:val="baseline"/>
        </w:rPr>
        <w:t> </w:t>
      </w:r>
      <w:r>
        <w:rPr>
          <w:vertAlign w:val="baseline"/>
        </w:rPr>
        <w:t>exclude</w:t>
      </w:r>
      <w:r>
        <w:rPr>
          <w:spacing w:val="-1"/>
          <w:vertAlign w:val="baseline"/>
        </w:rPr>
        <w:t> </w:t>
      </w:r>
      <w:r>
        <w:rPr>
          <w:vertAlign w:val="baseline"/>
        </w:rPr>
        <w:t>liability</w:t>
      </w:r>
      <w:r>
        <w:rPr>
          <w:spacing w:val="-1"/>
          <w:vertAlign w:val="baseline"/>
        </w:rPr>
        <w:t> </w:t>
      </w:r>
      <w:r>
        <w:rPr>
          <w:vertAlign w:val="baseline"/>
        </w:rPr>
        <w:t>for</w:t>
      </w:r>
      <w:r>
        <w:rPr>
          <w:spacing w:val="-1"/>
          <w:vertAlign w:val="baseline"/>
        </w:rPr>
        <w:t> </w:t>
      </w:r>
      <w:r>
        <w:rPr>
          <w:vertAlign w:val="baseline"/>
        </w:rPr>
        <w:t>fraud,</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clause</w:t>
      </w:r>
      <w:r>
        <w:rPr>
          <w:spacing w:val="-1"/>
          <w:vertAlign w:val="baseline"/>
        </w:rPr>
        <w:t> </w:t>
      </w:r>
      <w:r>
        <w:rPr>
          <w:vertAlign w:val="baseline"/>
        </w:rPr>
        <w:t>as</w:t>
      </w:r>
      <w:r>
        <w:rPr>
          <w:spacing w:val="-1"/>
          <w:vertAlign w:val="baseline"/>
        </w:rPr>
        <w:t> </w:t>
      </w:r>
      <w:r>
        <w:rPr>
          <w:vertAlign w:val="baseline"/>
        </w:rPr>
        <w:t>a</w:t>
      </w:r>
      <w:r>
        <w:rPr>
          <w:spacing w:val="-1"/>
          <w:vertAlign w:val="baseline"/>
        </w:rPr>
        <w:t> </w:t>
      </w:r>
      <w:r>
        <w:rPr>
          <w:vertAlign w:val="baseline"/>
        </w:rPr>
        <w:t>whole</w:t>
      </w:r>
      <w:r>
        <w:rPr>
          <w:spacing w:val="-1"/>
          <w:vertAlign w:val="baseline"/>
        </w:rPr>
        <w:t> </w:t>
      </w:r>
      <w:r>
        <w:rPr>
          <w:vertAlign w:val="baseline"/>
        </w:rPr>
        <w:t>will</w:t>
      </w:r>
      <w:r>
        <w:rPr>
          <w:spacing w:val="-1"/>
          <w:vertAlign w:val="baseline"/>
        </w:rPr>
        <w:t> </w:t>
      </w:r>
      <w:r>
        <w:rPr>
          <w:vertAlign w:val="baseline"/>
        </w:rPr>
        <w:t>be </w:t>
      </w:r>
      <w:bookmarkStart w:name="_bookmark1280" w:id="1282"/>
      <w:bookmarkEnd w:id="1282"/>
      <w:r>
        <w:rPr>
          <w:vertAlign w:val="baseline"/>
        </w:rPr>
        <w:t>invalid.</w:t>
      </w:r>
      <w:r>
        <w:rPr>
          <w:vertAlign w:val="baseline"/>
        </w:rPr>
        <w:t> </w:t>
      </w:r>
      <w:r>
        <w:rPr>
          <w:color w:val="005DA1"/>
          <w:u w:val="single" w:color="005DA1"/>
          <w:vertAlign w:val="superscript"/>
        </w:rPr>
        <w:t>698</w:t>
      </w:r>
      <w:r>
        <w:rPr>
          <w:color w:val="005DA1"/>
          <w:vertAlign w:val="baseline"/>
        </w:rPr>
        <w:t> </w:t>
      </w:r>
      <w:r>
        <w:rPr>
          <w:vertAlign w:val="baseline"/>
        </w:rPr>
        <w:t>The court should not, however, hold a clause unreasonable because it might extend to some situation which is unlikely to occur. </w:t>
      </w:r>
      <w:r>
        <w:rPr>
          <w:color w:val="005DA1"/>
          <w:u w:val="single" w:color="005DA1"/>
          <w:vertAlign w:val="superscript"/>
        </w:rPr>
        <w:t>699</w:t>
      </w:r>
      <w:r>
        <w:rPr>
          <w:color w:val="005DA1"/>
          <w:vertAlign w:val="baseline"/>
        </w:rPr>
        <w:t> </w:t>
      </w:r>
      <w:r>
        <w:rPr>
          <w:vertAlign w:val="baseline"/>
        </w:rPr>
        <w:t>But if the clause is too wide, the court cannot rewrite the clause</w:t>
      </w:r>
      <w:r>
        <w:rPr>
          <w:spacing w:val="-1"/>
          <w:vertAlign w:val="baseline"/>
        </w:rPr>
        <w:t> </w:t>
      </w:r>
      <w:r>
        <w:rPr>
          <w:vertAlign w:val="baseline"/>
        </w:rPr>
        <w:t>in</w:t>
      </w:r>
      <w:r>
        <w:rPr>
          <w:spacing w:val="-1"/>
          <w:vertAlign w:val="baseline"/>
        </w:rPr>
        <w:t> </w:t>
      </w:r>
      <w:r>
        <w:rPr>
          <w:vertAlign w:val="baseline"/>
        </w:rPr>
        <w:t>a</w:t>
      </w:r>
      <w:r>
        <w:rPr>
          <w:spacing w:val="-1"/>
          <w:vertAlign w:val="baseline"/>
        </w:rPr>
        <w:t> </w:t>
      </w:r>
      <w:r>
        <w:rPr>
          <w:vertAlign w:val="baseline"/>
        </w:rPr>
        <w:t>reasonable</w:t>
      </w:r>
      <w:r>
        <w:rPr>
          <w:spacing w:val="-1"/>
          <w:vertAlign w:val="baseline"/>
        </w:rPr>
        <w:t> </w:t>
      </w:r>
      <w:r>
        <w:rPr>
          <w:vertAlign w:val="baseline"/>
        </w:rPr>
        <w:t>fashion</w:t>
      </w:r>
      <w:r>
        <w:rPr>
          <w:spacing w:val="-1"/>
          <w:vertAlign w:val="baseline"/>
        </w:rPr>
        <w:t> </w:t>
      </w:r>
      <w:r>
        <w:rPr>
          <w:vertAlign w:val="baseline"/>
        </w:rPr>
        <w:t>and,</w:t>
      </w:r>
      <w:r>
        <w:rPr>
          <w:spacing w:val="-1"/>
          <w:vertAlign w:val="baseline"/>
        </w:rPr>
        <w:t> </w:t>
      </w:r>
      <w:r>
        <w:rPr>
          <w:vertAlign w:val="baseline"/>
        </w:rPr>
        <w:t>as</w:t>
      </w:r>
      <w:r>
        <w:rPr>
          <w:spacing w:val="-1"/>
          <w:vertAlign w:val="baseline"/>
        </w:rPr>
        <w:t> </w:t>
      </w:r>
      <w:r>
        <w:rPr>
          <w:vertAlign w:val="baseline"/>
        </w:rPr>
        <w:t>the</w:t>
      </w:r>
      <w:r>
        <w:rPr>
          <w:spacing w:val="-1"/>
          <w:vertAlign w:val="baseline"/>
        </w:rPr>
        <w:t> </w:t>
      </w:r>
      <w:r>
        <w:rPr>
          <w:vertAlign w:val="baseline"/>
        </w:rPr>
        <w:t>test</w:t>
      </w:r>
      <w:r>
        <w:rPr>
          <w:spacing w:val="-1"/>
          <w:vertAlign w:val="baseline"/>
        </w:rPr>
        <w:t> </w:t>
      </w:r>
      <w:r>
        <w:rPr>
          <w:vertAlign w:val="baseline"/>
        </w:rPr>
        <w:t>under</w:t>
      </w:r>
      <w:r>
        <w:rPr>
          <w:spacing w:val="-1"/>
          <w:vertAlign w:val="baseline"/>
        </w:rPr>
        <w:t> </w:t>
      </w:r>
      <w:r>
        <w:rPr>
          <w:vertAlign w:val="baseline"/>
        </w:rPr>
        <w:t>s.11(1)</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Unfair</w:t>
      </w:r>
      <w:r>
        <w:rPr>
          <w:spacing w:val="-1"/>
          <w:vertAlign w:val="baseline"/>
        </w:rPr>
        <w:t> </w:t>
      </w:r>
      <w:r>
        <w:rPr>
          <w:vertAlign w:val="baseline"/>
        </w:rPr>
        <w:t>Contract</w:t>
      </w:r>
      <w:r>
        <w:rPr>
          <w:spacing w:val="-1"/>
          <w:vertAlign w:val="baseline"/>
        </w:rPr>
        <w:t> </w:t>
      </w:r>
      <w:r>
        <w:rPr>
          <w:vertAlign w:val="baseline"/>
        </w:rPr>
        <w:t>Terms</w:t>
      </w:r>
      <w:r>
        <w:rPr>
          <w:spacing w:val="-1"/>
          <w:vertAlign w:val="baseline"/>
        </w:rPr>
        <w:t> </w:t>
      </w:r>
      <w:r>
        <w:rPr>
          <w:vertAlign w:val="baseline"/>
        </w:rPr>
        <w:t>Act</w:t>
      </w:r>
      <w:r>
        <w:rPr>
          <w:spacing w:val="-1"/>
          <w:vertAlign w:val="baseline"/>
        </w:rPr>
        <w:t> </w:t>
      </w:r>
      <w:r>
        <w:rPr>
          <w:vertAlign w:val="baseline"/>
        </w:rPr>
        <w:t>1977</w:t>
      </w:r>
      <w:r>
        <w:rPr>
          <w:spacing w:val="-1"/>
          <w:vertAlign w:val="baseline"/>
        </w:rPr>
        <w:t> </w:t>
      </w:r>
      <w:r>
        <w:rPr>
          <w:vertAlign w:val="baseline"/>
        </w:rPr>
        <w:t>is </w:t>
      </w:r>
      <w:bookmarkStart w:name="_bookmark1281" w:id="1283"/>
      <w:bookmarkEnd w:id="1283"/>
      <w:r>
        <w:rPr>
          <w:vertAlign w:val="baseline"/>
        </w:rPr>
        <w:t>whether</w:t>
      </w:r>
      <w:r>
        <w:rPr>
          <w:vertAlign w:val="baseline"/>
        </w:rPr>
        <w:t> the term was “a fair and reasonable one to be included”, the court cannot allow the misrepresentor to rely on it so far as seems reasonable.</w:t>
      </w:r>
      <w:r>
        <w:rPr>
          <w:spacing w:val="-1"/>
          <w:vertAlign w:val="baseline"/>
        </w:rPr>
        <w:t> </w:t>
      </w:r>
      <w:r>
        <w:rPr>
          <w:color w:val="005DA1"/>
          <w:u w:val="single" w:color="005DA1"/>
          <w:vertAlign w:val="superscript"/>
        </w:rPr>
        <w:t>700</w:t>
      </w:r>
      <w:r>
        <w:rPr>
          <w:color w:val="005DA1"/>
          <w:vertAlign w:val="baseline"/>
        </w:rPr>
        <w:t> </w:t>
      </w:r>
      <w:r>
        <w:rPr>
          <w:vertAlign w:val="baseline"/>
        </w:rPr>
        <w:t>Thus it cannot uphold a provision in so far as it would bar rescission, but reject it in so far as it would bar a claim for damages. However, it is possible that a clause which is in distinct parts might be severed and the reasonable parts upheld. It has been said in the Court of Appeal that there are at least two good reasons why the courts should not refuse to give effect to an exclusion of remedies for misrepresentation in a commercial contract between experienced parties of equal bargaining power—a fortiori, where those parties have the benefit of professional advice. First, it is reasonable to assume that the parties desire commercial </w:t>
      </w:r>
      <w:bookmarkStart w:name="_bookmark1282" w:id="1284"/>
      <w:bookmarkEnd w:id="1284"/>
      <w:r>
        <w:rPr>
          <w:vertAlign w:val="baseline"/>
        </w:rPr>
        <w:t>certainty;</w:t>
      </w:r>
      <w:r>
        <w:rPr>
          <w:vertAlign w:val="baseline"/>
        </w:rPr>
        <w:t> and secondly, it is reasonable to assume that the price to be paid reflects the commercial risk which each party—or, more usually, the purchaser—is willing to accept. </w:t>
      </w:r>
      <w:r>
        <w:rPr>
          <w:color w:val="005DA1"/>
          <w:u w:val="single" w:color="005DA1"/>
          <w:vertAlign w:val="superscript"/>
        </w:rPr>
        <w:t>701</w:t>
      </w:r>
    </w:p>
    <w:p>
      <w:pPr>
        <w:pStyle w:val="BodyText"/>
      </w:pPr>
    </w:p>
    <w:p>
      <w:pPr>
        <w:pStyle w:val="BodyText"/>
        <w:spacing w:before="31"/>
      </w:pPr>
    </w:p>
    <w:p>
      <w:pPr>
        <w:spacing w:before="1"/>
        <w:ind w:left="165" w:right="0" w:firstLine="0"/>
        <w:jc w:val="both"/>
        <w:rPr>
          <w:rFonts w:ascii="Arial"/>
          <w:b/>
          <w:sz w:val="18"/>
        </w:rPr>
      </w:pPr>
      <w:r>
        <w:rPr>
          <w:rFonts w:ascii="Arial"/>
          <w:b/>
          <w:sz w:val="18"/>
        </w:rPr>
        <w:t>Clauses covering </w:t>
      </w:r>
      <w:r>
        <w:rPr>
          <w:rFonts w:ascii="Arial"/>
          <w:b/>
          <w:spacing w:val="-2"/>
          <w:sz w:val="18"/>
        </w:rPr>
        <w:t>breach</w:t>
      </w:r>
    </w:p>
    <w:p>
      <w:pPr>
        <w:pStyle w:val="BodyText"/>
        <w:spacing w:before="41"/>
        <w:rPr>
          <w:rFonts w:ascii="Arial"/>
          <w:b/>
          <w:sz w:val="18"/>
        </w:rPr>
      </w:pPr>
    </w:p>
    <w:p>
      <w:pPr>
        <w:pStyle w:val="Heading2"/>
      </w:pPr>
      <w:r>
        <w:rPr/>
        <w:t>7-</w:t>
      </w:r>
      <w:r>
        <w:rPr>
          <w:spacing w:val="-5"/>
        </w:rPr>
        <w:t>153</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233" name="Image 233"/>
            <wp:cNvGraphicFramePr>
              <a:graphicFrameLocks/>
            </wp:cNvGraphicFramePr>
            <a:graphic>
              <a:graphicData uri="http://schemas.openxmlformats.org/drawingml/2006/picture">
                <pic:pic>
                  <pic:nvPicPr>
                    <pic:cNvPr id="233" name="Image 23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 section does not seem to apply to a provision which excludes or restricts liability arising </w:t>
      </w:r>
      <w:r>
        <w:rPr/>
        <w:t>solely from breach of a contractual term, whether the term is a promise or a representation of fact. Read literally, the section might appear to apply to a provision which excludes or restricts liabilities or </w:t>
      </w:r>
      <w:bookmarkStart w:name="_bookmark1283" w:id="1285"/>
      <w:bookmarkEnd w:id="1285"/>
      <w:r>
        <w:rPr/>
        <w:t>remedies</w:t>
      </w:r>
      <w:r>
        <w:rPr/>
        <w:t> arising both from misrepresentations as such and from misrepresentations as contractual </w:t>
      </w:r>
      <w:bookmarkStart w:name="_bookmark1284" w:id="1286"/>
      <w:bookmarkEnd w:id="1286"/>
      <w:r>
        <w:rPr/>
        <w:t>terms,</w:t>
      </w:r>
      <w:r>
        <w:rPr/>
        <w:t> </w:t>
      </w:r>
      <w:r>
        <w:rPr>
          <w:color w:val="005DA1"/>
          <w:u w:val="single" w:color="005DA1"/>
          <w:vertAlign w:val="superscript"/>
        </w:rPr>
        <w:t>702</w:t>
      </w:r>
      <w:r>
        <w:rPr>
          <w:color w:val="005DA1"/>
          <w:vertAlign w:val="baseline"/>
        </w:rPr>
        <w:t> </w:t>
      </w:r>
      <w:r>
        <w:rPr>
          <w:vertAlign w:val="baseline"/>
        </w:rPr>
        <w:t>but it seems more likely that it will be interpreted as affecting only any remedies arising </w:t>
      </w:r>
      <w:r>
        <w:rPr>
          <w:spacing w:val="-4"/>
          <w:vertAlign w:val="baseline"/>
        </w:rPr>
        <w:t>from</w:t>
      </w:r>
    </w:p>
    <w:p>
      <w:pPr>
        <w:pStyle w:val="BodyText"/>
        <w:spacing w:line="235" w:lineRule="auto" w:before="119"/>
        <w:ind w:left="165" w:right="167"/>
        <w:jc w:val="both"/>
      </w:pPr>
      <w:r>
        <w:rPr/>
        <w:t>the misrepresentation. </w:t>
      </w:r>
      <w:r>
        <w:rPr>
          <w:color w:val="005DA1"/>
          <w:u w:val="single" w:color="005DA1"/>
          <w:vertAlign w:val="superscript"/>
        </w:rPr>
        <w:t>703</w:t>
      </w:r>
      <w:r>
        <w:rPr>
          <w:color w:val="005DA1"/>
          <w:spacing w:val="80"/>
          <w:w w:val="150"/>
          <w:vertAlign w:val="baseline"/>
        </w:rPr>
        <w:t> </w:t>
      </w:r>
      <w:r>
        <w:rPr>
          <w:color w:val="005DA1"/>
          <w:spacing w:val="11"/>
          <w:position w:val="-2"/>
          <w:vertAlign w:val="baseline"/>
        </w:rPr>
        <w:drawing>
          <wp:inline distT="0" distB="0" distL="0" distR="0">
            <wp:extent cx="107988" cy="107988"/>
            <wp:effectExtent l="0" t="0" r="0" b="0"/>
            <wp:docPr id="234" name="Image 234"/>
            <wp:cNvGraphicFramePr>
              <a:graphicFrameLocks/>
            </wp:cNvGraphicFramePr>
            <a:graphic>
              <a:graphicData uri="http://schemas.openxmlformats.org/drawingml/2006/picture">
                <pic:pic>
                  <pic:nvPicPr>
                    <pic:cNvPr id="234" name="Image 23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color w:val="005DA1"/>
          <w:spacing w:val="-4"/>
          <w:vertAlign w:val="baseline"/>
        </w:rPr>
        <w:t> </w:t>
      </w:r>
      <w:r>
        <w:rPr>
          <w:vertAlign w:val="baseline"/>
        </w:rPr>
        <w:t>What is less clear is the position if a single term of the contract purports </w:t>
      </w:r>
      <w:bookmarkStart w:name="_bookmark1285" w:id="1287"/>
      <w:bookmarkEnd w:id="1287"/>
      <w:r>
        <w:rPr>
          <w:vertAlign w:val="baseline"/>
        </w:rPr>
        <w:t>to</w:t>
      </w:r>
      <w:r>
        <w:rPr>
          <w:spacing w:val="14"/>
          <w:vertAlign w:val="baseline"/>
        </w:rPr>
        <w:t> </w:t>
      </w:r>
      <w:r>
        <w:rPr>
          <w:vertAlign w:val="baseline"/>
        </w:rPr>
        <w:t>exclude</w:t>
      </w:r>
      <w:r>
        <w:rPr>
          <w:spacing w:val="14"/>
          <w:vertAlign w:val="baseline"/>
        </w:rPr>
        <w:t> </w:t>
      </w:r>
      <w:r>
        <w:rPr>
          <w:vertAlign w:val="baseline"/>
        </w:rPr>
        <w:t>or</w:t>
      </w:r>
      <w:r>
        <w:rPr>
          <w:spacing w:val="14"/>
          <w:vertAlign w:val="baseline"/>
        </w:rPr>
        <w:t> </w:t>
      </w:r>
      <w:r>
        <w:rPr>
          <w:vertAlign w:val="baseline"/>
        </w:rPr>
        <w:t>limit</w:t>
      </w:r>
      <w:r>
        <w:rPr>
          <w:spacing w:val="14"/>
          <w:vertAlign w:val="baseline"/>
        </w:rPr>
        <w:t> </w:t>
      </w:r>
      <w:r>
        <w:rPr>
          <w:vertAlign w:val="baseline"/>
        </w:rPr>
        <w:t>liability</w:t>
      </w:r>
      <w:r>
        <w:rPr>
          <w:spacing w:val="14"/>
          <w:vertAlign w:val="baseline"/>
        </w:rPr>
        <w:t> </w:t>
      </w:r>
      <w:r>
        <w:rPr>
          <w:vertAlign w:val="baseline"/>
        </w:rPr>
        <w:t>for</w:t>
      </w:r>
      <w:r>
        <w:rPr>
          <w:spacing w:val="14"/>
          <w:vertAlign w:val="baseline"/>
        </w:rPr>
        <w:t> </w:t>
      </w:r>
      <w:r>
        <w:rPr>
          <w:vertAlign w:val="baseline"/>
        </w:rPr>
        <w:t>both</w:t>
      </w:r>
      <w:r>
        <w:rPr>
          <w:spacing w:val="14"/>
          <w:vertAlign w:val="baseline"/>
        </w:rPr>
        <w:t> </w:t>
      </w:r>
      <w:r>
        <w:rPr>
          <w:vertAlign w:val="baseline"/>
        </w:rPr>
        <w:t>misrepresentation</w:t>
      </w:r>
      <w:r>
        <w:rPr>
          <w:spacing w:val="14"/>
          <w:vertAlign w:val="baseline"/>
        </w:rPr>
        <w:t> </w:t>
      </w:r>
      <w:r>
        <w:rPr>
          <w:vertAlign w:val="baseline"/>
        </w:rPr>
        <w:t>and</w:t>
      </w:r>
      <w:r>
        <w:rPr>
          <w:spacing w:val="14"/>
          <w:vertAlign w:val="baseline"/>
        </w:rPr>
        <w:t> </w:t>
      </w:r>
      <w:r>
        <w:rPr>
          <w:vertAlign w:val="baseline"/>
        </w:rPr>
        <w:t>breach,</w:t>
      </w:r>
      <w:r>
        <w:rPr>
          <w:spacing w:val="14"/>
          <w:vertAlign w:val="baseline"/>
        </w:rPr>
        <w:t> </w:t>
      </w:r>
      <w:r>
        <w:rPr>
          <w:vertAlign w:val="baseline"/>
        </w:rPr>
        <w:t>and</w:t>
      </w:r>
      <w:r>
        <w:rPr>
          <w:spacing w:val="14"/>
          <w:vertAlign w:val="baseline"/>
        </w:rPr>
        <w:t> </w:t>
      </w:r>
      <w:r>
        <w:rPr>
          <w:vertAlign w:val="baseline"/>
        </w:rPr>
        <w:t>the</w:t>
      </w:r>
      <w:r>
        <w:rPr>
          <w:spacing w:val="14"/>
          <w:vertAlign w:val="baseline"/>
        </w:rPr>
        <w:t> </w:t>
      </w:r>
      <w:r>
        <w:rPr>
          <w:vertAlign w:val="baseline"/>
        </w:rPr>
        <w:t>clause</w:t>
      </w:r>
      <w:r>
        <w:rPr>
          <w:spacing w:val="14"/>
          <w:vertAlign w:val="baseline"/>
        </w:rPr>
        <w:t> </w:t>
      </w:r>
      <w:r>
        <w:rPr>
          <w:vertAlign w:val="baseline"/>
        </w:rPr>
        <w:t>is</w:t>
      </w:r>
      <w:r>
        <w:rPr>
          <w:spacing w:val="14"/>
          <w:vertAlign w:val="baseline"/>
        </w:rPr>
        <w:t> </w:t>
      </w:r>
      <w:r>
        <w:rPr>
          <w:vertAlign w:val="baseline"/>
        </w:rPr>
        <w:t>held</w:t>
      </w:r>
      <w:r>
        <w:rPr>
          <w:spacing w:val="14"/>
          <w:vertAlign w:val="baseline"/>
        </w:rPr>
        <w:t> </w:t>
      </w:r>
      <w:r>
        <w:rPr>
          <w:vertAlign w:val="baseline"/>
        </w:rPr>
        <w:t>to</w:t>
      </w:r>
      <w:r>
        <w:rPr>
          <w:spacing w:val="14"/>
          <w:vertAlign w:val="baseline"/>
        </w:rPr>
        <w:t> </w:t>
      </w:r>
      <w:r>
        <w:rPr>
          <w:vertAlign w:val="baseline"/>
        </w:rPr>
        <w:t>not</w:t>
      </w:r>
      <w:r>
        <w:rPr>
          <w:spacing w:val="14"/>
          <w:vertAlign w:val="baseline"/>
        </w:rPr>
        <w:t> </w:t>
      </w:r>
      <w:r>
        <w:rPr>
          <w:vertAlign w:val="baseline"/>
        </w:rPr>
        <w:t>to</w:t>
      </w:r>
      <w:r>
        <w:rPr>
          <w:spacing w:val="14"/>
          <w:vertAlign w:val="baseline"/>
        </w:rPr>
        <w:t> </w:t>
      </w:r>
      <w:r>
        <w:rPr>
          <w:spacing w:val="-5"/>
          <w:vertAlign w:val="baseline"/>
        </w:rPr>
        <w:t>be</w:t>
      </w:r>
    </w:p>
    <w:p>
      <w:pPr>
        <w:pStyle w:val="BodyText"/>
        <w:spacing w:line="235" w:lineRule="auto" w:before="119"/>
        <w:ind w:left="165" w:right="167"/>
        <w:jc w:val="both"/>
      </w:pPr>
      <w:r>
        <w:rPr/>
        <w:t>reasonable. Again read literally, s.3 appears to invalidate the term as a whole. </w:t>
      </w:r>
      <w:r>
        <w:rPr>
          <w:color w:val="005DA1"/>
          <w:u w:val="single" w:color="005DA1"/>
          <w:vertAlign w:val="superscript"/>
        </w:rPr>
        <w:t>704</w:t>
      </w:r>
      <w:r>
        <w:rPr>
          <w:color w:val="005DA1"/>
          <w:spacing w:val="80"/>
          <w:vertAlign w:val="baseline"/>
        </w:rPr>
        <w:t> </w:t>
      </w:r>
      <w:r>
        <w:rPr>
          <w:color w:val="005DA1"/>
          <w:spacing w:val="-14"/>
          <w:position w:val="-2"/>
          <w:vertAlign w:val="baseline"/>
        </w:rPr>
        <w:drawing>
          <wp:inline distT="0" distB="0" distL="0" distR="0">
            <wp:extent cx="107988" cy="107988"/>
            <wp:effectExtent l="0" t="0" r="0" b="0"/>
            <wp:docPr id="235" name="Image 235"/>
            <wp:cNvGraphicFramePr>
              <a:graphicFrameLocks/>
            </wp:cNvGraphicFramePr>
            <a:graphic>
              <a:graphicData uri="http://schemas.openxmlformats.org/drawingml/2006/picture">
                <pic:pic>
                  <pic:nvPicPr>
                    <pic:cNvPr id="235" name="Image 23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color w:val="005DA1"/>
          <w:spacing w:val="40"/>
          <w:vertAlign w:val="baseline"/>
        </w:rPr>
        <w:t> </w:t>
      </w:r>
      <w:r>
        <w:rPr>
          <w:vertAlign w:val="baseline"/>
        </w:rPr>
        <w:t>Again it </w:t>
      </w:r>
      <w:r>
        <w:rPr>
          <w:vertAlign w:val="baseline"/>
        </w:rPr>
        <w:t>is suggested that the section should be interpreted as invalidating the term only so far as remedies for misrepresentation are concerned.</w:t>
      </w:r>
    </w:p>
    <w:p>
      <w:pPr>
        <w:pStyle w:val="BodyText"/>
      </w:pPr>
    </w:p>
    <w:p>
      <w:pPr>
        <w:pStyle w:val="BodyText"/>
        <w:spacing w:before="37"/>
      </w:pPr>
    </w:p>
    <w:p>
      <w:pPr>
        <w:spacing w:before="0"/>
        <w:ind w:left="165" w:right="0" w:firstLine="0"/>
        <w:jc w:val="both"/>
        <w:rPr>
          <w:rFonts w:ascii="Arial"/>
          <w:b/>
          <w:sz w:val="18"/>
        </w:rPr>
      </w:pPr>
      <w:r>
        <w:rPr>
          <w:rFonts w:ascii="Arial"/>
          <w:b/>
          <w:sz w:val="18"/>
        </w:rPr>
        <w:t>Other statutory provisions affecting </w:t>
      </w:r>
      <w:r>
        <w:rPr>
          <w:rFonts w:ascii="Arial"/>
          <w:b/>
          <w:spacing w:val="-2"/>
          <w:sz w:val="18"/>
        </w:rPr>
        <w:t>disclaimers</w:t>
      </w:r>
    </w:p>
    <w:p>
      <w:pPr>
        <w:pStyle w:val="BodyText"/>
        <w:spacing w:before="42"/>
        <w:rPr>
          <w:rFonts w:ascii="Arial"/>
          <w:b/>
          <w:sz w:val="18"/>
        </w:rPr>
      </w:pPr>
    </w:p>
    <w:p>
      <w:pPr>
        <w:pStyle w:val="Heading2"/>
      </w:pPr>
      <w:r>
        <w:rPr/>
        <w:t>7-</w:t>
      </w:r>
      <w:r>
        <w:rPr>
          <w:spacing w:val="-5"/>
        </w:rPr>
        <w:t>154</w:t>
      </w:r>
    </w:p>
    <w:p>
      <w:pPr>
        <w:pStyle w:val="BodyText"/>
        <w:spacing w:line="235" w:lineRule="auto" w:before="202"/>
        <w:ind w:left="165" w:right="166"/>
        <w:jc w:val="both"/>
      </w:pPr>
      <w:bookmarkStart w:name="_bookmark1286" w:id="1288"/>
      <w:bookmarkEnd w:id="1288"/>
      <w:r>
        <w:rPr/>
      </w:r>
      <w:r>
        <w:rPr/>
        <w:t>A clause aimed at preventing liability arising in tort under </w:t>
      </w:r>
      <w:r>
        <w:rPr>
          <w:rFonts w:ascii="Arial" w:hAnsi="Arial"/>
          <w:i/>
        </w:rPr>
        <w:t>Hedley Byrne &amp; Co Ltd v Heller &amp; Partners </w:t>
      </w:r>
      <w:bookmarkStart w:name="_bookmark1287" w:id="1289"/>
      <w:bookmarkEnd w:id="1289"/>
      <w:r>
        <w:rPr>
          <w:rFonts w:ascii="Arial" w:hAnsi="Arial"/>
          <w:i/>
        </w:rPr>
        <w:t>Ltd</w:t>
      </w:r>
      <w:r>
        <w:rPr>
          <w:rFonts w:ascii="Arial" w:hAnsi="Arial"/>
          <w:i/>
        </w:rPr>
        <w:t> </w:t>
      </w:r>
      <w:r>
        <w:rPr>
          <w:color w:val="005DA1"/>
          <w:u w:val="single" w:color="005DA1"/>
          <w:vertAlign w:val="superscript"/>
        </w:rPr>
        <w:t>705</w:t>
      </w:r>
      <w:r>
        <w:rPr>
          <w:color w:val="005DA1"/>
          <w:vertAlign w:val="baseline"/>
        </w:rPr>
        <w:t> </w:t>
      </w:r>
      <w:r>
        <w:rPr>
          <w:vertAlign w:val="baseline"/>
        </w:rPr>
        <w:t>on the part of a business will be valid under the Unfair Contract Terms Act 1977 s.2(2) only if </w:t>
      </w:r>
      <w:r>
        <w:rPr>
          <w:vertAlign w:val="baseline"/>
        </w:rPr>
        <w:t>it </w:t>
      </w:r>
      <w:bookmarkStart w:name="_bookmark1288" w:id="1290"/>
      <w:bookmarkEnd w:id="1290"/>
      <w:r>
        <w:rPr>
          <w:vertAlign w:val="baseline"/>
        </w:rPr>
        <w:t>satisfies</w:t>
      </w:r>
      <w:r>
        <w:rPr>
          <w:vertAlign w:val="baseline"/>
        </w:rPr>
        <w:t> the requirement of reasonableness under that Act. </w:t>
      </w:r>
      <w:r>
        <w:rPr>
          <w:color w:val="005DA1"/>
          <w:u w:val="single" w:color="005DA1"/>
          <w:vertAlign w:val="superscript"/>
        </w:rPr>
        <w:t>706</w:t>
      </w:r>
      <w:r>
        <w:rPr>
          <w:color w:val="005DA1"/>
          <w:vertAlign w:val="baseline"/>
        </w:rPr>
        <w:t> </w:t>
      </w:r>
      <w:r>
        <w:rPr>
          <w:vertAlign w:val="baseline"/>
        </w:rPr>
        <w:t>The Unfair Terms in Consumer Contracts Regulations 1999 </w:t>
      </w:r>
      <w:r>
        <w:rPr>
          <w:color w:val="005DA1"/>
          <w:u w:val="single" w:color="005DA1"/>
          <w:vertAlign w:val="superscript"/>
        </w:rPr>
        <w:t>707</w:t>
      </w:r>
      <w:r>
        <w:rPr>
          <w:color w:val="005DA1"/>
          <w:vertAlign w:val="baseline"/>
        </w:rPr>
        <w:t> </w:t>
      </w:r>
      <w:r>
        <w:rPr>
          <w:vertAlign w:val="baseline"/>
        </w:rPr>
        <w:t>also affect clauses in consumer contracts which unfairly exclude or restrict</w:t>
      </w:r>
      <w:r>
        <w:rPr>
          <w:spacing w:val="-1"/>
          <w:vertAlign w:val="baseline"/>
        </w:rPr>
        <w:t> </w:t>
      </w:r>
      <w:r>
        <w:rPr>
          <w:vertAlign w:val="baseline"/>
        </w:rPr>
        <w:t>the</w:t>
      </w:r>
      <w:r>
        <w:rPr>
          <w:spacing w:val="-1"/>
          <w:vertAlign w:val="baseline"/>
        </w:rPr>
        <w:t> </w:t>
      </w:r>
      <w:r>
        <w:rPr>
          <w:vertAlign w:val="baseline"/>
        </w:rPr>
        <w:t>consumer’s</w:t>
      </w:r>
      <w:r>
        <w:rPr>
          <w:spacing w:val="-1"/>
          <w:vertAlign w:val="baseline"/>
        </w:rPr>
        <w:t> </w:t>
      </w:r>
      <w:r>
        <w:rPr>
          <w:vertAlign w:val="baseline"/>
        </w:rPr>
        <w:t>remedies</w:t>
      </w:r>
      <w:r>
        <w:rPr>
          <w:spacing w:val="-1"/>
          <w:vertAlign w:val="baseline"/>
        </w:rPr>
        <w:t> </w:t>
      </w:r>
      <w:r>
        <w:rPr>
          <w:vertAlign w:val="baseline"/>
        </w:rPr>
        <w:t>for</w:t>
      </w:r>
      <w:r>
        <w:rPr>
          <w:spacing w:val="-1"/>
          <w:vertAlign w:val="baseline"/>
        </w:rPr>
        <w:t> </w:t>
      </w:r>
      <w:r>
        <w:rPr>
          <w:vertAlign w:val="baseline"/>
        </w:rPr>
        <w:t>misrepresentation.</w:t>
      </w:r>
      <w:r>
        <w:rPr>
          <w:spacing w:val="-1"/>
          <w:vertAlign w:val="baseline"/>
        </w:rPr>
        <w:t> </w:t>
      </w:r>
      <w:r>
        <w:rPr>
          <w:vertAlign w:val="baseline"/>
        </w:rPr>
        <w:t>When</w:t>
      </w:r>
      <w:r>
        <w:rPr>
          <w:spacing w:val="-1"/>
          <w:vertAlign w:val="baseline"/>
        </w:rPr>
        <w:t> </w:t>
      </w:r>
      <w:r>
        <w:rPr>
          <w:vertAlign w:val="baseline"/>
        </w:rPr>
        <w:t>the</w:t>
      </w:r>
      <w:r>
        <w:rPr>
          <w:spacing w:val="-1"/>
          <w:vertAlign w:val="baseline"/>
        </w:rPr>
        <w:t> </w:t>
      </w:r>
      <w:r>
        <w:rPr>
          <w:vertAlign w:val="baseline"/>
        </w:rPr>
        <w:t>Consumer</w:t>
      </w:r>
      <w:r>
        <w:rPr>
          <w:spacing w:val="-1"/>
          <w:vertAlign w:val="baseline"/>
        </w:rPr>
        <w:t> </w:t>
      </w:r>
      <w:r>
        <w:rPr>
          <w:vertAlign w:val="baseline"/>
        </w:rPr>
        <w:t>Rights</w:t>
      </w:r>
      <w:r>
        <w:rPr>
          <w:spacing w:val="-1"/>
          <w:vertAlign w:val="baseline"/>
        </w:rPr>
        <w:t> </w:t>
      </w:r>
      <w:r>
        <w:rPr>
          <w:vertAlign w:val="baseline"/>
        </w:rPr>
        <w:t>Act</w:t>
      </w:r>
      <w:r>
        <w:rPr>
          <w:spacing w:val="-1"/>
          <w:vertAlign w:val="baseline"/>
        </w:rPr>
        <w:t> </w:t>
      </w:r>
      <w:r>
        <w:rPr>
          <w:vertAlign w:val="baseline"/>
        </w:rPr>
        <w:t>2015</w:t>
      </w:r>
      <w:r>
        <w:rPr>
          <w:spacing w:val="-1"/>
          <w:vertAlign w:val="baseline"/>
        </w:rPr>
        <w:t> </w:t>
      </w:r>
      <w:r>
        <w:rPr>
          <w:vertAlign w:val="baseline"/>
        </w:rPr>
        <w:t>applies, such clauses will fall within the fairness test imposed by s.62 of the Act. For the most part it seems likely that the test of unfairness under the Regulations or the 2015 Act will produce substantially similar results to the reasonableness test of s.11 of the Unfair Contract Terms Act 1977. Any clause excluding or limiting liability for misrepresentation, however it is worded, will be within the Regulations </w:t>
      </w:r>
      <w:bookmarkStart w:name="_bookmark1289" w:id="1291"/>
      <w:bookmarkEnd w:id="1291"/>
      <w:r>
        <w:rPr>
          <w:vertAlign w:val="baseline"/>
        </w:rPr>
        <w:t>provided</w:t>
      </w:r>
      <w:r>
        <w:rPr>
          <w:vertAlign w:val="baseline"/>
        </w:rPr>
        <w:t> that it is “in a contract concluded between a seller or supplier and a consumer” and “has not </w:t>
      </w:r>
      <w:bookmarkStart w:name="_bookmark1290" w:id="1292"/>
      <w:bookmarkEnd w:id="1292"/>
      <w:r>
        <w:rPr>
          <w:vertAlign w:val="baseline"/>
        </w:rPr>
        <w:t>been</w:t>
      </w:r>
      <w:r>
        <w:rPr>
          <w:vertAlign w:val="baseline"/>
        </w:rPr>
        <w:t> individually negotiated”. </w:t>
      </w:r>
      <w:r>
        <w:rPr>
          <w:color w:val="005DA1"/>
          <w:u w:val="single" w:color="005DA1"/>
          <w:vertAlign w:val="superscript"/>
        </w:rPr>
        <w:t>708</w:t>
      </w:r>
      <w:r>
        <w:rPr>
          <w:color w:val="005DA1"/>
          <w:vertAlign w:val="baseline"/>
        </w:rPr>
        <w:t> </w:t>
      </w:r>
      <w:r>
        <w:rPr>
          <w:vertAlign w:val="baseline"/>
        </w:rPr>
        <w:t>Thus clauses limiting the authority of agents and “no reliance” clauses which are not caught by s.3 of the Misrepresentation Act 1967, </w:t>
      </w:r>
      <w:r>
        <w:rPr>
          <w:color w:val="005DA1"/>
          <w:u w:val="single" w:color="005DA1"/>
          <w:vertAlign w:val="superscript"/>
        </w:rPr>
        <w:t>709</w:t>
      </w:r>
      <w:r>
        <w:rPr>
          <w:color w:val="005DA1"/>
          <w:vertAlign w:val="baseline"/>
        </w:rPr>
        <w:t> </w:t>
      </w:r>
      <w:r>
        <w:rPr>
          <w:vertAlign w:val="baseline"/>
        </w:rPr>
        <w:t>will be covered.</w:t>
      </w:r>
    </w:p>
    <w:p>
      <w:pPr>
        <w:pStyle w:val="BodyText"/>
      </w:pPr>
    </w:p>
    <w:p>
      <w:pPr>
        <w:pStyle w:val="BodyText"/>
        <w:spacing w:before="35"/>
      </w:pPr>
      <w:r>
        <w:rPr/>
        <mc:AlternateContent>
          <mc:Choice Requires="wps">
            <w:drawing>
              <wp:anchor distT="0" distB="0" distL="0" distR="0" allowOverlap="1" layoutInCell="1" locked="0" behindDoc="1" simplePos="0" relativeHeight="487642112">
                <wp:simplePos x="0" y="0"/>
                <wp:positionH relativeFrom="page">
                  <wp:posOffset>914400</wp:posOffset>
                </wp:positionH>
                <wp:positionV relativeFrom="paragraph">
                  <wp:posOffset>184068</wp:posOffset>
                </wp:positionV>
                <wp:extent cx="5724525" cy="1270"/>
                <wp:effectExtent l="0" t="0" r="0" b="0"/>
                <wp:wrapTopAndBottom/>
                <wp:docPr id="236" name="Graphic 236"/>
                <wp:cNvGraphicFramePr>
                  <a:graphicFrameLocks/>
                </wp:cNvGraphicFramePr>
                <a:graphic>
                  <a:graphicData uri="http://schemas.microsoft.com/office/word/2010/wordprocessingShape">
                    <wps:wsp>
                      <wps:cNvPr id="236" name="Graphic 23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93617pt;width:450.75pt;height:.1pt;mso-position-horizontal-relative:page;mso-position-vertical-relative:paragraph;z-index:-15674368;mso-wrap-distance-left:0;mso-wrap-distance-right:0" id="docshape24" coordorigin="1440,290" coordsize="9015,0" path="m1440,290l10454,290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before="0"/>
        <w:ind w:left="165" w:right="0" w:firstLine="0"/>
        <w:jc w:val="left"/>
        <w:rPr>
          <w:sz w:val="20"/>
        </w:rPr>
      </w:pPr>
      <w:r>
        <w:rPr>
          <w:sz w:val="20"/>
        </w:rPr>
        <mc:AlternateContent>
          <mc:Choice Requires="wps">
            <w:drawing>
              <wp:anchor distT="0" distB="0" distL="0" distR="0" allowOverlap="1" layoutInCell="1" locked="0" behindDoc="1" simplePos="0" relativeHeight="483917312">
                <wp:simplePos x="0" y="0"/>
                <wp:positionH relativeFrom="page">
                  <wp:posOffset>914400</wp:posOffset>
                </wp:positionH>
                <wp:positionV relativeFrom="paragraph">
                  <wp:posOffset>97116</wp:posOffset>
                </wp:positionV>
                <wp:extent cx="49530"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399168" from="72pt,7.646976pt" to="75.892pt,7.646976pt" stroked="true" strokeweight=".5pt" strokecolor="#005da1">
                <v:stroke dashstyle="solid"/>
                <w10:wrap type="none"/>
              </v:line>
            </w:pict>
          </mc:Fallback>
        </mc:AlternateContent>
      </w:r>
      <w:hyperlink w:history="true" w:anchor="_bookmark1576">
        <w:r>
          <w:rPr>
            <w:color w:val="005DA1"/>
            <w:spacing w:val="-5"/>
            <w:position w:val="5"/>
            <w:sz w:val="14"/>
          </w:rPr>
          <w:t>1</w:t>
        </w:r>
      </w:hyperlink>
      <w:r>
        <w:rPr>
          <w:spacing w:val="-5"/>
          <w:position w:val="5"/>
          <w:sz w:val="14"/>
        </w:rPr>
        <w:t>.</w:t>
      </w:r>
      <w:r>
        <w:rPr>
          <w:position w:val="5"/>
          <w:sz w:val="14"/>
        </w:rPr>
        <w:tab/>
      </w:r>
      <w:r>
        <w:rPr>
          <w:sz w:val="20"/>
        </w:rPr>
        <w:t>See</w:t>
      </w:r>
      <w:r>
        <w:rPr>
          <w:spacing w:val="16"/>
          <w:sz w:val="20"/>
        </w:rPr>
        <w:t> </w:t>
      </w:r>
      <w:r>
        <w:rPr>
          <w:sz w:val="20"/>
        </w:rPr>
        <w:t>Allen,</w:t>
      </w:r>
      <w:r>
        <w:rPr>
          <w:spacing w:val="16"/>
          <w:sz w:val="20"/>
        </w:rPr>
        <w:t> </w:t>
      </w:r>
      <w:r>
        <w:rPr>
          <w:rFonts w:ascii="Arial"/>
          <w:i/>
          <w:sz w:val="20"/>
        </w:rPr>
        <w:t>Misrepresentation</w:t>
      </w:r>
      <w:r>
        <w:rPr>
          <w:rFonts w:ascii="Arial"/>
          <w:i/>
          <w:spacing w:val="16"/>
          <w:sz w:val="20"/>
        </w:rPr>
        <w:t> </w:t>
      </w:r>
      <w:r>
        <w:rPr>
          <w:sz w:val="20"/>
        </w:rPr>
        <w:t>(1988);</w:t>
      </w:r>
      <w:r>
        <w:rPr>
          <w:spacing w:val="16"/>
          <w:sz w:val="20"/>
        </w:rPr>
        <w:t> </w:t>
      </w:r>
      <w:r>
        <w:rPr>
          <w:sz w:val="20"/>
        </w:rPr>
        <w:t>Cartwright,</w:t>
      </w:r>
      <w:r>
        <w:rPr>
          <w:spacing w:val="16"/>
          <w:sz w:val="20"/>
        </w:rPr>
        <w:t> </w:t>
      </w:r>
      <w:r>
        <w:rPr>
          <w:rFonts w:ascii="Arial"/>
          <w:i/>
          <w:sz w:val="20"/>
        </w:rPr>
        <w:t>Unequal</w:t>
      </w:r>
      <w:r>
        <w:rPr>
          <w:rFonts w:ascii="Arial"/>
          <w:i/>
          <w:spacing w:val="16"/>
          <w:sz w:val="20"/>
        </w:rPr>
        <w:t> </w:t>
      </w:r>
      <w:r>
        <w:rPr>
          <w:rFonts w:ascii="Arial"/>
          <w:i/>
          <w:sz w:val="20"/>
        </w:rPr>
        <w:t>Bargaining</w:t>
      </w:r>
      <w:r>
        <w:rPr>
          <w:rFonts w:ascii="Arial"/>
          <w:i/>
          <w:spacing w:val="16"/>
          <w:sz w:val="20"/>
        </w:rPr>
        <w:t> </w:t>
      </w:r>
      <w:r>
        <w:rPr>
          <w:sz w:val="20"/>
        </w:rPr>
        <w:t>(1991),</w:t>
      </w:r>
      <w:r>
        <w:rPr>
          <w:spacing w:val="16"/>
          <w:sz w:val="20"/>
        </w:rPr>
        <w:t> </w:t>
      </w:r>
      <w:r>
        <w:rPr>
          <w:sz w:val="20"/>
        </w:rPr>
        <w:t>Ch.3;</w:t>
      </w:r>
      <w:r>
        <w:rPr>
          <w:spacing w:val="16"/>
          <w:sz w:val="20"/>
        </w:rPr>
        <w:t> </w:t>
      </w:r>
      <w:r>
        <w:rPr>
          <w:spacing w:val="-2"/>
          <w:sz w:val="20"/>
        </w:rPr>
        <w:t>Cartwright,</w:t>
      </w:r>
    </w:p>
    <w:p>
      <w:pPr>
        <w:spacing w:after="0"/>
        <w:jc w:val="left"/>
        <w:rPr>
          <w:sz w:val="20"/>
        </w:rPr>
        <w:sectPr>
          <w:pgSz w:w="11900" w:h="16840"/>
          <w:pgMar w:header="971" w:footer="0" w:top="1160" w:bottom="280" w:left="1275" w:right="1275"/>
        </w:sectPr>
      </w:pPr>
    </w:p>
    <w:p>
      <w:pPr>
        <w:pStyle w:val="BodyText"/>
        <w:spacing w:before="81"/>
      </w:pPr>
    </w:p>
    <w:p>
      <w:pPr>
        <w:pStyle w:val="BodyText"/>
        <w:spacing w:line="227" w:lineRule="exact"/>
        <w:ind w:left="705"/>
      </w:pPr>
      <w:r>
        <w:rPr/>
        <w:t>Misrepresentation,</w:t>
      </w:r>
      <w:r>
        <w:rPr>
          <w:spacing w:val="18"/>
        </w:rPr>
        <w:t> </w:t>
      </w:r>
      <w:r>
        <w:rPr/>
        <w:t>Mistake</w:t>
      </w:r>
      <w:r>
        <w:rPr>
          <w:spacing w:val="18"/>
        </w:rPr>
        <w:t> </w:t>
      </w:r>
      <w:r>
        <w:rPr/>
        <w:t>and</w:t>
      </w:r>
      <w:r>
        <w:rPr>
          <w:spacing w:val="18"/>
        </w:rPr>
        <w:t> </w:t>
      </w:r>
      <w:r>
        <w:rPr/>
        <w:t>Non-disclosure,</w:t>
      </w:r>
      <w:r>
        <w:rPr>
          <w:spacing w:val="18"/>
        </w:rPr>
        <w:t> </w:t>
      </w:r>
      <w:r>
        <w:rPr/>
        <w:t>4th</w:t>
      </w:r>
      <w:r>
        <w:rPr>
          <w:spacing w:val="18"/>
        </w:rPr>
        <w:t> </w:t>
      </w:r>
      <w:r>
        <w:rPr/>
        <w:t>edn</w:t>
      </w:r>
      <w:r>
        <w:rPr>
          <w:spacing w:val="18"/>
        </w:rPr>
        <w:t> </w:t>
      </w:r>
      <w:r>
        <w:rPr/>
        <w:t>(2016);</w:t>
      </w:r>
      <w:r>
        <w:rPr>
          <w:spacing w:val="18"/>
        </w:rPr>
        <w:t> </w:t>
      </w:r>
      <w:r>
        <w:rPr/>
        <w:t>Spencer</w:t>
      </w:r>
      <w:r>
        <w:rPr>
          <w:spacing w:val="18"/>
        </w:rPr>
        <w:t> </w:t>
      </w:r>
      <w:r>
        <w:rPr/>
        <w:t>Bower</w:t>
      </w:r>
      <w:r>
        <w:rPr>
          <w:spacing w:val="18"/>
        </w:rPr>
        <w:t> </w:t>
      </w:r>
      <w:r>
        <w:rPr/>
        <w:t>and</w:t>
      </w:r>
      <w:r>
        <w:rPr>
          <w:spacing w:val="18"/>
        </w:rPr>
        <w:t> </w:t>
      </w:r>
      <w:r>
        <w:rPr>
          <w:spacing w:val="-2"/>
        </w:rPr>
        <w:t>Handley,</w:t>
      </w:r>
    </w:p>
    <w:p>
      <w:pPr>
        <w:spacing w:line="227" w:lineRule="exact" w:before="0"/>
        <w:ind w:left="705" w:right="0" w:firstLine="0"/>
        <w:jc w:val="left"/>
        <w:rPr>
          <w:sz w:val="20"/>
        </w:rPr>
      </w:pPr>
      <w:r>
        <w:rPr>
          <w:rFonts w:ascii="Arial"/>
          <w:i/>
          <w:sz w:val="20"/>
        </w:rPr>
        <w:t>Actionable</w:t>
      </w:r>
      <w:r>
        <w:rPr>
          <w:rFonts w:ascii="Arial"/>
          <w:i/>
          <w:spacing w:val="-1"/>
          <w:sz w:val="20"/>
        </w:rPr>
        <w:t> </w:t>
      </w:r>
      <w:r>
        <w:rPr>
          <w:rFonts w:ascii="Arial"/>
          <w:i/>
          <w:sz w:val="20"/>
        </w:rPr>
        <w:t>Misrepresentation</w:t>
      </w:r>
      <w:r>
        <w:rPr>
          <w:sz w:val="20"/>
        </w:rPr>
        <w:t>, 5th edn </w:t>
      </w:r>
      <w:r>
        <w:rPr>
          <w:spacing w:val="-2"/>
          <w:sz w:val="20"/>
        </w:rPr>
        <w:t>(2014).</w:t>
      </w:r>
    </w:p>
    <w:p>
      <w:pPr>
        <w:pStyle w:val="BodyText"/>
        <w:spacing w:before="9"/>
      </w:pPr>
    </w:p>
    <w:p>
      <w:pPr>
        <w:spacing w:line="235" w:lineRule="auto" w:before="0"/>
        <w:ind w:left="705" w:right="167" w:hanging="541"/>
        <w:jc w:val="both"/>
        <w:rPr>
          <w:sz w:val="20"/>
        </w:rPr>
      </w:pPr>
      <w:bookmarkStart w:name="_bookmark1291" w:id="1293"/>
      <w:bookmarkEnd w:id="1293"/>
      <w:r>
        <w:rPr/>
      </w:r>
      <w:hyperlink w:history="true" w:anchor="_bookmark1237">
        <w:r>
          <w:rPr>
            <w:color w:val="005DA1"/>
            <w:position w:val="5"/>
            <w:sz w:val="14"/>
            <w:u w:val="single" w:color="005DA1"/>
          </w:rPr>
          <w:t>651</w:t>
        </w:r>
      </w:hyperlink>
      <w:r>
        <w:rPr>
          <w:position w:val="5"/>
          <w:sz w:val="14"/>
        </w:rPr>
        <w:t>.</w:t>
      </w:r>
      <w:r>
        <w:rPr>
          <w:spacing w:val="80"/>
          <w:position w:val="5"/>
          <w:sz w:val="14"/>
        </w:rPr>
        <w:t>  </w:t>
      </w:r>
      <w:r>
        <w:rPr>
          <w:rFonts w:ascii="Arial" w:hAnsi="Arial"/>
          <w:i/>
          <w:sz w:val="20"/>
        </w:rPr>
        <w:t>S. Pearson &amp; Son Ltd v Dublin Corp [1907] A.C. 351</w:t>
      </w:r>
      <w:r>
        <w:rPr>
          <w:sz w:val="20"/>
        </w:rPr>
        <w:t>; </w:t>
      </w:r>
      <w:r>
        <w:rPr>
          <w:rFonts w:ascii="Arial" w:hAnsi="Arial"/>
          <w:i/>
          <w:sz w:val="20"/>
        </w:rPr>
        <w:t>HIH Casualty and General Insurance Ltd</w:t>
      </w:r>
      <w:r>
        <w:rPr>
          <w:rFonts w:ascii="Arial" w:hAnsi="Arial"/>
          <w:i/>
          <w:spacing w:val="80"/>
          <w:sz w:val="20"/>
        </w:rPr>
        <w:t> </w:t>
      </w:r>
      <w:r>
        <w:rPr>
          <w:rFonts w:ascii="Arial" w:hAnsi="Arial"/>
          <w:i/>
          <w:sz w:val="20"/>
        </w:rPr>
        <w:t>v Chase Manhattan Bank [2003] UKHL 6, [2003] 2 Lloyd’s Rep. 61 </w:t>
      </w:r>
      <w:r>
        <w:rPr>
          <w:sz w:val="20"/>
        </w:rPr>
        <w:t>at [16], [76], [121]. This will include, in a case where there is a duty of disclosure (see below, paras 7-155 et </w:t>
      </w:r>
      <w:r>
        <w:rPr>
          <w:sz w:val="20"/>
        </w:rPr>
        <w:t>seq.), fraudulent non-disclosure: </w:t>
      </w:r>
      <w:r>
        <w:rPr>
          <w:rFonts w:ascii="Arial" w:hAnsi="Arial"/>
          <w:i/>
          <w:sz w:val="20"/>
        </w:rPr>
        <w:t>HIH Casualty and General Insurance Ltd v Chase Manhattan Bank [2003] UKHL 6 </w:t>
      </w:r>
      <w:r>
        <w:rPr>
          <w:sz w:val="20"/>
        </w:rPr>
        <w:t>at [21], [72].</w:t>
      </w:r>
    </w:p>
    <w:p>
      <w:pPr>
        <w:pStyle w:val="BodyText"/>
        <w:spacing w:before="4"/>
      </w:pPr>
    </w:p>
    <w:p>
      <w:pPr>
        <w:tabs>
          <w:tab w:pos="705" w:val="left" w:leader="none"/>
        </w:tabs>
        <w:spacing w:before="0"/>
        <w:ind w:left="165" w:right="0" w:firstLine="0"/>
        <w:jc w:val="left"/>
        <w:rPr>
          <w:sz w:val="20"/>
        </w:rPr>
      </w:pPr>
      <w:bookmarkStart w:name="_bookmark1292" w:id="1294"/>
      <w:bookmarkEnd w:id="1294"/>
      <w:r>
        <w:rPr/>
      </w:r>
      <w:hyperlink w:history="true" w:anchor="_bookmark1238">
        <w:r>
          <w:rPr>
            <w:color w:val="005DA1"/>
            <w:spacing w:val="-4"/>
            <w:position w:val="5"/>
            <w:sz w:val="14"/>
            <w:u w:val="single" w:color="005DA1"/>
          </w:rPr>
          <w:t>652</w:t>
        </w:r>
      </w:hyperlink>
      <w:r>
        <w:rPr>
          <w:spacing w:val="-4"/>
          <w:position w:val="5"/>
          <w:sz w:val="14"/>
        </w:rPr>
        <w:t>.</w:t>
      </w:r>
      <w:r>
        <w:rPr>
          <w:position w:val="5"/>
          <w:sz w:val="14"/>
        </w:rPr>
        <w:tab/>
      </w:r>
      <w:r>
        <w:rPr>
          <w:sz w:val="20"/>
        </w:rPr>
        <w:t>See</w:t>
      </w:r>
      <w:r>
        <w:rPr>
          <w:spacing w:val="-1"/>
          <w:sz w:val="20"/>
        </w:rPr>
        <w:t> </w:t>
      </w:r>
      <w:r>
        <w:rPr>
          <w:rFonts w:ascii="Arial"/>
          <w:i/>
          <w:sz w:val="20"/>
        </w:rPr>
        <w:t>John Carter (Fine Worsteds) Ltd v Hanson Haulage (Leeds) Ltd [1965] 2 Q.B. </w:t>
      </w:r>
      <w:r>
        <w:rPr>
          <w:rFonts w:ascii="Arial"/>
          <w:i/>
          <w:spacing w:val="-4"/>
          <w:sz w:val="20"/>
        </w:rPr>
        <w:t>495</w:t>
      </w:r>
      <w:r>
        <w:rPr>
          <w:spacing w:val="-4"/>
          <w:sz w:val="20"/>
        </w:rPr>
        <w:t>.</w:t>
      </w:r>
    </w:p>
    <w:p>
      <w:pPr>
        <w:pStyle w:val="BodyText"/>
        <w:spacing w:before="9"/>
      </w:pPr>
    </w:p>
    <w:p>
      <w:pPr>
        <w:spacing w:line="235" w:lineRule="auto" w:before="0"/>
        <w:ind w:left="705" w:right="167" w:hanging="541"/>
        <w:jc w:val="both"/>
        <w:rPr>
          <w:sz w:val="20"/>
        </w:rPr>
      </w:pPr>
      <w:bookmarkStart w:name="_bookmark1293" w:id="1295"/>
      <w:bookmarkEnd w:id="1295"/>
      <w:r>
        <w:rPr/>
      </w:r>
      <w:hyperlink w:history="true" w:anchor="_bookmark1238">
        <w:r>
          <w:rPr>
            <w:color w:val="005DA1"/>
            <w:position w:val="5"/>
            <w:sz w:val="14"/>
            <w:u w:val="single" w:color="005DA1"/>
          </w:rPr>
          <w:t>653</w:t>
        </w:r>
      </w:hyperlink>
      <w:r>
        <w:rPr>
          <w:position w:val="5"/>
          <w:sz w:val="14"/>
        </w:rPr>
        <w:t>.</w:t>
      </w:r>
      <w:r>
        <w:rPr>
          <w:spacing w:val="80"/>
          <w:position w:val="5"/>
          <w:sz w:val="14"/>
        </w:rPr>
        <w:t>  </w:t>
      </w:r>
      <w:r>
        <w:rPr>
          <w:sz w:val="20"/>
        </w:rPr>
        <w:t>This</w:t>
      </w:r>
      <w:r>
        <w:rPr>
          <w:spacing w:val="-1"/>
          <w:sz w:val="20"/>
        </w:rPr>
        <w:t> </w:t>
      </w:r>
      <w:r>
        <w:rPr>
          <w:sz w:val="20"/>
        </w:rPr>
        <w:t>question</w:t>
      </w:r>
      <w:r>
        <w:rPr>
          <w:spacing w:val="-1"/>
          <w:sz w:val="20"/>
        </w:rPr>
        <w:t> </w:t>
      </w:r>
      <w:r>
        <w:rPr>
          <w:sz w:val="20"/>
        </w:rPr>
        <w:t>was</w:t>
      </w:r>
      <w:r>
        <w:rPr>
          <w:spacing w:val="-1"/>
          <w:sz w:val="20"/>
        </w:rPr>
        <w:t> </w:t>
      </w:r>
      <w:r>
        <w:rPr>
          <w:sz w:val="20"/>
        </w:rPr>
        <w:t>left</w:t>
      </w:r>
      <w:r>
        <w:rPr>
          <w:spacing w:val="-1"/>
          <w:sz w:val="20"/>
        </w:rPr>
        <w:t> </w:t>
      </w:r>
      <w:r>
        <w:rPr>
          <w:sz w:val="20"/>
        </w:rPr>
        <w:t>open</w:t>
      </w:r>
      <w:r>
        <w:rPr>
          <w:spacing w:val="-1"/>
          <w:sz w:val="20"/>
        </w:rPr>
        <w:t> </w:t>
      </w:r>
      <w:r>
        <w:rPr>
          <w:sz w:val="20"/>
        </w:rPr>
        <w:t>by</w:t>
      </w:r>
      <w:r>
        <w:rPr>
          <w:spacing w:val="-1"/>
          <w:sz w:val="20"/>
        </w:rPr>
        <w:t> </w:t>
      </w:r>
      <w:r>
        <w:rPr>
          <w:sz w:val="20"/>
        </w:rPr>
        <w:t>the</w:t>
      </w:r>
      <w:r>
        <w:rPr>
          <w:spacing w:val="-1"/>
          <w:sz w:val="20"/>
        </w:rPr>
        <w:t> </w:t>
      </w:r>
      <w:r>
        <w:rPr>
          <w:sz w:val="20"/>
        </w:rPr>
        <w:t>House</w:t>
      </w:r>
      <w:r>
        <w:rPr>
          <w:spacing w:val="-1"/>
          <w:sz w:val="20"/>
        </w:rPr>
        <w:t> </w:t>
      </w:r>
      <w:r>
        <w:rPr>
          <w:sz w:val="20"/>
        </w:rPr>
        <w:t>of</w:t>
      </w:r>
      <w:r>
        <w:rPr>
          <w:spacing w:val="-1"/>
          <w:sz w:val="20"/>
        </w:rPr>
        <w:t> </w:t>
      </w:r>
      <w:r>
        <w:rPr>
          <w:sz w:val="20"/>
        </w:rPr>
        <w:t>Lords</w:t>
      </w:r>
      <w:r>
        <w:rPr>
          <w:spacing w:val="-1"/>
          <w:sz w:val="20"/>
        </w:rPr>
        <w:t> </w:t>
      </w:r>
      <w:r>
        <w:rPr>
          <w:sz w:val="20"/>
        </w:rPr>
        <w:t>in</w:t>
      </w:r>
      <w:r>
        <w:rPr>
          <w:spacing w:val="-1"/>
          <w:sz w:val="20"/>
        </w:rPr>
        <w:t> </w:t>
      </w:r>
      <w:r>
        <w:rPr>
          <w:rFonts w:ascii="Arial" w:hAnsi="Arial"/>
          <w:i/>
          <w:sz w:val="20"/>
        </w:rPr>
        <w:t>HIH</w:t>
      </w:r>
      <w:r>
        <w:rPr>
          <w:rFonts w:ascii="Arial" w:hAnsi="Arial"/>
          <w:i/>
          <w:spacing w:val="-1"/>
          <w:sz w:val="20"/>
        </w:rPr>
        <w:t> </w:t>
      </w:r>
      <w:r>
        <w:rPr>
          <w:rFonts w:ascii="Arial" w:hAnsi="Arial"/>
          <w:i/>
          <w:sz w:val="20"/>
        </w:rPr>
        <w:t>Casualty</w:t>
      </w:r>
      <w:r>
        <w:rPr>
          <w:rFonts w:ascii="Arial" w:hAnsi="Arial"/>
          <w:i/>
          <w:spacing w:val="-1"/>
          <w:sz w:val="20"/>
        </w:rPr>
        <w:t> </w:t>
      </w:r>
      <w:r>
        <w:rPr>
          <w:rFonts w:ascii="Arial" w:hAnsi="Arial"/>
          <w:i/>
          <w:sz w:val="20"/>
        </w:rPr>
        <w:t>and</w:t>
      </w:r>
      <w:r>
        <w:rPr>
          <w:rFonts w:ascii="Arial" w:hAnsi="Arial"/>
          <w:i/>
          <w:spacing w:val="-1"/>
          <w:sz w:val="20"/>
        </w:rPr>
        <w:t> </w:t>
      </w:r>
      <w:r>
        <w:rPr>
          <w:rFonts w:ascii="Arial" w:hAnsi="Arial"/>
          <w:i/>
          <w:sz w:val="20"/>
        </w:rPr>
        <w:t>General</w:t>
      </w:r>
      <w:r>
        <w:rPr>
          <w:rFonts w:ascii="Arial" w:hAnsi="Arial"/>
          <w:i/>
          <w:spacing w:val="-1"/>
          <w:sz w:val="20"/>
        </w:rPr>
        <w:t> </w:t>
      </w:r>
      <w:r>
        <w:rPr>
          <w:rFonts w:ascii="Arial" w:hAnsi="Arial"/>
          <w:i/>
          <w:sz w:val="20"/>
        </w:rPr>
        <w:t>Insurance</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 Chase Manhattan Bank [2003] UKHL 6, [2003] 2 Lloyd’s Rep. 61</w:t>
      </w:r>
      <w:r>
        <w:rPr>
          <w:sz w:val="20"/>
        </w:rPr>
        <w:t>, see at [16], [76]–[82]. In </w:t>
      </w:r>
      <w:r>
        <w:rPr>
          <w:sz w:val="20"/>
        </w:rPr>
        <w:t>that case the clause was not in sufficiently clear and unmistakable terms to exclude remedies for alleged fraud on the part of the agent.</w:t>
      </w:r>
    </w:p>
    <w:p>
      <w:pPr>
        <w:pStyle w:val="BodyText"/>
        <w:spacing w:before="8"/>
      </w:pPr>
    </w:p>
    <w:p>
      <w:pPr>
        <w:spacing w:line="235" w:lineRule="auto" w:before="0"/>
        <w:ind w:left="705" w:right="167" w:hanging="541"/>
        <w:jc w:val="both"/>
        <w:rPr>
          <w:sz w:val="20"/>
        </w:rPr>
      </w:pPr>
      <w:bookmarkStart w:name="_bookmark1294" w:id="1296"/>
      <w:bookmarkEnd w:id="1296"/>
      <w:r>
        <w:rPr/>
      </w:r>
      <w:hyperlink w:history="true" w:anchor="_bookmark1239">
        <w:r>
          <w:rPr>
            <w:color w:val="005DA1"/>
            <w:position w:val="5"/>
            <w:sz w:val="14"/>
            <w:u w:val="single" w:color="005DA1"/>
          </w:rPr>
          <w:t>654</w:t>
        </w:r>
      </w:hyperlink>
      <w:r>
        <w:rPr>
          <w:position w:val="5"/>
          <w:sz w:val="14"/>
        </w:rPr>
        <w:t>.</w:t>
      </w:r>
      <w:r>
        <w:rPr>
          <w:spacing w:val="80"/>
          <w:position w:val="5"/>
          <w:sz w:val="14"/>
        </w:rPr>
        <w:t> </w:t>
      </w:r>
      <w:r>
        <w:rPr>
          <w:rFonts w:ascii="Arial" w:hAnsi="Arial"/>
          <w:i/>
          <w:sz w:val="20"/>
        </w:rPr>
        <w:t>Boyd and Forrest v Glasgow Ry (1915) S.C.(H.L.) 20, 36</w:t>
      </w:r>
      <w:r>
        <w:rPr>
          <w:sz w:val="20"/>
        </w:rPr>
        <w:t>. A properly worded clause </w:t>
      </w:r>
      <w:r>
        <w:rPr>
          <w:sz w:val="20"/>
        </w:rPr>
        <w:t>which excludes a right of avoidance will be effective (assuming it is not affected by Misrepresentation Act</w:t>
      </w:r>
      <w:r>
        <w:rPr>
          <w:spacing w:val="-1"/>
          <w:sz w:val="20"/>
        </w:rPr>
        <w:t> </w:t>
      </w:r>
      <w:r>
        <w:rPr>
          <w:sz w:val="20"/>
        </w:rPr>
        <w:t>1967</w:t>
      </w:r>
      <w:r>
        <w:rPr>
          <w:spacing w:val="-1"/>
          <w:sz w:val="20"/>
        </w:rPr>
        <w:t> </w:t>
      </w:r>
      <w:r>
        <w:rPr>
          <w:sz w:val="20"/>
        </w:rPr>
        <w:t>s.3;</w:t>
      </w:r>
      <w:r>
        <w:rPr>
          <w:spacing w:val="-1"/>
          <w:sz w:val="20"/>
        </w:rPr>
        <w:t> </w:t>
      </w:r>
      <w:r>
        <w:rPr>
          <w:sz w:val="20"/>
        </w:rPr>
        <w:t>see</w:t>
      </w:r>
      <w:r>
        <w:rPr>
          <w:spacing w:val="-1"/>
          <w:sz w:val="20"/>
        </w:rPr>
        <w:t> </w:t>
      </w:r>
      <w:r>
        <w:rPr>
          <w:sz w:val="20"/>
        </w:rPr>
        <w:t>para.7-146)</w:t>
      </w:r>
      <w:r>
        <w:rPr>
          <w:spacing w:val="-1"/>
          <w:sz w:val="20"/>
        </w:rPr>
        <w:t> </w:t>
      </w:r>
      <w:r>
        <w:rPr>
          <w:sz w:val="20"/>
        </w:rPr>
        <w:t>notwithstanding</w:t>
      </w:r>
      <w:r>
        <w:rPr>
          <w:spacing w:val="-1"/>
          <w:sz w:val="20"/>
        </w:rPr>
        <w:t> </w:t>
      </w:r>
      <w:r>
        <w:rPr>
          <w:sz w:val="20"/>
        </w:rPr>
        <w:t>a</w:t>
      </w:r>
      <w:r>
        <w:rPr>
          <w:spacing w:val="-1"/>
          <w:sz w:val="20"/>
        </w:rPr>
        <w:t> </w:t>
      </w:r>
      <w:r>
        <w:rPr>
          <w:sz w:val="20"/>
        </w:rPr>
        <w:t>purported</w:t>
      </w:r>
      <w:r>
        <w:rPr>
          <w:spacing w:val="-1"/>
          <w:sz w:val="20"/>
        </w:rPr>
        <w:t> </w:t>
      </w:r>
      <w:r>
        <w:rPr>
          <w:sz w:val="20"/>
        </w:rPr>
        <w:t>rescission</w:t>
      </w:r>
      <w:r>
        <w:rPr>
          <w:spacing w:val="-1"/>
          <w:sz w:val="20"/>
        </w:rPr>
        <w:t> </w:t>
      </w:r>
      <w:r>
        <w:rPr>
          <w:sz w:val="20"/>
        </w:rPr>
        <w:t>of</w:t>
      </w:r>
      <w:r>
        <w:rPr>
          <w:spacing w:val="-1"/>
          <w:sz w:val="20"/>
        </w:rPr>
        <w:t> </w:t>
      </w:r>
      <w:r>
        <w:rPr>
          <w:sz w:val="20"/>
        </w:rPr>
        <w:t>the</w:t>
      </w:r>
      <w:r>
        <w:rPr>
          <w:spacing w:val="-1"/>
          <w:sz w:val="20"/>
        </w:rPr>
        <w:t> </w:t>
      </w:r>
      <w:r>
        <w:rPr>
          <w:sz w:val="20"/>
        </w:rPr>
        <w:t>contract</w:t>
      </w:r>
      <w:r>
        <w:rPr>
          <w:spacing w:val="-1"/>
          <w:sz w:val="20"/>
        </w:rPr>
        <w:t> </w:t>
      </w:r>
      <w:r>
        <w:rPr>
          <w:sz w:val="20"/>
        </w:rPr>
        <w:t>as</w:t>
      </w:r>
      <w:r>
        <w:rPr>
          <w:spacing w:val="-1"/>
          <w:sz w:val="20"/>
        </w:rPr>
        <w:t> </w:t>
      </w:r>
      <w:r>
        <w:rPr>
          <w:sz w:val="20"/>
        </w:rPr>
        <w:t>a</w:t>
      </w:r>
      <w:r>
        <w:rPr>
          <w:spacing w:val="-1"/>
          <w:sz w:val="20"/>
        </w:rPr>
        <w:t> </w:t>
      </w:r>
      <w:r>
        <w:rPr>
          <w:sz w:val="20"/>
        </w:rPr>
        <w:t>whole by the misrepresentee: </w:t>
      </w:r>
      <w:r>
        <w:rPr>
          <w:rFonts w:ascii="Arial" w:hAnsi="Arial"/>
          <w:i/>
          <w:sz w:val="20"/>
        </w:rPr>
        <w:t>Toomey v Eagle Star Insurance Co Ltd (No.2) [1995] 2 Lloyd’s Rep. 88</w:t>
      </w:r>
      <w:r>
        <w:rPr>
          <w:sz w:val="20"/>
        </w:rPr>
        <w:t>.</w:t>
      </w:r>
    </w:p>
    <w:p>
      <w:pPr>
        <w:pStyle w:val="BodyText"/>
        <w:spacing w:before="9"/>
      </w:pPr>
    </w:p>
    <w:p>
      <w:pPr>
        <w:spacing w:line="235" w:lineRule="auto" w:before="0"/>
        <w:ind w:left="705" w:right="167" w:hanging="541"/>
        <w:jc w:val="both"/>
        <w:rPr>
          <w:sz w:val="20"/>
        </w:rPr>
      </w:pPr>
      <w:bookmarkStart w:name="_bookmark1295" w:id="1297"/>
      <w:bookmarkEnd w:id="1297"/>
      <w:r>
        <w:rPr/>
      </w:r>
      <w:hyperlink w:history="true" w:anchor="_bookmark1240">
        <w:r>
          <w:rPr>
            <w:color w:val="005DA1"/>
            <w:position w:val="5"/>
            <w:sz w:val="14"/>
            <w:u w:val="single" w:color="005DA1"/>
          </w:rPr>
          <w:t>655</w:t>
        </w:r>
      </w:hyperlink>
      <w:r>
        <w:rPr>
          <w:position w:val="5"/>
          <w:sz w:val="14"/>
        </w:rPr>
        <w:t>.</w:t>
      </w:r>
      <w:r>
        <w:rPr>
          <w:spacing w:val="40"/>
          <w:position w:val="5"/>
          <w:sz w:val="14"/>
        </w:rPr>
        <w:t>  </w:t>
      </w:r>
      <w:r>
        <w:rPr>
          <w:sz w:val="20"/>
        </w:rPr>
        <w:t>Below,</w:t>
      </w:r>
      <w:r>
        <w:rPr>
          <w:spacing w:val="-1"/>
          <w:sz w:val="20"/>
        </w:rPr>
        <w:t> </w:t>
      </w:r>
      <w:r>
        <w:rPr>
          <w:sz w:val="20"/>
        </w:rPr>
        <w:t>paras</w:t>
      </w:r>
      <w:r>
        <w:rPr>
          <w:spacing w:val="-1"/>
          <w:sz w:val="20"/>
        </w:rPr>
        <w:t> </w:t>
      </w:r>
      <w:r>
        <w:rPr>
          <w:sz w:val="20"/>
        </w:rPr>
        <w:t>15-007—15-022.</w:t>
      </w:r>
      <w:r>
        <w:rPr>
          <w:spacing w:val="-1"/>
          <w:sz w:val="20"/>
        </w:rPr>
        <w:t> </w:t>
      </w:r>
      <w:r>
        <w:rPr>
          <w:sz w:val="20"/>
        </w:rPr>
        <w:t>Thus</w:t>
      </w:r>
      <w:r>
        <w:rPr>
          <w:spacing w:val="-1"/>
          <w:sz w:val="20"/>
        </w:rPr>
        <w:t> </w:t>
      </w:r>
      <w:r>
        <w:rPr>
          <w:sz w:val="20"/>
        </w:rPr>
        <w:t>a</w:t>
      </w:r>
      <w:r>
        <w:rPr>
          <w:spacing w:val="-1"/>
          <w:sz w:val="20"/>
        </w:rPr>
        <w:t> </w:t>
      </w:r>
      <w:r>
        <w:rPr>
          <w:sz w:val="20"/>
        </w:rPr>
        <w:t>clause</w:t>
      </w:r>
      <w:r>
        <w:rPr>
          <w:spacing w:val="-1"/>
          <w:sz w:val="20"/>
        </w:rPr>
        <w:t> </w:t>
      </w:r>
      <w:r>
        <w:rPr>
          <w:sz w:val="20"/>
        </w:rPr>
        <w:t>stating</w:t>
      </w:r>
      <w:r>
        <w:rPr>
          <w:spacing w:val="-1"/>
          <w:sz w:val="20"/>
        </w:rPr>
        <w:t> </w:t>
      </w:r>
      <w:r>
        <w:rPr>
          <w:sz w:val="20"/>
        </w:rPr>
        <w:t>that</w:t>
      </w:r>
      <w:r>
        <w:rPr>
          <w:spacing w:val="-1"/>
          <w:sz w:val="20"/>
        </w:rPr>
        <w:t> </w:t>
      </w:r>
      <w:r>
        <w:rPr>
          <w:sz w:val="20"/>
        </w:rPr>
        <w:t>a</w:t>
      </w:r>
      <w:r>
        <w:rPr>
          <w:spacing w:val="-1"/>
          <w:sz w:val="20"/>
        </w:rPr>
        <w:t> </w:t>
      </w:r>
      <w:r>
        <w:rPr>
          <w:sz w:val="20"/>
        </w:rPr>
        <w:t>contract</w:t>
      </w:r>
      <w:r>
        <w:rPr>
          <w:spacing w:val="-1"/>
          <w:sz w:val="20"/>
        </w:rPr>
        <w:t> </w:t>
      </w:r>
      <w:r>
        <w:rPr>
          <w:sz w:val="20"/>
        </w:rPr>
        <w:t>of</w:t>
      </w:r>
      <w:r>
        <w:rPr>
          <w:spacing w:val="-1"/>
          <w:sz w:val="20"/>
        </w:rPr>
        <w:t> </w:t>
      </w:r>
      <w:r>
        <w:rPr>
          <w:sz w:val="20"/>
        </w:rPr>
        <w:t>reinsurance</w:t>
      </w:r>
      <w:r>
        <w:rPr>
          <w:spacing w:val="-1"/>
          <w:sz w:val="20"/>
        </w:rPr>
        <w:t> </w:t>
      </w:r>
      <w:r>
        <w:rPr>
          <w:sz w:val="20"/>
        </w:rPr>
        <w:t>was</w:t>
      </w:r>
      <w:r>
        <w:rPr>
          <w:spacing w:val="-1"/>
          <w:sz w:val="20"/>
        </w:rPr>
        <w:t> </w:t>
      </w:r>
      <w:r>
        <w:rPr>
          <w:sz w:val="20"/>
        </w:rPr>
        <w:t>“neither cancellable nor voidable by either party” was held to apply only to cases of innocent misrepresentation or non-disclosure, and not to alleged negligence, nor to exclude the right to damages under Misrepresentation Act 1967 s.2(1): </w:t>
      </w:r>
      <w:r>
        <w:rPr>
          <w:rFonts w:ascii="Arial" w:hAnsi="Arial"/>
          <w:i/>
          <w:sz w:val="20"/>
        </w:rPr>
        <w:t>Toomey v Eagle Star Insurance Co Ltd (No.2) [1995] 2 Lloyd’s Rep. 88</w:t>
      </w:r>
      <w:r>
        <w:rPr>
          <w:sz w:val="20"/>
        </w:rPr>
        <w:t>. A disclaimer “without responsibility” does not prevent</w:t>
      </w:r>
      <w:r>
        <w:rPr>
          <w:spacing w:val="40"/>
          <w:sz w:val="20"/>
        </w:rPr>
        <w:t> </w:t>
      </w:r>
      <w:r>
        <w:rPr>
          <w:sz w:val="20"/>
        </w:rPr>
        <w:t>rescission on the ground of misrepresentation: </w:t>
      </w:r>
      <w:r>
        <w:rPr>
          <w:rFonts w:ascii="Arial" w:hAnsi="Arial"/>
          <w:i/>
          <w:sz w:val="20"/>
        </w:rPr>
        <w:t>Crédit Lyonnais Bank Nederland v Export Credit Guarantee Department [1996] 1 Lloyd’s Rep. 1</w:t>
      </w:r>
      <w:r>
        <w:rPr>
          <w:sz w:val="20"/>
        </w:rPr>
        <w:t>. However, a clause applying to “rights, obligations and liabilities arising … in connection with this contract” may apply to a claim for misrepresentation: </w:t>
      </w:r>
      <w:r>
        <w:rPr>
          <w:rFonts w:ascii="Arial" w:hAnsi="Arial"/>
          <w:i/>
          <w:sz w:val="20"/>
        </w:rPr>
        <w:t>Strachan &amp; Henshaw Ltd v Stein Industrie (UK) Ltd (No.2) (1997) 87 B.L.R. </w:t>
      </w:r>
      <w:r>
        <w:rPr>
          <w:rFonts w:ascii="Arial" w:hAnsi="Arial"/>
          <w:i/>
          <w:spacing w:val="-4"/>
          <w:sz w:val="20"/>
        </w:rPr>
        <w:t>52</w:t>
      </w:r>
      <w:r>
        <w:rPr>
          <w:spacing w:val="-4"/>
          <w:sz w:val="20"/>
        </w:rPr>
        <w:t>.</w:t>
      </w:r>
    </w:p>
    <w:p>
      <w:pPr>
        <w:pStyle w:val="BodyText"/>
        <w:spacing w:before="6"/>
      </w:pPr>
    </w:p>
    <w:p>
      <w:pPr>
        <w:spacing w:line="235" w:lineRule="auto" w:before="0"/>
        <w:ind w:left="705" w:right="167" w:hanging="541"/>
        <w:jc w:val="both"/>
        <w:rPr>
          <w:sz w:val="20"/>
        </w:rPr>
      </w:pPr>
      <w:bookmarkStart w:name="_bookmark1296" w:id="1298"/>
      <w:bookmarkEnd w:id="1298"/>
      <w:r>
        <w:rPr/>
      </w:r>
      <w:hyperlink w:history="true" w:anchor="_bookmark1241">
        <w:r>
          <w:rPr>
            <w:color w:val="005DA1"/>
            <w:position w:val="5"/>
            <w:sz w:val="14"/>
            <w:u w:val="single" w:color="005DA1"/>
          </w:rPr>
          <w:t>656</w:t>
        </w:r>
      </w:hyperlink>
      <w:r>
        <w:rPr>
          <w:position w:val="5"/>
          <w:sz w:val="14"/>
        </w:rPr>
        <w:t>.</w:t>
      </w:r>
      <w:r>
        <w:rPr>
          <w:spacing w:val="80"/>
          <w:position w:val="5"/>
          <w:sz w:val="14"/>
        </w:rPr>
        <w:t>  </w:t>
      </w:r>
      <w:r>
        <w:rPr>
          <w:rFonts w:ascii="Arial" w:hAnsi="Arial"/>
          <w:i/>
          <w:sz w:val="20"/>
        </w:rPr>
        <w:t>Cassa</w:t>
      </w:r>
      <w:r>
        <w:rPr>
          <w:rFonts w:ascii="Arial" w:hAnsi="Arial"/>
          <w:i/>
          <w:spacing w:val="25"/>
          <w:sz w:val="20"/>
        </w:rPr>
        <w:t> </w:t>
      </w:r>
      <w:r>
        <w:rPr>
          <w:rFonts w:ascii="Arial" w:hAnsi="Arial"/>
          <w:i/>
          <w:sz w:val="20"/>
        </w:rPr>
        <w:t>di</w:t>
      </w:r>
      <w:r>
        <w:rPr>
          <w:rFonts w:ascii="Arial" w:hAnsi="Arial"/>
          <w:i/>
          <w:spacing w:val="25"/>
          <w:sz w:val="20"/>
        </w:rPr>
        <w:t> </w:t>
      </w:r>
      <w:r>
        <w:rPr>
          <w:rFonts w:ascii="Arial" w:hAnsi="Arial"/>
          <w:i/>
          <w:sz w:val="20"/>
        </w:rPr>
        <w:t>Risparmio</w:t>
      </w:r>
      <w:r>
        <w:rPr>
          <w:rFonts w:ascii="Arial" w:hAnsi="Arial"/>
          <w:i/>
          <w:spacing w:val="25"/>
          <w:sz w:val="20"/>
        </w:rPr>
        <w:t> </w:t>
      </w:r>
      <w:r>
        <w:rPr>
          <w:rFonts w:ascii="Arial" w:hAnsi="Arial"/>
          <w:i/>
          <w:sz w:val="20"/>
        </w:rPr>
        <w:t>della</w:t>
      </w:r>
      <w:r>
        <w:rPr>
          <w:rFonts w:ascii="Arial" w:hAnsi="Arial"/>
          <w:i/>
          <w:spacing w:val="25"/>
          <w:sz w:val="20"/>
        </w:rPr>
        <w:t> </w:t>
      </w:r>
      <w:r>
        <w:rPr>
          <w:rFonts w:ascii="Arial" w:hAnsi="Arial"/>
          <w:i/>
          <w:sz w:val="20"/>
        </w:rPr>
        <w:t>Repubblica</w:t>
      </w:r>
      <w:r>
        <w:rPr>
          <w:rFonts w:ascii="Arial" w:hAnsi="Arial"/>
          <w:i/>
          <w:spacing w:val="25"/>
          <w:sz w:val="20"/>
        </w:rPr>
        <w:t> </w:t>
      </w:r>
      <w:r>
        <w:rPr>
          <w:rFonts w:ascii="Arial" w:hAnsi="Arial"/>
          <w:i/>
          <w:sz w:val="20"/>
        </w:rPr>
        <w:t>di</w:t>
      </w:r>
      <w:r>
        <w:rPr>
          <w:rFonts w:ascii="Arial" w:hAnsi="Arial"/>
          <w:i/>
          <w:spacing w:val="25"/>
          <w:sz w:val="20"/>
        </w:rPr>
        <w:t> </w:t>
      </w:r>
      <w:r>
        <w:rPr>
          <w:rFonts w:ascii="Arial" w:hAnsi="Arial"/>
          <w:i/>
          <w:sz w:val="20"/>
        </w:rPr>
        <w:t>San</w:t>
      </w:r>
      <w:r>
        <w:rPr>
          <w:rFonts w:ascii="Arial" w:hAnsi="Arial"/>
          <w:i/>
          <w:spacing w:val="25"/>
          <w:sz w:val="20"/>
        </w:rPr>
        <w:t> </w:t>
      </w:r>
      <w:r>
        <w:rPr>
          <w:rFonts w:ascii="Arial" w:hAnsi="Arial"/>
          <w:i/>
          <w:sz w:val="20"/>
        </w:rPr>
        <w:t>Marino</w:t>
      </w:r>
      <w:r>
        <w:rPr>
          <w:rFonts w:ascii="Arial" w:hAnsi="Arial"/>
          <w:i/>
          <w:spacing w:val="25"/>
          <w:sz w:val="20"/>
        </w:rPr>
        <w:t> </w:t>
      </w:r>
      <w:r>
        <w:rPr>
          <w:rFonts w:ascii="Arial" w:hAnsi="Arial"/>
          <w:i/>
          <w:sz w:val="20"/>
        </w:rPr>
        <w:t>SpA</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Barclays</w:t>
      </w:r>
      <w:r>
        <w:rPr>
          <w:rFonts w:ascii="Arial" w:hAnsi="Arial"/>
          <w:i/>
          <w:spacing w:val="25"/>
          <w:sz w:val="20"/>
        </w:rPr>
        <w:t> </w:t>
      </w:r>
      <w:r>
        <w:rPr>
          <w:rFonts w:ascii="Arial" w:hAnsi="Arial"/>
          <w:i/>
          <w:sz w:val="20"/>
        </w:rPr>
        <w:t>Bank</w:t>
      </w:r>
      <w:r>
        <w:rPr>
          <w:rFonts w:ascii="Arial" w:hAnsi="Arial"/>
          <w:i/>
          <w:spacing w:val="25"/>
          <w:sz w:val="20"/>
        </w:rPr>
        <w:t> </w:t>
      </w:r>
      <w:r>
        <w:rPr>
          <w:rFonts w:ascii="Arial" w:hAnsi="Arial"/>
          <w:i/>
          <w:sz w:val="20"/>
        </w:rPr>
        <w:t>Ltd</w:t>
      </w:r>
      <w:r>
        <w:rPr>
          <w:rFonts w:ascii="Arial" w:hAnsi="Arial"/>
          <w:i/>
          <w:spacing w:val="25"/>
          <w:sz w:val="20"/>
        </w:rPr>
        <w:t> </w:t>
      </w:r>
      <w:r>
        <w:rPr>
          <w:rFonts w:ascii="Arial" w:hAnsi="Arial"/>
          <w:i/>
          <w:sz w:val="20"/>
        </w:rPr>
        <w:t>[2011]</w:t>
      </w:r>
      <w:r>
        <w:rPr>
          <w:rFonts w:ascii="Arial" w:hAnsi="Arial"/>
          <w:i/>
          <w:spacing w:val="25"/>
          <w:sz w:val="20"/>
        </w:rPr>
        <w:t> </w:t>
      </w:r>
      <w:r>
        <w:rPr>
          <w:rFonts w:ascii="Arial" w:hAnsi="Arial"/>
          <w:i/>
          <w:sz w:val="20"/>
        </w:rPr>
        <w:t>EWHC 484 (Comm), [2011] 1 C.L.C. 701 </w:t>
      </w:r>
      <w:r>
        <w:rPr>
          <w:sz w:val="20"/>
        </w:rPr>
        <w:t>at [513]. However, the next sentence of the same clause, stating that “We are not relying on any communication (written or oral) from you as investment advice or as a recommendation” was effective under the principle to be discussed in the next </w:t>
      </w:r>
      <w:r>
        <w:rPr>
          <w:spacing w:val="-2"/>
          <w:sz w:val="20"/>
        </w:rPr>
        <w:t>paragraph.</w:t>
      </w:r>
    </w:p>
    <w:p>
      <w:pPr>
        <w:pStyle w:val="BodyText"/>
        <w:spacing w:before="4"/>
      </w:pPr>
    </w:p>
    <w:p>
      <w:pPr>
        <w:tabs>
          <w:tab w:pos="705" w:val="left" w:leader="none"/>
        </w:tabs>
        <w:spacing w:line="227" w:lineRule="exact" w:before="0"/>
        <w:ind w:left="165" w:right="0" w:firstLine="0"/>
        <w:jc w:val="left"/>
        <w:rPr>
          <w:rFonts w:ascii="Arial" w:hAnsi="Arial"/>
          <w:i/>
          <w:sz w:val="20"/>
        </w:rPr>
      </w:pPr>
      <w:bookmarkStart w:name="_bookmark1297" w:id="1299"/>
      <w:bookmarkEnd w:id="1299"/>
      <w:r>
        <w:rPr/>
      </w:r>
      <w:hyperlink w:history="true" w:anchor="_bookmark1242">
        <w:r>
          <w:rPr>
            <w:color w:val="005DA1"/>
            <w:spacing w:val="-4"/>
            <w:position w:val="5"/>
            <w:sz w:val="14"/>
            <w:u w:val="single" w:color="005DA1"/>
          </w:rPr>
          <w:t>657</w:t>
        </w:r>
      </w:hyperlink>
      <w:r>
        <w:rPr>
          <w:spacing w:val="-4"/>
          <w:position w:val="5"/>
          <w:sz w:val="14"/>
        </w:rPr>
        <w:t>.</w:t>
      </w:r>
      <w:r>
        <w:rPr>
          <w:position w:val="5"/>
          <w:sz w:val="14"/>
        </w:rPr>
        <w:tab/>
      </w:r>
      <w:r>
        <w:rPr>
          <w:rFonts w:ascii="Arial" w:hAnsi="Arial"/>
          <w:i/>
          <w:sz w:val="20"/>
        </w:rPr>
        <w:t>AXA</w:t>
      </w:r>
      <w:r>
        <w:rPr>
          <w:rFonts w:ascii="Arial" w:hAnsi="Arial"/>
          <w:i/>
          <w:spacing w:val="8"/>
          <w:sz w:val="20"/>
        </w:rPr>
        <w:t> </w:t>
      </w:r>
      <w:r>
        <w:rPr>
          <w:rFonts w:ascii="Arial" w:hAnsi="Arial"/>
          <w:i/>
          <w:sz w:val="20"/>
        </w:rPr>
        <w:t>Sun</w:t>
      </w:r>
      <w:r>
        <w:rPr>
          <w:rFonts w:ascii="Arial" w:hAnsi="Arial"/>
          <w:i/>
          <w:spacing w:val="8"/>
          <w:sz w:val="20"/>
        </w:rPr>
        <w:t> </w:t>
      </w:r>
      <w:r>
        <w:rPr>
          <w:rFonts w:ascii="Arial" w:hAnsi="Arial"/>
          <w:i/>
          <w:sz w:val="20"/>
        </w:rPr>
        <w:t>Life</w:t>
      </w:r>
      <w:r>
        <w:rPr>
          <w:rFonts w:ascii="Arial" w:hAnsi="Arial"/>
          <w:i/>
          <w:spacing w:val="8"/>
          <w:sz w:val="20"/>
        </w:rPr>
        <w:t> </w:t>
      </w:r>
      <w:r>
        <w:rPr>
          <w:rFonts w:ascii="Arial" w:hAnsi="Arial"/>
          <w:i/>
          <w:sz w:val="20"/>
        </w:rPr>
        <w:t>Services</w:t>
      </w:r>
      <w:r>
        <w:rPr>
          <w:rFonts w:ascii="Arial" w:hAnsi="Arial"/>
          <w:i/>
          <w:spacing w:val="8"/>
          <w:sz w:val="20"/>
        </w:rPr>
        <w:t> </w:t>
      </w:r>
      <w:r>
        <w:rPr>
          <w:rFonts w:ascii="Arial" w:hAnsi="Arial"/>
          <w:i/>
          <w:sz w:val="20"/>
        </w:rPr>
        <w:t>Plc</w:t>
      </w:r>
      <w:r>
        <w:rPr>
          <w:rFonts w:ascii="Arial" w:hAnsi="Arial"/>
          <w:i/>
          <w:spacing w:val="8"/>
          <w:sz w:val="20"/>
        </w:rPr>
        <w:t> </w:t>
      </w:r>
      <w:r>
        <w:rPr>
          <w:rFonts w:ascii="Arial" w:hAnsi="Arial"/>
          <w:i/>
          <w:sz w:val="20"/>
        </w:rPr>
        <w:t>v</w:t>
      </w:r>
      <w:r>
        <w:rPr>
          <w:rFonts w:ascii="Arial" w:hAnsi="Arial"/>
          <w:i/>
          <w:spacing w:val="8"/>
          <w:sz w:val="20"/>
        </w:rPr>
        <w:t> </w:t>
      </w:r>
      <w:r>
        <w:rPr>
          <w:rFonts w:ascii="Arial" w:hAnsi="Arial"/>
          <w:i/>
          <w:sz w:val="20"/>
        </w:rPr>
        <w:t>Campbell</w:t>
      </w:r>
      <w:r>
        <w:rPr>
          <w:rFonts w:ascii="Arial" w:hAnsi="Arial"/>
          <w:i/>
          <w:spacing w:val="8"/>
          <w:sz w:val="20"/>
        </w:rPr>
        <w:t> </w:t>
      </w:r>
      <w:r>
        <w:rPr>
          <w:rFonts w:ascii="Arial" w:hAnsi="Arial"/>
          <w:i/>
          <w:sz w:val="20"/>
        </w:rPr>
        <w:t>Martin</w:t>
      </w:r>
      <w:r>
        <w:rPr>
          <w:rFonts w:ascii="Arial" w:hAnsi="Arial"/>
          <w:i/>
          <w:spacing w:val="8"/>
          <w:sz w:val="20"/>
        </w:rPr>
        <w:t> </w:t>
      </w:r>
      <w:r>
        <w:rPr>
          <w:rFonts w:ascii="Arial" w:hAnsi="Arial"/>
          <w:i/>
          <w:sz w:val="20"/>
        </w:rPr>
        <w:t>Ltd</w:t>
      </w:r>
      <w:r>
        <w:rPr>
          <w:rFonts w:ascii="Arial" w:hAnsi="Arial"/>
          <w:i/>
          <w:spacing w:val="8"/>
          <w:sz w:val="20"/>
        </w:rPr>
        <w:t> </w:t>
      </w:r>
      <w:r>
        <w:rPr>
          <w:rFonts w:ascii="Arial" w:hAnsi="Arial"/>
          <w:i/>
          <w:sz w:val="20"/>
        </w:rPr>
        <w:t>[2011]</w:t>
      </w:r>
      <w:r>
        <w:rPr>
          <w:rFonts w:ascii="Arial" w:hAnsi="Arial"/>
          <w:i/>
          <w:spacing w:val="8"/>
          <w:sz w:val="20"/>
        </w:rPr>
        <w:t> </w:t>
      </w:r>
      <w:r>
        <w:rPr>
          <w:rFonts w:ascii="Arial" w:hAnsi="Arial"/>
          <w:i/>
          <w:sz w:val="20"/>
        </w:rPr>
        <w:t>EWCA</w:t>
      </w:r>
      <w:r>
        <w:rPr>
          <w:rFonts w:ascii="Arial" w:hAnsi="Arial"/>
          <w:i/>
          <w:spacing w:val="8"/>
          <w:sz w:val="20"/>
        </w:rPr>
        <w:t> </w:t>
      </w:r>
      <w:r>
        <w:rPr>
          <w:rFonts w:ascii="Arial" w:hAnsi="Arial"/>
          <w:i/>
          <w:sz w:val="20"/>
        </w:rPr>
        <w:t>Civ</w:t>
      </w:r>
      <w:r>
        <w:rPr>
          <w:rFonts w:ascii="Arial" w:hAnsi="Arial"/>
          <w:i/>
          <w:spacing w:val="8"/>
          <w:sz w:val="20"/>
        </w:rPr>
        <w:t> </w:t>
      </w:r>
      <w:r>
        <w:rPr>
          <w:rFonts w:ascii="Arial" w:hAnsi="Arial"/>
          <w:i/>
          <w:sz w:val="20"/>
        </w:rPr>
        <w:t>133,</w:t>
      </w:r>
      <w:r>
        <w:rPr>
          <w:rFonts w:ascii="Arial" w:hAnsi="Arial"/>
          <w:i/>
          <w:spacing w:val="8"/>
          <w:sz w:val="20"/>
        </w:rPr>
        <w:t> </w:t>
      </w:r>
      <w:r>
        <w:rPr>
          <w:rFonts w:ascii="Arial" w:hAnsi="Arial"/>
          <w:i/>
          <w:sz w:val="20"/>
        </w:rPr>
        <w:t>[2011]</w:t>
      </w:r>
      <w:r>
        <w:rPr>
          <w:rFonts w:ascii="Arial" w:hAnsi="Arial"/>
          <w:i/>
          <w:spacing w:val="8"/>
          <w:sz w:val="20"/>
        </w:rPr>
        <w:t> </w:t>
      </w:r>
      <w:r>
        <w:rPr>
          <w:rFonts w:ascii="Arial" w:hAnsi="Arial"/>
          <w:i/>
          <w:sz w:val="20"/>
        </w:rPr>
        <w:t>2</w:t>
      </w:r>
      <w:r>
        <w:rPr>
          <w:rFonts w:ascii="Arial" w:hAnsi="Arial"/>
          <w:i/>
          <w:spacing w:val="8"/>
          <w:sz w:val="20"/>
        </w:rPr>
        <w:t> </w:t>
      </w:r>
      <w:r>
        <w:rPr>
          <w:rFonts w:ascii="Arial" w:hAnsi="Arial"/>
          <w:i/>
          <w:sz w:val="20"/>
        </w:rPr>
        <w:t>Lloyd’s</w:t>
      </w:r>
      <w:r>
        <w:rPr>
          <w:rFonts w:ascii="Arial" w:hAnsi="Arial"/>
          <w:i/>
          <w:spacing w:val="8"/>
          <w:sz w:val="20"/>
        </w:rPr>
        <w:t> </w:t>
      </w:r>
      <w:r>
        <w:rPr>
          <w:rFonts w:ascii="Arial" w:hAnsi="Arial"/>
          <w:i/>
          <w:spacing w:val="-4"/>
          <w:sz w:val="20"/>
        </w:rPr>
        <w:t>Rep.</w:t>
      </w:r>
    </w:p>
    <w:p>
      <w:pPr>
        <w:pStyle w:val="BodyText"/>
        <w:spacing w:line="235" w:lineRule="auto" w:before="2"/>
        <w:ind w:left="705" w:right="167"/>
        <w:jc w:val="both"/>
      </w:pPr>
      <w:r>
        <w:rPr>
          <w:rFonts w:ascii="Arial" w:hAnsi="Arial"/>
          <w:i/>
        </w:rPr>
        <w:t>1</w:t>
      </w:r>
      <w:r>
        <w:rPr/>
        <w:t>. The decision is criticised by A. Trukhtanov (2011) 127 L.Q.R. 345. In </w:t>
      </w:r>
      <w:r>
        <w:rPr>
          <w:rFonts w:ascii="Arial" w:hAnsi="Arial"/>
          <w:i/>
        </w:rPr>
        <w:t>Mears Ltd v </w:t>
      </w:r>
      <w:r>
        <w:rPr>
          <w:rFonts w:ascii="Arial" w:hAnsi="Arial"/>
          <w:i/>
        </w:rPr>
        <w:t>Shoreline Housing Partnership Ltd [2013] EWCA Civ 639 </w:t>
      </w:r>
      <w:r>
        <w:rPr/>
        <w:t>the entire agreement clause did not exclude liability for misrepresentation: see at [16]. However, in </w:t>
      </w:r>
      <w:r>
        <w:rPr>
          <w:rFonts w:ascii="Arial" w:hAnsi="Arial"/>
          <w:i/>
        </w:rPr>
        <w:t>Bikam OOD v Adria Cable Sarl </w:t>
      </w:r>
      <w:r>
        <w:rPr>
          <w:rFonts w:ascii="Arial" w:hAnsi="Arial"/>
          <w:i/>
        </w:rPr>
        <w:t>[2012] EWHC 621 (Comm)</w:t>
      </w:r>
      <w:r>
        <w:rPr/>
        <w:t>, where in one clause of the contract the seller acknowledged the buyer’s reliance</w:t>
      </w:r>
      <w:r>
        <w:rPr>
          <w:spacing w:val="-2"/>
        </w:rPr>
        <w:t> </w:t>
      </w:r>
      <w:r>
        <w:rPr/>
        <w:t>on</w:t>
      </w:r>
      <w:r>
        <w:rPr>
          <w:spacing w:val="-2"/>
        </w:rPr>
        <w:t> </w:t>
      </w:r>
      <w:r>
        <w:rPr/>
        <w:t>specified</w:t>
      </w:r>
      <w:r>
        <w:rPr>
          <w:spacing w:val="-2"/>
        </w:rPr>
        <w:t> </w:t>
      </w:r>
      <w:r>
        <w:rPr/>
        <w:t>warranties</w:t>
      </w:r>
      <w:r>
        <w:rPr>
          <w:spacing w:val="-2"/>
        </w:rPr>
        <w:t> </w:t>
      </w:r>
      <w:r>
        <w:rPr/>
        <w:t>by</w:t>
      </w:r>
      <w:r>
        <w:rPr>
          <w:spacing w:val="-2"/>
        </w:rPr>
        <w:t> </w:t>
      </w:r>
      <w:r>
        <w:rPr/>
        <w:t>the</w:t>
      </w:r>
      <w:r>
        <w:rPr>
          <w:spacing w:val="-2"/>
        </w:rPr>
        <w:t> </w:t>
      </w:r>
      <w:r>
        <w:rPr/>
        <w:t>seller,</w:t>
      </w:r>
      <w:r>
        <w:rPr>
          <w:spacing w:val="-2"/>
        </w:rPr>
        <w:t> </w:t>
      </w:r>
      <w:r>
        <w:rPr/>
        <w:t>it</w:t>
      </w:r>
      <w:r>
        <w:rPr>
          <w:spacing w:val="-2"/>
        </w:rPr>
        <w:t> </w:t>
      </w:r>
      <w:r>
        <w:rPr/>
        <w:t>was</w:t>
      </w:r>
      <w:r>
        <w:rPr>
          <w:spacing w:val="-2"/>
        </w:rPr>
        <w:t> </w:t>
      </w:r>
      <w:r>
        <w:rPr/>
        <w:t>held</w:t>
      </w:r>
      <w:r>
        <w:rPr>
          <w:spacing w:val="-2"/>
        </w:rPr>
        <w:t> </w:t>
      </w:r>
      <w:r>
        <w:rPr/>
        <w:t>that</w:t>
      </w:r>
      <w:r>
        <w:rPr>
          <w:spacing w:val="-2"/>
        </w:rPr>
        <w:t> </w:t>
      </w:r>
      <w:r>
        <w:rPr/>
        <w:t>the</w:t>
      </w:r>
      <w:r>
        <w:rPr>
          <w:spacing w:val="-2"/>
        </w:rPr>
        <w:t> </w:t>
      </w:r>
      <w:r>
        <w:rPr/>
        <w:t>effect</w:t>
      </w:r>
      <w:r>
        <w:rPr>
          <w:spacing w:val="-2"/>
        </w:rPr>
        <w:t> </w:t>
      </w:r>
      <w:r>
        <w:rPr/>
        <w:t>of</w:t>
      </w:r>
      <w:r>
        <w:rPr>
          <w:spacing w:val="-2"/>
        </w:rPr>
        <w:t> </w:t>
      </w:r>
      <w:r>
        <w:rPr/>
        <w:t>an</w:t>
      </w:r>
      <w:r>
        <w:rPr>
          <w:spacing w:val="-2"/>
        </w:rPr>
        <w:t> </w:t>
      </w:r>
      <w:r>
        <w:rPr/>
        <w:t>“entire</w:t>
      </w:r>
      <w:r>
        <w:rPr>
          <w:spacing w:val="-2"/>
        </w:rPr>
        <w:t> </w:t>
      </w:r>
      <w:r>
        <w:rPr/>
        <w:t>agreement” clause was that, subject to the exception of fraud, the parties’ rights were confined to </w:t>
      </w:r>
      <w:r>
        <w:rPr/>
        <w:t>those arising under the agreement, and rights in respect of warranties and representations </w:t>
      </w:r>
      <w:r>
        <w:rPr/>
        <w:t>not expressly set out in the agreement were waived (at [45]).</w:t>
      </w:r>
    </w:p>
    <w:p>
      <w:pPr>
        <w:pStyle w:val="BodyText"/>
        <w:spacing w:before="6"/>
      </w:pPr>
    </w:p>
    <w:p>
      <w:pPr>
        <w:spacing w:line="235" w:lineRule="auto" w:before="1"/>
        <w:ind w:left="705" w:right="167" w:hanging="541"/>
        <w:jc w:val="both"/>
        <w:rPr>
          <w:sz w:val="20"/>
        </w:rPr>
      </w:pPr>
      <w:bookmarkStart w:name="_bookmark1298" w:id="1300"/>
      <w:bookmarkEnd w:id="1300"/>
      <w:r>
        <w:rPr/>
      </w:r>
      <w:hyperlink w:history="true" w:anchor="_bookmark1243">
        <w:r>
          <w:rPr>
            <w:color w:val="005DA1"/>
            <w:position w:val="5"/>
            <w:sz w:val="14"/>
            <w:u w:val="single" w:color="005DA1"/>
          </w:rPr>
          <w:t>658</w:t>
        </w:r>
      </w:hyperlink>
      <w:r>
        <w:rPr>
          <w:position w:val="5"/>
          <w:sz w:val="14"/>
        </w:rPr>
        <w:t>.</w:t>
      </w:r>
      <w:r>
        <w:rPr>
          <w:spacing w:val="40"/>
          <w:position w:val="5"/>
          <w:sz w:val="14"/>
        </w:rPr>
        <w:t>  </w:t>
      </w:r>
      <w:r>
        <w:rPr>
          <w:sz w:val="20"/>
        </w:rPr>
        <w:t>Chadwick L.J. in </w:t>
      </w:r>
      <w:r>
        <w:rPr>
          <w:rFonts w:ascii="Arial"/>
          <w:i/>
          <w:sz w:val="20"/>
        </w:rPr>
        <w:t>Watford Electronics Ltd v Sanderson CFL Ltd [2001] EWCA Civ 317, </w:t>
      </w:r>
      <w:r>
        <w:rPr>
          <w:rFonts w:ascii="Arial"/>
          <w:i/>
          <w:sz w:val="20"/>
        </w:rPr>
        <w:t>[2001] Build. L.R. 143 </w:t>
      </w:r>
      <w:r>
        <w:rPr>
          <w:sz w:val="20"/>
        </w:rPr>
        <w:t>at [40], referring to the requirements for evidential estoppel identified by the Court of Appeal in </w:t>
      </w:r>
      <w:r>
        <w:rPr>
          <w:rFonts w:ascii="Arial"/>
          <w:i/>
          <w:sz w:val="20"/>
        </w:rPr>
        <w:t>Lowe v Lombank Ltd [1960] 1 W.L.R. 196 </w:t>
      </w:r>
      <w:r>
        <w:rPr>
          <w:sz w:val="20"/>
        </w:rPr>
        <w:t>and citing his own unreported decision in </w:t>
      </w:r>
      <w:r>
        <w:rPr>
          <w:rFonts w:ascii="Arial"/>
          <w:i/>
          <w:sz w:val="20"/>
        </w:rPr>
        <w:t>E A Grimstead &amp; Son Ltd v McGarrigan unreported October 27, 1999</w:t>
      </w:r>
      <w:r>
        <w:rPr>
          <w:sz w:val="20"/>
        </w:rPr>
        <w:t>. This dictum was applied in </w:t>
      </w:r>
      <w:r>
        <w:rPr>
          <w:rFonts w:ascii="Arial"/>
          <w:i/>
          <w:sz w:val="20"/>
        </w:rPr>
        <w:t>Quest 4 Finance Ltd v Maxfield [2007] EWHC 2313 (QB), [2007] 2 C.L.C. 706</w:t>
      </w:r>
      <w:r>
        <w:rPr>
          <w:sz w:val="20"/>
        </w:rPr>
        <w:t>. Whether a non-reliance clause is caught by Misrepresentation Act s.3 is discussed below at </w:t>
      </w:r>
      <w:r>
        <w:rPr>
          <w:spacing w:val="-2"/>
          <w:sz w:val="20"/>
        </w:rPr>
        <w:t>para.7-150.</w:t>
      </w:r>
    </w:p>
    <w:p>
      <w:pPr>
        <w:pStyle w:val="BodyText"/>
        <w:spacing w:before="7"/>
      </w:pPr>
    </w:p>
    <w:p>
      <w:pPr>
        <w:spacing w:line="235" w:lineRule="auto" w:before="0"/>
        <w:ind w:left="705" w:right="167" w:hanging="541"/>
        <w:jc w:val="both"/>
        <w:rPr>
          <w:rFonts w:ascii="Arial" w:hAnsi="Arial"/>
          <w:i/>
          <w:sz w:val="20"/>
        </w:rPr>
      </w:pPr>
      <w:bookmarkStart w:name="_bookmark1299" w:id="1301"/>
      <w:bookmarkEnd w:id="1301"/>
      <w:r>
        <w:rPr/>
      </w:r>
      <w:hyperlink w:history="true" w:anchor="_bookmark1244">
        <w:r>
          <w:rPr>
            <w:color w:val="005DA1"/>
            <w:position w:val="5"/>
            <w:sz w:val="14"/>
            <w:u w:val="single" w:color="005DA1"/>
          </w:rPr>
          <w:t>659</w:t>
        </w:r>
      </w:hyperlink>
      <w:r>
        <w:rPr>
          <w:position w:val="5"/>
          <w:sz w:val="14"/>
        </w:rPr>
        <w:t>.</w:t>
      </w:r>
      <w:r>
        <w:rPr>
          <w:spacing w:val="40"/>
          <w:position w:val="5"/>
          <w:sz w:val="14"/>
        </w:rPr>
        <w:t>  </w:t>
      </w:r>
      <w:r>
        <w:rPr>
          <w:rFonts w:ascii="Arial" w:hAnsi="Arial"/>
          <w:i/>
          <w:sz w:val="20"/>
        </w:rPr>
        <w:t>Peekay Intermark Ltd v Australia &amp; New Zealand Banking Group Ltd [2006] EWCA Civ </w:t>
      </w:r>
      <w:r>
        <w:rPr>
          <w:rFonts w:ascii="Arial" w:hAnsi="Arial"/>
          <w:i/>
          <w:sz w:val="20"/>
        </w:rPr>
        <w:t>386, [2006] 2 Lloyd’s Rep. 511 </w:t>
      </w:r>
      <w:r>
        <w:rPr>
          <w:sz w:val="20"/>
        </w:rPr>
        <w:t>at [54]–[60], referring to </w:t>
      </w:r>
      <w:r>
        <w:rPr>
          <w:rFonts w:ascii="Arial" w:hAnsi="Arial"/>
          <w:i/>
          <w:sz w:val="20"/>
        </w:rPr>
        <w:t>Colchester BC v Smith [1991] Ch. 448, affirmed on appeal [1992] Ch. 421</w:t>
      </w:r>
      <w:r>
        <w:rPr>
          <w:sz w:val="20"/>
        </w:rPr>
        <w:t>; Moore-Bick L.J’s analysis was followed in several first instance decisions, e.g. </w:t>
      </w:r>
      <w:r>
        <w:rPr>
          <w:rFonts w:ascii="Arial" w:hAnsi="Arial"/>
          <w:i/>
          <w:sz w:val="20"/>
        </w:rPr>
        <w:t>Donegal International Ltd v Zambia [2007] EWHC 197 (Comm), [2007] 1</w:t>
      </w:r>
      <w:r>
        <w:rPr>
          <w:rFonts w:ascii="Arial" w:hAnsi="Arial"/>
          <w:i/>
          <w:spacing w:val="10"/>
          <w:sz w:val="20"/>
        </w:rPr>
        <w:t> </w:t>
      </w:r>
      <w:r>
        <w:rPr>
          <w:rFonts w:ascii="Arial" w:hAnsi="Arial"/>
          <w:i/>
          <w:sz w:val="20"/>
        </w:rPr>
        <w:t>Lloyd’s</w:t>
      </w:r>
      <w:r>
        <w:rPr>
          <w:rFonts w:ascii="Arial" w:hAnsi="Arial"/>
          <w:i/>
          <w:spacing w:val="11"/>
          <w:sz w:val="20"/>
        </w:rPr>
        <w:t> </w:t>
      </w:r>
      <w:r>
        <w:rPr>
          <w:rFonts w:ascii="Arial" w:hAnsi="Arial"/>
          <w:i/>
          <w:sz w:val="20"/>
        </w:rPr>
        <w:t>Rep.</w:t>
      </w:r>
      <w:r>
        <w:rPr>
          <w:rFonts w:ascii="Arial" w:hAnsi="Arial"/>
          <w:i/>
          <w:spacing w:val="11"/>
          <w:sz w:val="20"/>
        </w:rPr>
        <w:t> </w:t>
      </w:r>
      <w:r>
        <w:rPr>
          <w:rFonts w:ascii="Arial" w:hAnsi="Arial"/>
          <w:i/>
          <w:sz w:val="20"/>
        </w:rPr>
        <w:t>397</w:t>
      </w:r>
      <w:r>
        <w:rPr>
          <w:sz w:val="20"/>
        </w:rPr>
        <w:t>,</w:t>
      </w:r>
      <w:r>
        <w:rPr>
          <w:spacing w:val="11"/>
          <w:sz w:val="20"/>
        </w:rPr>
        <w:t> </w:t>
      </w:r>
      <w:r>
        <w:rPr>
          <w:sz w:val="20"/>
        </w:rPr>
        <w:t>see</w:t>
      </w:r>
      <w:r>
        <w:rPr>
          <w:spacing w:val="11"/>
          <w:sz w:val="20"/>
        </w:rPr>
        <w:t> </w:t>
      </w:r>
      <w:r>
        <w:rPr>
          <w:sz w:val="20"/>
        </w:rPr>
        <w:t>at</w:t>
      </w:r>
      <w:r>
        <w:rPr>
          <w:spacing w:val="11"/>
          <w:sz w:val="20"/>
        </w:rPr>
        <w:t> </w:t>
      </w:r>
      <w:r>
        <w:rPr>
          <w:sz w:val="20"/>
        </w:rPr>
        <w:t>[465];</w:t>
      </w:r>
      <w:r>
        <w:rPr>
          <w:spacing w:val="11"/>
          <w:sz w:val="20"/>
        </w:rPr>
        <w:t> </w:t>
      </w:r>
      <w:r>
        <w:rPr>
          <w:rFonts w:ascii="Arial" w:hAnsi="Arial"/>
          <w:i/>
          <w:sz w:val="20"/>
        </w:rPr>
        <w:t>JP</w:t>
      </w:r>
      <w:r>
        <w:rPr>
          <w:rFonts w:ascii="Arial" w:hAnsi="Arial"/>
          <w:i/>
          <w:spacing w:val="11"/>
          <w:sz w:val="20"/>
        </w:rPr>
        <w:t> </w:t>
      </w:r>
      <w:r>
        <w:rPr>
          <w:rFonts w:ascii="Arial" w:hAnsi="Arial"/>
          <w:i/>
          <w:sz w:val="20"/>
        </w:rPr>
        <w:t>Morgan</w:t>
      </w:r>
      <w:r>
        <w:rPr>
          <w:rFonts w:ascii="Arial" w:hAnsi="Arial"/>
          <w:i/>
          <w:spacing w:val="11"/>
          <w:sz w:val="20"/>
        </w:rPr>
        <w:t> </w:t>
      </w:r>
      <w:r>
        <w:rPr>
          <w:rFonts w:ascii="Arial" w:hAnsi="Arial"/>
          <w:i/>
          <w:sz w:val="20"/>
        </w:rPr>
        <w:t>Bank</w:t>
      </w:r>
      <w:r>
        <w:rPr>
          <w:rFonts w:ascii="Arial" w:hAnsi="Arial"/>
          <w:i/>
          <w:spacing w:val="11"/>
          <w:sz w:val="20"/>
        </w:rPr>
        <w:t> </w:t>
      </w:r>
      <w:r>
        <w:rPr>
          <w:rFonts w:ascii="Arial" w:hAnsi="Arial"/>
          <w:i/>
          <w:sz w:val="20"/>
        </w:rPr>
        <w:t>v</w:t>
      </w:r>
      <w:r>
        <w:rPr>
          <w:rFonts w:ascii="Arial" w:hAnsi="Arial"/>
          <w:i/>
          <w:spacing w:val="11"/>
          <w:sz w:val="20"/>
        </w:rPr>
        <w:t> </w:t>
      </w:r>
      <w:r>
        <w:rPr>
          <w:rFonts w:ascii="Arial" w:hAnsi="Arial"/>
          <w:i/>
          <w:sz w:val="20"/>
        </w:rPr>
        <w:t>Springwell</w:t>
      </w:r>
      <w:r>
        <w:rPr>
          <w:rFonts w:ascii="Arial" w:hAnsi="Arial"/>
          <w:i/>
          <w:spacing w:val="11"/>
          <w:sz w:val="20"/>
        </w:rPr>
        <w:t> </w:t>
      </w:r>
      <w:r>
        <w:rPr>
          <w:rFonts w:ascii="Arial" w:hAnsi="Arial"/>
          <w:i/>
          <w:sz w:val="20"/>
        </w:rPr>
        <w:t>Navigation</w:t>
      </w:r>
      <w:r>
        <w:rPr>
          <w:rFonts w:ascii="Arial" w:hAnsi="Arial"/>
          <w:i/>
          <w:spacing w:val="11"/>
          <w:sz w:val="20"/>
        </w:rPr>
        <w:t> </w:t>
      </w:r>
      <w:r>
        <w:rPr>
          <w:rFonts w:ascii="Arial" w:hAnsi="Arial"/>
          <w:i/>
          <w:sz w:val="20"/>
        </w:rPr>
        <w:t>Corp</w:t>
      </w:r>
      <w:r>
        <w:rPr>
          <w:rFonts w:ascii="Arial" w:hAnsi="Arial"/>
          <w:i/>
          <w:spacing w:val="11"/>
          <w:sz w:val="20"/>
        </w:rPr>
        <w:t> </w:t>
      </w:r>
      <w:r>
        <w:rPr>
          <w:rFonts w:ascii="Arial" w:hAnsi="Arial"/>
          <w:i/>
          <w:sz w:val="20"/>
        </w:rPr>
        <w:t>[2008]</w:t>
      </w:r>
      <w:r>
        <w:rPr>
          <w:rFonts w:ascii="Arial" w:hAnsi="Arial"/>
          <w:i/>
          <w:spacing w:val="11"/>
          <w:sz w:val="20"/>
        </w:rPr>
        <w:t> </w:t>
      </w:r>
      <w:r>
        <w:rPr>
          <w:rFonts w:ascii="Arial" w:hAnsi="Arial"/>
          <w:i/>
          <w:spacing w:val="-4"/>
          <w:sz w:val="20"/>
        </w:rPr>
        <w:t>EWHC</w:t>
      </w:r>
    </w:p>
    <w:p>
      <w:pPr>
        <w:spacing w:after="0" w:line="235" w:lineRule="auto"/>
        <w:jc w:val="both"/>
        <w:rPr>
          <w:rFonts w:ascii="Arial" w:hAnsi="Arial"/>
          <w:i/>
          <w:sz w:val="20"/>
        </w:rPr>
        <w:sectPr>
          <w:pgSz w:w="11900" w:h="16840"/>
          <w:pgMar w:header="971" w:footer="0" w:top="1160" w:bottom="280" w:left="1275" w:right="1275"/>
        </w:sectPr>
      </w:pPr>
    </w:p>
    <w:p>
      <w:pPr>
        <w:pStyle w:val="BodyText"/>
        <w:spacing w:before="24"/>
        <w:rPr>
          <w:rFonts w:ascii="Arial"/>
          <w:i/>
        </w:rPr>
      </w:pPr>
    </w:p>
    <w:p>
      <w:pPr>
        <w:spacing w:line="235" w:lineRule="auto" w:before="1"/>
        <w:ind w:left="705" w:right="167" w:firstLine="0"/>
        <w:jc w:val="both"/>
        <w:rPr>
          <w:sz w:val="20"/>
        </w:rPr>
      </w:pPr>
      <w:r>
        <w:rPr>
          <w:rFonts w:ascii="Arial" w:hAnsi="Arial"/>
          <w:i/>
          <w:sz w:val="20"/>
        </w:rPr>
        <w:t>1186 (Comm)</w:t>
      </w:r>
      <w:r>
        <w:rPr>
          <w:sz w:val="20"/>
        </w:rPr>
        <w:t>, see at [536]–[567] (holding that the principle stated in the </w:t>
      </w:r>
      <w:r>
        <w:rPr>
          <w:rFonts w:ascii="Arial" w:hAnsi="Arial"/>
          <w:i/>
          <w:sz w:val="20"/>
        </w:rPr>
        <w:t>Peekay </w:t>
      </w:r>
      <w:r>
        <w:rPr>
          <w:sz w:val="20"/>
        </w:rPr>
        <w:t>case </w:t>
      </w:r>
      <w:r>
        <w:rPr>
          <w:sz w:val="20"/>
        </w:rPr>
        <w:t>formed part of the ratio, see [556]–[559]); for the Court of Appeal decision in this case, see n.641</w:t>
      </w:r>
      <w:r>
        <w:rPr>
          <w:spacing w:val="40"/>
          <w:sz w:val="20"/>
        </w:rPr>
        <w:t> </w:t>
      </w:r>
      <w:r>
        <w:rPr>
          <w:sz w:val="20"/>
        </w:rPr>
        <w:t>below; </w:t>
      </w:r>
      <w:r>
        <w:rPr>
          <w:rFonts w:ascii="Arial" w:hAnsi="Arial"/>
          <w:i/>
          <w:sz w:val="20"/>
        </w:rPr>
        <w:t>Trident Turboprop (Dublin) Ltd v First Flight Couriers Ltd [2008] EWHC 1686 (Comm), [2009] 1 All E.R. (Comm) 16</w:t>
      </w:r>
      <w:r>
        <w:rPr>
          <w:sz w:val="20"/>
        </w:rPr>
        <w:t>, at [33]–[36] (affirmed </w:t>
      </w:r>
      <w:r>
        <w:rPr>
          <w:rFonts w:ascii="Arial" w:hAnsi="Arial"/>
          <w:i/>
          <w:sz w:val="20"/>
        </w:rPr>
        <w:t>[2009] EWCA Civ 290</w:t>
      </w:r>
      <w:r>
        <w:rPr>
          <w:sz w:val="20"/>
        </w:rPr>
        <w:t>, see para.7-148; the trial judge’s decision on this point was not appealed, see at [8]); </w:t>
      </w:r>
      <w:r>
        <w:rPr>
          <w:rFonts w:ascii="Arial" w:hAnsi="Arial"/>
          <w:i/>
          <w:sz w:val="20"/>
        </w:rPr>
        <w:t>Titan Steel Wheels Ltd v Royal Bank of Scotland Plc [2010] EWHC 211 (Comm)</w:t>
      </w:r>
      <w:r>
        <w:rPr>
          <w:sz w:val="20"/>
        </w:rPr>
        <w:t>, see at [87]–[89]; </w:t>
      </w:r>
      <w:r>
        <w:rPr>
          <w:rFonts w:ascii="Arial" w:hAnsi="Arial"/>
          <w:i/>
          <w:sz w:val="20"/>
        </w:rPr>
        <w:t>FoodCo UK LLP (t/a Muffin Break) v Henry Boot Developments Ltd [2010] EWHC 358 (Ch) </w:t>
      </w:r>
      <w:r>
        <w:rPr>
          <w:sz w:val="20"/>
        </w:rPr>
        <w:t>at [168]–[171]; and </w:t>
      </w:r>
      <w:r>
        <w:rPr>
          <w:rFonts w:ascii="Arial" w:hAnsi="Arial"/>
          <w:i/>
          <w:sz w:val="20"/>
        </w:rPr>
        <w:t>Raiffeisen Zentralbank Osterreich AG v Royal Bank of Scotland Plc [2010] EWHC 1392 (Comm), [2011] 1 Lloyd’s Rep. 123</w:t>
      </w:r>
      <w:r>
        <w:rPr>
          <w:sz w:val="20"/>
        </w:rPr>
        <w:t>. See generally A. Trukhtanov (2009) 125 L.Q.R. 648. On estoppel by convention and by contract see above, paras 4-108 et seq.</w:t>
      </w:r>
    </w:p>
    <w:p>
      <w:pPr>
        <w:pStyle w:val="BodyText"/>
        <w:spacing w:before="6"/>
      </w:pPr>
    </w:p>
    <w:p>
      <w:pPr>
        <w:spacing w:line="235" w:lineRule="auto" w:before="0"/>
        <w:ind w:left="705" w:right="167" w:hanging="541"/>
        <w:jc w:val="both"/>
        <w:rPr>
          <w:sz w:val="20"/>
        </w:rPr>
      </w:pPr>
      <w:bookmarkStart w:name="_bookmark1300" w:id="1302"/>
      <w:bookmarkEnd w:id="1302"/>
      <w:r>
        <w:rPr/>
      </w:r>
      <w:hyperlink w:history="true" w:anchor="_bookmark1245">
        <w:r>
          <w:rPr>
            <w:color w:val="005DA1"/>
            <w:position w:val="5"/>
            <w:sz w:val="14"/>
            <w:u w:val="single" w:color="005DA1"/>
          </w:rPr>
          <w:t>660</w:t>
        </w:r>
      </w:hyperlink>
      <w:r>
        <w:rPr>
          <w:position w:val="5"/>
          <w:sz w:val="14"/>
        </w:rPr>
        <w:t>.</w:t>
      </w:r>
      <w:r>
        <w:rPr>
          <w:spacing w:val="80"/>
          <w:position w:val="5"/>
          <w:sz w:val="14"/>
        </w:rPr>
        <w:t> </w:t>
      </w:r>
      <w:r>
        <w:rPr>
          <w:rFonts w:ascii="Arial" w:hAnsi="Arial"/>
          <w:i/>
          <w:sz w:val="20"/>
        </w:rPr>
        <w:t>[2010] EWCA Civ 1221, [2010] 2 C.L.C. 705 </w:t>
      </w:r>
      <w:r>
        <w:rPr>
          <w:sz w:val="20"/>
        </w:rPr>
        <w:t>at [169]. See also </w:t>
      </w:r>
      <w:r>
        <w:rPr>
          <w:rFonts w:ascii="Arial" w:hAnsi="Arial"/>
          <w:i/>
          <w:sz w:val="20"/>
        </w:rPr>
        <w:t>Cassa di Risparmio della Repubblica</w:t>
      </w:r>
      <w:r>
        <w:rPr>
          <w:rFonts w:ascii="Arial" w:hAnsi="Arial"/>
          <w:i/>
          <w:spacing w:val="-1"/>
          <w:sz w:val="20"/>
        </w:rPr>
        <w:t> </w:t>
      </w:r>
      <w:r>
        <w:rPr>
          <w:rFonts w:ascii="Arial" w:hAnsi="Arial"/>
          <w:i/>
          <w:sz w:val="20"/>
        </w:rPr>
        <w:t>di</w:t>
      </w:r>
      <w:r>
        <w:rPr>
          <w:rFonts w:ascii="Arial" w:hAnsi="Arial"/>
          <w:i/>
          <w:spacing w:val="-1"/>
          <w:sz w:val="20"/>
        </w:rPr>
        <w:t> </w:t>
      </w:r>
      <w:r>
        <w:rPr>
          <w:rFonts w:ascii="Arial" w:hAnsi="Arial"/>
          <w:i/>
          <w:sz w:val="20"/>
        </w:rPr>
        <w:t>San</w:t>
      </w:r>
      <w:r>
        <w:rPr>
          <w:rFonts w:ascii="Arial" w:hAnsi="Arial"/>
          <w:i/>
          <w:spacing w:val="-1"/>
          <w:sz w:val="20"/>
        </w:rPr>
        <w:t> </w:t>
      </w:r>
      <w:r>
        <w:rPr>
          <w:rFonts w:ascii="Arial" w:hAnsi="Arial"/>
          <w:i/>
          <w:sz w:val="20"/>
        </w:rPr>
        <w:t>Marino</w:t>
      </w:r>
      <w:r>
        <w:rPr>
          <w:rFonts w:ascii="Arial" w:hAnsi="Arial"/>
          <w:i/>
          <w:spacing w:val="-1"/>
          <w:sz w:val="20"/>
        </w:rPr>
        <w:t> </w:t>
      </w:r>
      <w:r>
        <w:rPr>
          <w:rFonts w:ascii="Arial" w:hAnsi="Arial"/>
          <w:i/>
          <w:sz w:val="20"/>
        </w:rPr>
        <w:t>SpA</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Barclays</w:t>
      </w:r>
      <w:r>
        <w:rPr>
          <w:rFonts w:ascii="Arial" w:hAnsi="Arial"/>
          <w:i/>
          <w:spacing w:val="-1"/>
          <w:sz w:val="20"/>
        </w:rPr>
        <w:t> </w:t>
      </w:r>
      <w:r>
        <w:rPr>
          <w:rFonts w:ascii="Arial" w:hAnsi="Arial"/>
          <w:i/>
          <w:sz w:val="20"/>
        </w:rPr>
        <w:t>Bank</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[2011]</w:t>
      </w:r>
      <w:r>
        <w:rPr>
          <w:rFonts w:ascii="Arial" w:hAnsi="Arial"/>
          <w:i/>
          <w:spacing w:val="-1"/>
          <w:sz w:val="20"/>
        </w:rPr>
        <w:t> </w:t>
      </w:r>
      <w:r>
        <w:rPr>
          <w:rFonts w:ascii="Arial" w:hAnsi="Arial"/>
          <w:i/>
          <w:sz w:val="20"/>
        </w:rPr>
        <w:t>EWHC</w:t>
      </w:r>
      <w:r>
        <w:rPr>
          <w:rFonts w:ascii="Arial" w:hAnsi="Arial"/>
          <w:i/>
          <w:spacing w:val="-1"/>
          <w:sz w:val="20"/>
        </w:rPr>
        <w:t> </w:t>
      </w:r>
      <w:r>
        <w:rPr>
          <w:rFonts w:ascii="Arial" w:hAnsi="Arial"/>
          <w:i/>
          <w:sz w:val="20"/>
        </w:rPr>
        <w:t>484</w:t>
      </w:r>
      <w:r>
        <w:rPr>
          <w:rFonts w:ascii="Arial" w:hAnsi="Arial"/>
          <w:i/>
          <w:spacing w:val="-1"/>
          <w:sz w:val="20"/>
        </w:rPr>
        <w:t> </w:t>
      </w:r>
      <w:r>
        <w:rPr>
          <w:rFonts w:ascii="Arial" w:hAnsi="Arial"/>
          <w:i/>
          <w:sz w:val="20"/>
        </w:rPr>
        <w:t>(Comm),</w:t>
      </w:r>
      <w:r>
        <w:rPr>
          <w:rFonts w:ascii="Arial" w:hAnsi="Arial"/>
          <w:i/>
          <w:spacing w:val="-1"/>
          <w:sz w:val="20"/>
        </w:rPr>
        <w:t> </w:t>
      </w:r>
      <w:r>
        <w:rPr>
          <w:rFonts w:ascii="Arial" w:hAnsi="Arial"/>
          <w:i/>
          <w:sz w:val="20"/>
        </w:rPr>
        <w:t>[2011]</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C.L.C. 701 </w:t>
      </w:r>
      <w:r>
        <w:rPr>
          <w:sz w:val="20"/>
        </w:rPr>
        <w:t>at [514]. In the </w:t>
      </w:r>
      <w:r>
        <w:rPr>
          <w:rFonts w:ascii="Arial" w:hAnsi="Arial"/>
          <w:i/>
          <w:sz w:val="20"/>
        </w:rPr>
        <w:t>Springwell </w:t>
      </w:r>
      <w:r>
        <w:rPr>
          <w:sz w:val="20"/>
        </w:rPr>
        <w:t>case the Court of Appeal held that dicta by Diplock J. in </w:t>
      </w:r>
      <w:r>
        <w:rPr>
          <w:rFonts w:ascii="Arial" w:hAnsi="Arial"/>
          <w:i/>
          <w:sz w:val="20"/>
        </w:rPr>
        <w:t>Lowe v Lombank Ltd [1960] 1 W.L.R. 196 </w:t>
      </w:r>
      <w:r>
        <w:rPr>
          <w:sz w:val="20"/>
        </w:rPr>
        <w:t>at 204, to the effect that a statement as to past facts known</w:t>
      </w:r>
      <w:r>
        <w:rPr>
          <w:spacing w:val="40"/>
          <w:sz w:val="20"/>
        </w:rPr>
        <w:t> </w:t>
      </w:r>
      <w:r>
        <w:rPr>
          <w:sz w:val="20"/>
        </w:rPr>
        <w:t>to be untrue cannot be converted into a contractual obligation and is not a contractual promise, “are not binding authority for the far-reaching proposition that there can never be an agreement in</w:t>
      </w:r>
      <w:r>
        <w:rPr>
          <w:spacing w:val="-2"/>
          <w:sz w:val="20"/>
        </w:rPr>
        <w:t> </w:t>
      </w:r>
      <w:r>
        <w:rPr>
          <w:sz w:val="20"/>
        </w:rPr>
        <w:t>a</w:t>
      </w:r>
      <w:r>
        <w:rPr>
          <w:spacing w:val="-2"/>
          <w:sz w:val="20"/>
        </w:rPr>
        <w:t> </w:t>
      </w:r>
      <w:r>
        <w:rPr>
          <w:sz w:val="20"/>
        </w:rPr>
        <w:t>contract</w:t>
      </w:r>
      <w:r>
        <w:rPr>
          <w:spacing w:val="-2"/>
          <w:sz w:val="20"/>
        </w:rPr>
        <w:t> </w:t>
      </w:r>
      <w:r>
        <w:rPr>
          <w:sz w:val="20"/>
        </w:rPr>
        <w:t>that</w:t>
      </w:r>
      <w:r>
        <w:rPr>
          <w:spacing w:val="-2"/>
          <w:sz w:val="20"/>
        </w:rPr>
        <w:t> </w:t>
      </w:r>
      <w:r>
        <w:rPr>
          <w:sz w:val="20"/>
        </w:rPr>
        <w:t>the</w:t>
      </w:r>
      <w:r>
        <w:rPr>
          <w:spacing w:val="-2"/>
          <w:sz w:val="20"/>
        </w:rPr>
        <w:t> </w:t>
      </w:r>
      <w:r>
        <w:rPr>
          <w:sz w:val="20"/>
        </w:rPr>
        <w:t>parties</w:t>
      </w:r>
      <w:r>
        <w:rPr>
          <w:spacing w:val="-2"/>
          <w:sz w:val="20"/>
        </w:rPr>
        <w:t> </w:t>
      </w:r>
      <w:r>
        <w:rPr>
          <w:sz w:val="20"/>
        </w:rPr>
        <w:t>are</w:t>
      </w:r>
      <w:r>
        <w:rPr>
          <w:spacing w:val="-2"/>
          <w:sz w:val="20"/>
        </w:rPr>
        <w:t> </w:t>
      </w:r>
      <w:r>
        <w:rPr>
          <w:sz w:val="20"/>
        </w:rPr>
        <w:t>conducting</w:t>
      </w:r>
      <w:r>
        <w:rPr>
          <w:spacing w:val="-2"/>
          <w:sz w:val="20"/>
        </w:rPr>
        <w:t> </w:t>
      </w:r>
      <w:r>
        <w:rPr>
          <w:sz w:val="20"/>
        </w:rPr>
        <w:t>their</w:t>
      </w:r>
      <w:r>
        <w:rPr>
          <w:spacing w:val="-2"/>
          <w:sz w:val="20"/>
        </w:rPr>
        <w:t> </w:t>
      </w:r>
      <w:r>
        <w:rPr>
          <w:sz w:val="20"/>
        </w:rPr>
        <w:t>dealings</w:t>
      </w:r>
      <w:r>
        <w:rPr>
          <w:spacing w:val="-2"/>
          <w:sz w:val="20"/>
        </w:rPr>
        <w:t> </w:t>
      </w:r>
      <w:r>
        <w:rPr>
          <w:sz w:val="20"/>
        </w:rPr>
        <w:t>on</w:t>
      </w:r>
      <w:r>
        <w:rPr>
          <w:spacing w:val="-2"/>
          <w:sz w:val="20"/>
        </w:rPr>
        <w:t> </w:t>
      </w:r>
      <w:r>
        <w:rPr>
          <w:sz w:val="20"/>
        </w:rPr>
        <w:t>the</w:t>
      </w:r>
      <w:r>
        <w:rPr>
          <w:spacing w:val="-2"/>
          <w:sz w:val="20"/>
        </w:rPr>
        <w:t> </w:t>
      </w:r>
      <w:r>
        <w:rPr>
          <w:sz w:val="20"/>
        </w:rPr>
        <w:t>basis</w:t>
      </w:r>
      <w:r>
        <w:rPr>
          <w:spacing w:val="-2"/>
          <w:sz w:val="20"/>
        </w:rPr>
        <w:t> </w:t>
      </w:r>
      <w:r>
        <w:rPr>
          <w:sz w:val="20"/>
        </w:rPr>
        <w:t>that</w:t>
      </w:r>
      <w:r>
        <w:rPr>
          <w:spacing w:val="-2"/>
          <w:sz w:val="20"/>
        </w:rPr>
        <w:t> </w:t>
      </w:r>
      <w:r>
        <w:rPr>
          <w:sz w:val="20"/>
        </w:rPr>
        <w:t>a</w:t>
      </w:r>
      <w:r>
        <w:rPr>
          <w:spacing w:val="-2"/>
          <w:sz w:val="20"/>
        </w:rPr>
        <w:t> </w:t>
      </w:r>
      <w:r>
        <w:rPr>
          <w:sz w:val="20"/>
        </w:rPr>
        <w:t>past</w:t>
      </w:r>
      <w:r>
        <w:rPr>
          <w:spacing w:val="-2"/>
          <w:sz w:val="20"/>
        </w:rPr>
        <w:t> </w:t>
      </w:r>
      <w:r>
        <w:rPr>
          <w:sz w:val="20"/>
        </w:rPr>
        <w:t>event</w:t>
      </w:r>
      <w:r>
        <w:rPr>
          <w:spacing w:val="-2"/>
          <w:sz w:val="20"/>
        </w:rPr>
        <w:t> </w:t>
      </w:r>
      <w:r>
        <w:rPr>
          <w:sz w:val="20"/>
        </w:rPr>
        <w:t>had</w:t>
      </w:r>
      <w:r>
        <w:rPr>
          <w:spacing w:val="-2"/>
          <w:sz w:val="20"/>
        </w:rPr>
        <w:t> </w:t>
      </w:r>
      <w:r>
        <w:rPr>
          <w:sz w:val="20"/>
        </w:rPr>
        <w:t>not occurred or that a particular fact was the case, even if it was not the case and both the parties knew it was not” (at [155]; the Court did not however agree with the trial judge that Diplock J. was considering whether the agreement was a sham, nor with the analysis of </w:t>
      </w:r>
      <w:r>
        <w:rPr>
          <w:rFonts w:ascii="Arial" w:hAnsi="Arial"/>
          <w:i/>
          <w:sz w:val="20"/>
        </w:rPr>
        <w:t>Lowe v Lombank </w:t>
      </w:r>
      <w:r>
        <w:rPr>
          <w:sz w:val="20"/>
        </w:rPr>
        <w:t>in </w:t>
      </w:r>
      <w:r>
        <w:rPr>
          <w:rFonts w:ascii="Arial" w:hAnsi="Arial"/>
          <w:i/>
          <w:sz w:val="20"/>
        </w:rPr>
        <w:t>Raiffeisen Zentralbank Osterreich AG v Royal Bank of Scotland Plc [2010] EWHC 1392 (Comm) </w:t>
      </w:r>
      <w:r>
        <w:rPr>
          <w:sz w:val="20"/>
        </w:rPr>
        <w:t>at [253]–[254]).</w:t>
      </w:r>
    </w:p>
    <w:p>
      <w:pPr>
        <w:pStyle w:val="BodyText"/>
        <w:spacing w:before="1"/>
      </w:pPr>
    </w:p>
    <w:p>
      <w:pPr>
        <w:tabs>
          <w:tab w:pos="705" w:val="left" w:leader="none"/>
        </w:tabs>
        <w:spacing w:before="1"/>
        <w:ind w:left="165" w:right="0" w:firstLine="0"/>
        <w:jc w:val="left"/>
        <w:rPr>
          <w:sz w:val="20"/>
        </w:rPr>
      </w:pPr>
      <w:bookmarkStart w:name="_bookmark1301" w:id="1303"/>
      <w:bookmarkEnd w:id="1303"/>
      <w:r>
        <w:rPr/>
      </w:r>
      <w:hyperlink w:history="true" w:anchor="_bookmark1246">
        <w:r>
          <w:rPr>
            <w:color w:val="005DA1"/>
            <w:spacing w:val="-4"/>
            <w:position w:val="5"/>
            <w:sz w:val="14"/>
            <w:u w:val="single" w:color="005DA1"/>
          </w:rPr>
          <w:t>661</w:t>
        </w:r>
      </w:hyperlink>
      <w:r>
        <w:rPr>
          <w:spacing w:val="-4"/>
          <w:position w:val="5"/>
          <w:sz w:val="14"/>
        </w:rPr>
        <w:t>.</w:t>
      </w:r>
      <w:r>
        <w:rPr>
          <w:position w:val="5"/>
          <w:sz w:val="14"/>
        </w:rPr>
        <w:tab/>
      </w:r>
      <w:r>
        <w:rPr>
          <w:rFonts w:ascii="Arial"/>
          <w:i/>
          <w:sz w:val="20"/>
        </w:rPr>
        <w:t>[2010] EWCA Civ 1221</w:t>
      </w:r>
      <w:r>
        <w:rPr>
          <w:rFonts w:ascii="Arial"/>
          <w:i/>
          <w:spacing w:val="-1"/>
          <w:sz w:val="20"/>
        </w:rPr>
        <w:t> </w:t>
      </w:r>
      <w:r>
        <w:rPr>
          <w:sz w:val="20"/>
        </w:rPr>
        <w:t>at </w:t>
      </w:r>
      <w:r>
        <w:rPr>
          <w:spacing w:val="-2"/>
          <w:sz w:val="20"/>
        </w:rPr>
        <w:t>[177].</w:t>
      </w:r>
    </w:p>
    <w:p>
      <w:pPr>
        <w:pStyle w:val="BodyText"/>
        <w:spacing w:before="8"/>
      </w:pPr>
    </w:p>
    <w:p>
      <w:pPr>
        <w:spacing w:line="235" w:lineRule="auto" w:before="0"/>
        <w:ind w:left="705" w:right="167" w:hanging="541"/>
        <w:jc w:val="both"/>
        <w:rPr>
          <w:sz w:val="20"/>
        </w:rPr>
      </w:pPr>
      <w:bookmarkStart w:name="_bookmark1302" w:id="1304"/>
      <w:bookmarkEnd w:id="1304"/>
      <w:r>
        <w:rPr/>
      </w:r>
      <w:hyperlink w:history="true" w:anchor="_bookmark1247">
        <w:r>
          <w:rPr>
            <w:color w:val="005DA1"/>
            <w:position w:val="5"/>
            <w:sz w:val="14"/>
            <w:u w:val="single" w:color="005DA1"/>
          </w:rPr>
          <w:t>662</w:t>
        </w:r>
      </w:hyperlink>
      <w:r>
        <w:rPr>
          <w:position w:val="5"/>
          <w:sz w:val="14"/>
        </w:rPr>
        <w:t>.</w:t>
      </w:r>
      <w:r>
        <w:rPr>
          <w:spacing w:val="80"/>
          <w:position w:val="5"/>
          <w:sz w:val="14"/>
        </w:rPr>
        <w:t>  </w:t>
      </w:r>
      <w:r>
        <w:rPr>
          <w:rFonts w:ascii="Arial" w:hAnsi="Arial"/>
          <w:i/>
          <w:sz w:val="20"/>
        </w:rPr>
        <w:t>Springwell Navigation Corp v JP Morgan Chase Bank [2010] EWCA Civ 1221, [2010] 2 </w:t>
      </w:r>
      <w:r>
        <w:rPr>
          <w:rFonts w:ascii="Arial" w:hAnsi="Arial"/>
          <w:i/>
          <w:sz w:val="20"/>
        </w:rPr>
        <w:t>C.L.C. 705 </w:t>
      </w:r>
      <w:r>
        <w:rPr>
          <w:sz w:val="20"/>
        </w:rPr>
        <w:t>at [118]–[173]. cf. above, para.7-010. See also </w:t>
      </w:r>
      <w:r>
        <w:rPr>
          <w:rFonts w:ascii="Arial" w:hAnsi="Arial"/>
          <w:i/>
          <w:sz w:val="20"/>
        </w:rPr>
        <w:t>Brown v InnovatorOne Plc [2012] EWHC 1321 (Comm) </w:t>
      </w:r>
      <w:r>
        <w:rPr>
          <w:sz w:val="20"/>
        </w:rPr>
        <w:t>at [903].</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3936">
            <wp:simplePos x="0" y="0"/>
            <wp:positionH relativeFrom="page">
              <wp:posOffset>1257846</wp:posOffset>
            </wp:positionH>
            <wp:positionV relativeFrom="paragraph">
              <wp:posOffset>160529</wp:posOffset>
            </wp:positionV>
            <wp:extent cx="107988" cy="107988"/>
            <wp:effectExtent l="0" t="0" r="0" b="0"/>
            <wp:wrapNone/>
            <wp:docPr id="238" name="Image 238"/>
            <wp:cNvGraphicFramePr>
              <a:graphicFrameLocks/>
            </wp:cNvGraphicFramePr>
            <a:graphic>
              <a:graphicData uri="http://schemas.openxmlformats.org/drawingml/2006/picture">
                <pic:pic>
                  <pic:nvPicPr>
                    <pic:cNvPr id="238" name="Image 23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03" w:id="1305"/>
      <w:bookmarkEnd w:id="1305"/>
      <w:r>
        <w:rPr/>
      </w:r>
      <w:hyperlink w:history="true" w:anchor="_bookmark1248">
        <w:r>
          <w:rPr>
            <w:color w:val="005DA1"/>
            <w:spacing w:val="-4"/>
            <w:sz w:val="14"/>
            <w:u w:val="single" w:color="005DA1"/>
          </w:rPr>
          <w:t>663</w:t>
        </w:r>
      </w:hyperlink>
      <w:r>
        <w:rPr>
          <w:spacing w:val="-4"/>
          <w:sz w:val="14"/>
        </w:rPr>
        <w:t>.</w:t>
      </w:r>
    </w:p>
    <w:p>
      <w:pPr>
        <w:pStyle w:val="BodyText"/>
        <w:spacing w:line="235" w:lineRule="auto" w:before="212"/>
        <w:ind w:left="165" w:right="167" w:firstLine="170"/>
        <w:jc w:val="both"/>
      </w:pPr>
      <w:r>
        <w:rPr/>
        <w:br w:type="column"/>
      </w:r>
      <w:r>
        <w:rPr/>
        <w:t>With the coming into force of the Consumer Rights Act 2015 (for contracts made on or </w:t>
      </w:r>
      <w:r>
        <w:rPr/>
        <w:t>after October 1, 2015), s.3 of the Misrepresentation Act 1967 is amended so as to no longer apply to “a term in a consumer contract within the meaning of Pt 2 of the Consumer Rights Act 2015”: see next paragraph.</w:t>
      </w:r>
    </w:p>
    <w:p>
      <w:pPr>
        <w:pStyle w:val="BodyText"/>
        <w:spacing w:after="0" w:line="235" w:lineRule="auto"/>
        <w:jc w:val="both"/>
        <w:sectPr>
          <w:type w:val="continuous"/>
          <w:pgSz w:w="11900" w:h="16840"/>
          <w:pgMar w:header="971" w:footer="0" w:top="1160" w:bottom="280" w:left="1275" w:right="1275"/>
          <w:cols w:num="2" w:equalWidth="0">
            <w:col w:w="478" w:space="63"/>
            <w:col w:w="8809"/>
          </w:cols>
        </w:sectPr>
      </w:pPr>
    </w:p>
    <w:p>
      <w:pPr>
        <w:pStyle w:val="BodyText"/>
        <w:spacing w:before="9"/>
      </w:pPr>
    </w:p>
    <w:p>
      <w:pPr>
        <w:spacing w:line="235" w:lineRule="auto" w:before="0"/>
        <w:ind w:left="705" w:right="167" w:hanging="541"/>
        <w:jc w:val="both"/>
        <w:rPr>
          <w:sz w:val="20"/>
        </w:rPr>
      </w:pPr>
      <w:bookmarkStart w:name="_bookmark1304" w:id="1306"/>
      <w:bookmarkEnd w:id="1306"/>
      <w:r>
        <w:rPr/>
      </w:r>
      <w:hyperlink w:history="true" w:anchor="_bookmark1249">
        <w:r>
          <w:rPr>
            <w:color w:val="005DA1"/>
            <w:position w:val="5"/>
            <w:sz w:val="14"/>
            <w:u w:val="single" w:color="005DA1"/>
          </w:rPr>
          <w:t>664</w:t>
        </w:r>
      </w:hyperlink>
      <w:r>
        <w:rPr>
          <w:position w:val="5"/>
          <w:sz w:val="14"/>
        </w:rPr>
        <w:t>.</w:t>
      </w:r>
      <w:r>
        <w:rPr>
          <w:spacing w:val="80"/>
          <w:w w:val="150"/>
          <w:position w:val="5"/>
          <w:sz w:val="14"/>
        </w:rPr>
        <w:t> </w:t>
      </w:r>
      <w:r>
        <w:rPr>
          <w:sz w:val="20"/>
        </w:rPr>
        <w:t>Although s.3 applies only to terms and not to notices, a mere declaration of nonliability by </w:t>
      </w:r>
      <w:r>
        <w:rPr>
          <w:sz w:val="20"/>
        </w:rPr>
        <w:t>the representor cannot have the effect of preventing a representor from incurring liability for misrepresentation: see </w:t>
      </w:r>
      <w:r>
        <w:rPr>
          <w:rFonts w:ascii="Arial" w:hAnsi="Arial"/>
          <w:i/>
          <w:sz w:val="20"/>
        </w:rPr>
        <w:t>IFE Fund SA v Goldman Sachs International [2006] EWHC 2887 (Comm), [2007] 1 Lloyd’s Rep. 264 </w:t>
      </w:r>
      <w:r>
        <w:rPr>
          <w:sz w:val="20"/>
        </w:rPr>
        <w:t>in particular at [65]; but the notice may go to the question of whether the alleged misrepresentation was made at all (at [67]); in other words, whether he has made has made a misrepresentation on which the other was entitled to rely. See also </w:t>
      </w:r>
      <w:r>
        <w:rPr>
          <w:rFonts w:ascii="Arial" w:hAnsi="Arial"/>
          <w:i/>
          <w:sz w:val="20"/>
        </w:rPr>
        <w:t>Taberna Europe CDO II Plc v Selskabet [2016] EWCA Civ 1262 </w:t>
      </w:r>
      <w:r>
        <w:rPr>
          <w:sz w:val="20"/>
        </w:rPr>
        <w:t>at [20].</w:t>
      </w:r>
    </w:p>
    <w:p>
      <w:pPr>
        <w:pStyle w:val="BodyText"/>
        <w:spacing w:before="7"/>
      </w:pPr>
    </w:p>
    <w:p>
      <w:pPr>
        <w:pStyle w:val="BodyText"/>
        <w:spacing w:line="235" w:lineRule="auto"/>
        <w:ind w:left="705" w:right="167" w:hanging="541"/>
        <w:jc w:val="both"/>
      </w:pPr>
      <w:bookmarkStart w:name="_bookmark1305" w:id="1307"/>
      <w:bookmarkEnd w:id="1307"/>
      <w:r>
        <w:rPr/>
      </w:r>
      <w:hyperlink w:history="true" w:anchor="_bookmark1250">
        <w:r>
          <w:rPr>
            <w:color w:val="005DA1"/>
            <w:position w:val="5"/>
            <w:sz w:val="14"/>
            <w:u w:val="single" w:color="005DA1"/>
          </w:rPr>
          <w:t>665</w:t>
        </w:r>
      </w:hyperlink>
      <w:r>
        <w:rPr>
          <w:position w:val="5"/>
          <w:sz w:val="14"/>
        </w:rPr>
        <w:t>.</w:t>
      </w:r>
      <w:r>
        <w:rPr>
          <w:spacing w:val="80"/>
          <w:w w:val="150"/>
          <w:position w:val="5"/>
          <w:sz w:val="14"/>
        </w:rPr>
        <w:t> </w:t>
      </w:r>
      <w:r>
        <w:rPr/>
        <w:t>In the </w:t>
      </w:r>
      <w:r>
        <w:rPr>
          <w:rFonts w:ascii="Arial"/>
          <w:i/>
        </w:rPr>
        <w:t>Howard Marine case [1978] Q.B. 554 </w:t>
      </w:r>
      <w:r>
        <w:rPr/>
        <w:t>(above, para.7-076) Lord Denning M.R. was prepared to uphold reliance on an exempting clause under the old s.3 as reasonable; </w:t>
      </w:r>
      <w:r>
        <w:rPr/>
        <w:t>the majority of the court disagreed without giving reasons.</w:t>
      </w:r>
    </w:p>
    <w:p>
      <w:pPr>
        <w:pStyle w:val="BodyText"/>
        <w:spacing w:before="5"/>
      </w:pPr>
    </w:p>
    <w:p>
      <w:pPr>
        <w:pStyle w:val="BodyText"/>
        <w:tabs>
          <w:tab w:pos="705" w:val="left" w:leader="none"/>
        </w:tabs>
        <w:ind w:left="165"/>
      </w:pPr>
      <w:bookmarkStart w:name="_bookmark1306" w:id="1308"/>
      <w:bookmarkEnd w:id="1308"/>
      <w:r>
        <w:rPr/>
      </w:r>
      <w:hyperlink w:history="true" w:anchor="_bookmark1251">
        <w:r>
          <w:rPr>
            <w:color w:val="005DA1"/>
            <w:spacing w:val="-4"/>
            <w:position w:val="5"/>
            <w:sz w:val="14"/>
            <w:u w:val="single" w:color="005DA1"/>
          </w:rPr>
          <w:t>666</w:t>
        </w:r>
      </w:hyperlink>
      <w:r>
        <w:rPr>
          <w:spacing w:val="-4"/>
          <w:position w:val="5"/>
          <w:sz w:val="14"/>
        </w:rPr>
        <w:t>.</w:t>
      </w:r>
      <w:r>
        <w:rPr>
          <w:position w:val="5"/>
          <w:sz w:val="14"/>
        </w:rPr>
        <w:tab/>
      </w:r>
      <w:r>
        <w:rPr/>
        <w:t>See</w:t>
      </w:r>
      <w:r>
        <w:rPr>
          <w:spacing w:val="-2"/>
        </w:rPr>
        <w:t> </w:t>
      </w:r>
      <w:r>
        <w:rPr/>
        <w:t>below, para.7-</w:t>
      </w:r>
      <w:r>
        <w:rPr>
          <w:spacing w:val="-4"/>
        </w:rPr>
        <w:t>152.</w:t>
      </w: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84448">
            <wp:simplePos x="0" y="0"/>
            <wp:positionH relativeFrom="page">
              <wp:posOffset>1257846</wp:posOffset>
            </wp:positionH>
            <wp:positionV relativeFrom="paragraph">
              <wp:posOffset>160375</wp:posOffset>
            </wp:positionV>
            <wp:extent cx="107988" cy="107988"/>
            <wp:effectExtent l="0" t="0" r="0" b="0"/>
            <wp:wrapNone/>
            <wp:docPr id="239" name="Image 239"/>
            <wp:cNvGraphicFramePr>
              <a:graphicFrameLocks/>
            </wp:cNvGraphicFramePr>
            <a:graphic>
              <a:graphicData uri="http://schemas.openxmlformats.org/drawingml/2006/picture">
                <pic:pic>
                  <pic:nvPicPr>
                    <pic:cNvPr id="239" name="Image 23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07" w:id="1309"/>
      <w:bookmarkEnd w:id="1309"/>
      <w:r>
        <w:rPr/>
      </w:r>
      <w:hyperlink w:history="true" w:anchor="_bookmark1252">
        <w:r>
          <w:rPr>
            <w:color w:val="005DA1"/>
            <w:spacing w:val="-4"/>
            <w:sz w:val="14"/>
            <w:u w:val="single" w:color="005DA1"/>
          </w:rPr>
          <w:t>667</w:t>
        </w:r>
      </w:hyperlink>
      <w:r>
        <w:rPr>
          <w:spacing w:val="-4"/>
          <w:sz w:val="14"/>
        </w:rPr>
        <w:t>.</w:t>
      </w:r>
    </w:p>
    <w:p>
      <w:pPr>
        <w:pStyle w:val="BodyText"/>
        <w:spacing w:line="235" w:lineRule="auto" w:before="212"/>
        <w:ind w:left="165" w:right="167" w:firstLine="170"/>
        <w:jc w:val="both"/>
      </w:pPr>
      <w:r>
        <w:rPr/>
        <w:br w:type="column"/>
      </w:r>
      <w:r>
        <w:rPr/>
        <w:t>Consumer Rights Act 2015 s.75; Sch.4 para.1. On the effect of the Act on the law on </w:t>
      </w:r>
      <w:r>
        <w:rPr/>
        <w:t>unfair terms, see Vol.II, paras 38-196 and 38-334 et seq. It should be noted that (with exceptions that are not relevant here) s.62 applies to any term of a consumer contract, not just terms that were not individually negotiated, as was the case under the Unfair Terms in Consumer Contracts Regulations 1999 (on which see Vol.II, paras 38-201 et seq.).</w:t>
      </w:r>
    </w:p>
    <w:p>
      <w:pPr>
        <w:pStyle w:val="BodyText"/>
        <w:spacing w:after="0" w:line="235" w:lineRule="auto"/>
        <w:jc w:val="both"/>
        <w:sectPr>
          <w:type w:val="continuous"/>
          <w:pgSz w:w="11900" w:h="16840"/>
          <w:pgMar w:header="971" w:footer="0" w:top="116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bookmarkStart w:name="_bookmark1308" w:id="1310"/>
      <w:bookmarkEnd w:id="1310"/>
      <w:r>
        <w:rPr/>
      </w:r>
      <w:hyperlink w:history="true" w:anchor="_bookmark1253">
        <w:r>
          <w:rPr>
            <w:color w:val="005DA1"/>
            <w:spacing w:val="-4"/>
            <w:sz w:val="14"/>
            <w:u w:val="single" w:color="005DA1"/>
          </w:rPr>
          <w:t>668</w:t>
        </w:r>
      </w:hyperlink>
      <w:r>
        <w:rPr>
          <w:spacing w:val="-4"/>
          <w:sz w:val="14"/>
        </w:rPr>
        <w:t>.</w:t>
      </w:r>
    </w:p>
    <w:p>
      <w:pPr>
        <w:pStyle w:val="BodyText"/>
        <w:spacing w:before="208"/>
        <w:ind w:left="335"/>
      </w:pPr>
      <w:r>
        <w:rPr/>
        <w:br w:type="column"/>
      </w:r>
      <w:r>
        <w:rPr/>
        <w:t>On which see Vol.II, paras 38-359 et </w:t>
      </w:r>
      <w:r>
        <w:rPr>
          <w:spacing w:val="-4"/>
        </w:rPr>
        <w:t>seq.</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5"/>
      </w:pPr>
    </w:p>
    <w:p>
      <w:pPr>
        <w:pStyle w:val="BodyText"/>
        <w:tabs>
          <w:tab w:pos="705" w:val="left" w:leader="none"/>
        </w:tabs>
        <w:ind w:left="165"/>
      </w:pPr>
      <w:r>
        <w:rPr/>
        <w:drawing>
          <wp:anchor distT="0" distB="0" distL="0" distR="0" allowOverlap="1" layoutInCell="1" locked="0" behindDoc="0" simplePos="0" relativeHeight="15784960">
            <wp:simplePos x="0" y="0"/>
            <wp:positionH relativeFrom="page">
              <wp:posOffset>1257846</wp:posOffset>
            </wp:positionH>
            <wp:positionV relativeFrom="paragraph">
              <wp:posOffset>-266886</wp:posOffset>
            </wp:positionV>
            <wp:extent cx="107988" cy="107988"/>
            <wp:effectExtent l="0" t="0" r="0" b="0"/>
            <wp:wrapNone/>
            <wp:docPr id="240" name="Image 240"/>
            <wp:cNvGraphicFramePr>
              <a:graphicFrameLocks/>
            </wp:cNvGraphicFramePr>
            <a:graphic>
              <a:graphicData uri="http://schemas.openxmlformats.org/drawingml/2006/picture">
                <pic:pic>
                  <pic:nvPicPr>
                    <pic:cNvPr id="240" name="Image 24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09" w:id="1311"/>
      <w:bookmarkEnd w:id="1311"/>
      <w:r>
        <w:rPr/>
      </w:r>
      <w:hyperlink w:history="true" w:anchor="_bookmark1254">
        <w:r>
          <w:rPr>
            <w:color w:val="005DA1"/>
            <w:spacing w:val="-4"/>
            <w:position w:val="5"/>
            <w:sz w:val="14"/>
            <w:u w:val="single" w:color="005DA1"/>
          </w:rPr>
          <w:t>669</w:t>
        </w:r>
      </w:hyperlink>
      <w:r>
        <w:rPr>
          <w:spacing w:val="-4"/>
          <w:position w:val="5"/>
          <w:sz w:val="14"/>
        </w:rPr>
        <w:t>.</w:t>
      </w:r>
      <w:r>
        <w:rPr>
          <w:position w:val="5"/>
          <w:sz w:val="14"/>
        </w:rPr>
        <w:tab/>
      </w:r>
      <w:r>
        <w:rPr/>
        <w:t>See below, paras 38-028 et </w:t>
      </w:r>
      <w:r>
        <w:rPr>
          <w:spacing w:val="-4"/>
        </w:rPr>
        <w:t>seq.</w:t>
      </w:r>
    </w:p>
    <w:p>
      <w:pPr>
        <w:pStyle w:val="BodyText"/>
        <w:spacing w:after="0"/>
        <w:sectPr>
          <w:type w:val="continuous"/>
          <w:pgSz w:w="11900" w:h="16840"/>
          <w:pgMar w:header="971" w:footer="0" w:top="1160" w:bottom="280" w:left="1275" w:right="1275"/>
        </w:sectPr>
      </w:pPr>
    </w:p>
    <w:p>
      <w:pPr>
        <w:pStyle w:val="BodyText"/>
        <w:spacing w:before="81"/>
      </w:pPr>
    </w:p>
    <w:p>
      <w:pPr>
        <w:pStyle w:val="BodyText"/>
        <w:tabs>
          <w:tab w:pos="705" w:val="left" w:leader="none"/>
        </w:tabs>
        <w:ind w:left="165"/>
      </w:pPr>
      <w:hyperlink w:history="true" w:anchor="_bookmark1255">
        <w:r>
          <w:rPr>
            <w:color w:val="005DA1"/>
            <w:spacing w:val="-4"/>
            <w:position w:val="5"/>
            <w:sz w:val="14"/>
            <w:u w:val="single" w:color="005DA1"/>
          </w:rPr>
          <w:t>670</w:t>
        </w:r>
      </w:hyperlink>
      <w:r>
        <w:rPr>
          <w:spacing w:val="-4"/>
          <w:position w:val="5"/>
          <w:sz w:val="14"/>
        </w:rPr>
        <w:t>.</w:t>
      </w:r>
      <w:r>
        <w:rPr>
          <w:position w:val="5"/>
          <w:sz w:val="14"/>
        </w:rPr>
        <w:tab/>
      </w:r>
      <w:r>
        <w:rPr/>
        <w:t>See below, paras 38-271 and 38-</w:t>
      </w:r>
      <w:r>
        <w:rPr>
          <w:spacing w:val="-4"/>
        </w:rPr>
        <w:t>359.</w:t>
      </w:r>
    </w:p>
    <w:p>
      <w:pPr>
        <w:pStyle w:val="BodyText"/>
        <w:spacing w:before="5"/>
      </w:pPr>
    </w:p>
    <w:p>
      <w:pPr>
        <w:pStyle w:val="BodyText"/>
        <w:tabs>
          <w:tab w:pos="705" w:val="left" w:leader="none"/>
        </w:tabs>
        <w:ind w:left="165"/>
      </w:pPr>
      <w:bookmarkStart w:name="_bookmark1310" w:id="1312"/>
      <w:bookmarkEnd w:id="1312"/>
      <w:r>
        <w:rPr/>
      </w:r>
      <w:hyperlink w:history="true" w:anchor="_bookmark1256">
        <w:r>
          <w:rPr>
            <w:color w:val="005DA1"/>
            <w:spacing w:val="-4"/>
            <w:position w:val="5"/>
            <w:sz w:val="14"/>
            <w:u w:val="single" w:color="005DA1"/>
          </w:rPr>
          <w:t>671</w:t>
        </w:r>
      </w:hyperlink>
      <w:r>
        <w:rPr>
          <w:spacing w:val="-4"/>
          <w:position w:val="5"/>
          <w:sz w:val="14"/>
        </w:rPr>
        <w:t>.</w:t>
      </w:r>
      <w:r>
        <w:rPr>
          <w:position w:val="5"/>
          <w:sz w:val="14"/>
        </w:rPr>
        <w:tab/>
      </w:r>
      <w:r>
        <w:rPr/>
        <w:t>See below, paras 7-149 and 7-</w:t>
      </w:r>
      <w:r>
        <w:rPr>
          <w:spacing w:val="-4"/>
        </w:rPr>
        <w:t>150.</w:t>
      </w:r>
    </w:p>
    <w:p>
      <w:pPr>
        <w:pStyle w:val="BodyText"/>
        <w:spacing w:before="5"/>
      </w:pPr>
    </w:p>
    <w:p>
      <w:pPr>
        <w:tabs>
          <w:tab w:pos="705" w:val="left" w:leader="none"/>
        </w:tabs>
        <w:spacing w:before="0"/>
        <w:ind w:left="165" w:right="0" w:firstLine="0"/>
        <w:jc w:val="left"/>
        <w:rPr>
          <w:sz w:val="20"/>
        </w:rPr>
      </w:pPr>
      <w:bookmarkStart w:name="_bookmark1311" w:id="1313"/>
      <w:bookmarkEnd w:id="1313"/>
      <w:r>
        <w:rPr/>
      </w:r>
      <w:hyperlink w:history="true" w:anchor="_bookmark1257">
        <w:r>
          <w:rPr>
            <w:color w:val="005DA1"/>
            <w:spacing w:val="-4"/>
            <w:position w:val="5"/>
            <w:sz w:val="14"/>
            <w:u w:val="single" w:color="005DA1"/>
          </w:rPr>
          <w:t>672</w:t>
        </w:r>
      </w:hyperlink>
      <w:r>
        <w:rPr>
          <w:spacing w:val="-4"/>
          <w:position w:val="5"/>
          <w:sz w:val="14"/>
        </w:rPr>
        <w:t>.</w:t>
      </w:r>
      <w:r>
        <w:rPr>
          <w:position w:val="5"/>
          <w:sz w:val="14"/>
        </w:rPr>
        <w:tab/>
      </w:r>
      <w:r>
        <w:rPr>
          <w:rFonts w:ascii="Arial"/>
          <w:i/>
          <w:sz w:val="20"/>
        </w:rPr>
        <w:t>Trident Turboprop (Dublin) Ltd v First Flight Couriers Ltd [2009] EWCA Civ 290, [2010] Q.B. </w:t>
      </w:r>
      <w:r>
        <w:rPr>
          <w:rFonts w:ascii="Arial"/>
          <w:i/>
          <w:spacing w:val="-5"/>
          <w:sz w:val="20"/>
        </w:rPr>
        <w:t>86</w:t>
      </w:r>
      <w:r>
        <w:rPr>
          <w:spacing w:val="-5"/>
          <w:sz w:val="20"/>
        </w:rPr>
        <w:t>.</w:t>
      </w:r>
    </w:p>
    <w:p>
      <w:pPr>
        <w:pStyle w:val="BodyText"/>
        <w:spacing w:before="9"/>
      </w:pPr>
    </w:p>
    <w:p>
      <w:pPr>
        <w:pStyle w:val="BodyText"/>
        <w:spacing w:line="235" w:lineRule="auto"/>
        <w:ind w:left="705" w:right="167" w:hanging="541"/>
        <w:jc w:val="both"/>
      </w:pPr>
      <w:bookmarkStart w:name="_bookmark1312" w:id="1314"/>
      <w:bookmarkEnd w:id="1314"/>
      <w:r>
        <w:rPr/>
      </w:r>
      <w:hyperlink w:history="true" w:anchor="_bookmark1258">
        <w:r>
          <w:rPr>
            <w:color w:val="005DA1"/>
            <w:position w:val="5"/>
            <w:sz w:val="14"/>
            <w:u w:val="single" w:color="005DA1"/>
          </w:rPr>
          <w:t>673</w:t>
        </w:r>
      </w:hyperlink>
      <w:r>
        <w:rPr>
          <w:position w:val="5"/>
          <w:sz w:val="14"/>
        </w:rPr>
        <w:t>.</w:t>
      </w:r>
      <w:r>
        <w:rPr>
          <w:spacing w:val="80"/>
          <w:position w:val="5"/>
          <w:sz w:val="14"/>
        </w:rPr>
        <w:t>  </w:t>
      </w:r>
      <w:r>
        <w:rPr/>
        <w:t>For</w:t>
      </w:r>
      <w:r>
        <w:rPr>
          <w:spacing w:val="-1"/>
        </w:rPr>
        <w:t> </w:t>
      </w:r>
      <w:r>
        <w:rPr/>
        <w:t>a</w:t>
      </w:r>
      <w:r>
        <w:rPr>
          <w:spacing w:val="-1"/>
        </w:rPr>
        <w:t> </w:t>
      </w:r>
      <w:r>
        <w:rPr/>
        <w:t>discussion</w:t>
      </w:r>
      <w:r>
        <w:rPr>
          <w:spacing w:val="-1"/>
        </w:rPr>
        <w:t> </w:t>
      </w:r>
      <w:r>
        <w:rPr/>
        <w:t>of</w:t>
      </w:r>
      <w:r>
        <w:rPr>
          <w:spacing w:val="-1"/>
        </w:rPr>
        <w:t> </w:t>
      </w:r>
      <w:r>
        <w:rPr/>
        <w:t>s.26,</w:t>
      </w:r>
      <w:r>
        <w:rPr>
          <w:spacing w:val="-1"/>
        </w:rPr>
        <w:t> </w:t>
      </w:r>
      <w:r>
        <w:rPr/>
        <w:t>see</w:t>
      </w:r>
      <w:r>
        <w:rPr>
          <w:spacing w:val="-1"/>
        </w:rPr>
        <w:t> </w:t>
      </w:r>
      <w:r>
        <w:rPr/>
        <w:t>above,</w:t>
      </w:r>
      <w:r>
        <w:rPr>
          <w:spacing w:val="-1"/>
        </w:rPr>
        <w:t> </w:t>
      </w:r>
      <w:r>
        <w:rPr/>
        <w:t>para.15-122.</w:t>
      </w:r>
      <w:r>
        <w:rPr>
          <w:spacing w:val="-1"/>
        </w:rPr>
        <w:t> </w:t>
      </w:r>
      <w:r>
        <w:rPr/>
        <w:t>In</w:t>
      </w:r>
      <w:r>
        <w:rPr>
          <w:spacing w:val="-1"/>
        </w:rPr>
        <w:t> </w:t>
      </w:r>
      <w:r>
        <w:rPr/>
        <w:t>contrast,</w:t>
      </w:r>
      <w:r>
        <w:rPr>
          <w:spacing w:val="-1"/>
        </w:rPr>
        <w:t> </w:t>
      </w:r>
      <w:r>
        <w:rPr/>
        <w:t>s.27</w:t>
      </w:r>
      <w:r>
        <w:rPr>
          <w:spacing w:val="-1"/>
        </w:rPr>
        <w:t> </w:t>
      </w:r>
      <w:r>
        <w:rPr/>
        <w:t>of</w:t>
      </w:r>
      <w:r>
        <w:rPr>
          <w:spacing w:val="-1"/>
        </w:rPr>
        <w:t> </w:t>
      </w:r>
      <w:r>
        <w:rPr/>
        <w:t>the</w:t>
      </w:r>
      <w:r>
        <w:rPr>
          <w:spacing w:val="-1"/>
        </w:rPr>
        <w:t> </w:t>
      </w:r>
      <w:r>
        <w:rPr/>
        <w:t>Unfair</w:t>
      </w:r>
      <w:r>
        <w:rPr>
          <w:spacing w:val="-1"/>
        </w:rPr>
        <w:t> </w:t>
      </w:r>
      <w:r>
        <w:rPr/>
        <w:t>Contract</w:t>
      </w:r>
      <w:r>
        <w:rPr>
          <w:spacing w:val="-1"/>
        </w:rPr>
        <w:t> </w:t>
      </w:r>
      <w:r>
        <w:rPr/>
        <w:t>Terms Act 1977, which prevents the principal provisions of the Act applying to contracts that </w:t>
      </w:r>
      <w:r>
        <w:rPr/>
        <w:t>are subject to the law of any part of the UK only by choice of the parties, does not affect s.3 of the Misrepresentation Act 1967.</w:t>
      </w:r>
    </w:p>
    <w:p>
      <w:pPr>
        <w:pStyle w:val="BodyText"/>
        <w:spacing w:before="8"/>
      </w:pPr>
    </w:p>
    <w:p>
      <w:pPr>
        <w:tabs>
          <w:tab w:pos="705" w:val="left" w:leader="none"/>
        </w:tabs>
        <w:spacing w:line="235" w:lineRule="auto" w:before="0"/>
        <w:ind w:left="705" w:right="168" w:hanging="541"/>
        <w:jc w:val="left"/>
        <w:rPr>
          <w:rFonts w:ascii="Arial" w:hAnsi="Arial"/>
          <w:i/>
          <w:sz w:val="20"/>
        </w:rPr>
      </w:pPr>
      <w:bookmarkStart w:name="_bookmark1313" w:id="1315"/>
      <w:bookmarkEnd w:id="1315"/>
      <w:r>
        <w:rPr/>
      </w:r>
      <w:hyperlink w:history="true" w:anchor="_bookmark1259">
        <w:r>
          <w:rPr>
            <w:color w:val="005DA1"/>
            <w:spacing w:val="-4"/>
            <w:position w:val="5"/>
            <w:sz w:val="14"/>
            <w:u w:val="single" w:color="005DA1"/>
          </w:rPr>
          <w:t>674</w:t>
        </w:r>
      </w:hyperlink>
      <w:r>
        <w:rPr>
          <w:spacing w:val="-4"/>
          <w:position w:val="5"/>
          <w:sz w:val="14"/>
        </w:rPr>
        <w:t>.</w:t>
      </w:r>
      <w:r>
        <w:rPr>
          <w:position w:val="5"/>
          <w:sz w:val="14"/>
        </w:rPr>
        <w:tab/>
      </w:r>
      <w:r>
        <w:rPr>
          <w:sz w:val="20"/>
        </w:rPr>
        <w:t>A</w:t>
      </w:r>
      <w:r>
        <w:rPr>
          <w:spacing w:val="33"/>
          <w:sz w:val="20"/>
        </w:rPr>
        <w:t> </w:t>
      </w:r>
      <w:r>
        <w:rPr>
          <w:sz w:val="20"/>
        </w:rPr>
        <w:t>right</w:t>
      </w:r>
      <w:r>
        <w:rPr>
          <w:spacing w:val="33"/>
          <w:sz w:val="20"/>
        </w:rPr>
        <w:t> </w:t>
      </w:r>
      <w:r>
        <w:rPr>
          <w:sz w:val="20"/>
        </w:rPr>
        <w:t>of</w:t>
      </w:r>
      <w:r>
        <w:rPr>
          <w:spacing w:val="33"/>
          <w:sz w:val="20"/>
        </w:rPr>
        <w:t> </w:t>
      </w:r>
      <w:r>
        <w:rPr>
          <w:sz w:val="20"/>
        </w:rPr>
        <w:t>set-off</w:t>
      </w:r>
      <w:r>
        <w:rPr>
          <w:spacing w:val="33"/>
          <w:sz w:val="20"/>
        </w:rPr>
        <w:t> </w:t>
      </w:r>
      <w:r>
        <w:rPr>
          <w:sz w:val="20"/>
        </w:rPr>
        <w:t>is</w:t>
      </w:r>
      <w:r>
        <w:rPr>
          <w:spacing w:val="33"/>
          <w:sz w:val="20"/>
        </w:rPr>
        <w:t> </w:t>
      </w:r>
      <w:r>
        <w:rPr>
          <w:sz w:val="20"/>
        </w:rPr>
        <w:t>a</w:t>
      </w:r>
      <w:r>
        <w:rPr>
          <w:spacing w:val="33"/>
          <w:sz w:val="20"/>
        </w:rPr>
        <w:t> </w:t>
      </w:r>
      <w:r>
        <w:rPr>
          <w:sz w:val="20"/>
        </w:rPr>
        <w:t>remedy</w:t>
      </w:r>
      <w:r>
        <w:rPr>
          <w:spacing w:val="33"/>
          <w:sz w:val="20"/>
        </w:rPr>
        <w:t> </w:t>
      </w:r>
      <w:r>
        <w:rPr>
          <w:sz w:val="20"/>
        </w:rPr>
        <w:t>for</w:t>
      </w:r>
      <w:r>
        <w:rPr>
          <w:spacing w:val="33"/>
          <w:sz w:val="20"/>
        </w:rPr>
        <w:t> </w:t>
      </w:r>
      <w:r>
        <w:rPr>
          <w:sz w:val="20"/>
        </w:rPr>
        <w:t>this</w:t>
      </w:r>
      <w:r>
        <w:rPr>
          <w:spacing w:val="33"/>
          <w:sz w:val="20"/>
        </w:rPr>
        <w:t> </w:t>
      </w:r>
      <w:r>
        <w:rPr>
          <w:sz w:val="20"/>
        </w:rPr>
        <w:t>purpose:</w:t>
      </w:r>
      <w:r>
        <w:rPr>
          <w:spacing w:val="33"/>
          <w:sz w:val="20"/>
        </w:rPr>
        <w:t> </w:t>
      </w:r>
      <w:r>
        <w:rPr>
          <w:rFonts w:ascii="Arial" w:hAnsi="Arial"/>
          <w:i/>
          <w:sz w:val="20"/>
        </w:rPr>
        <w:t>Skipskredittforeningen</w:t>
      </w:r>
      <w:r>
        <w:rPr>
          <w:rFonts w:ascii="Arial" w:hAnsi="Arial"/>
          <w:i/>
          <w:spacing w:val="33"/>
          <w:sz w:val="20"/>
        </w:rPr>
        <w:t> </w:t>
      </w:r>
      <w:r>
        <w:rPr>
          <w:rFonts w:ascii="Arial" w:hAnsi="Arial"/>
          <w:i/>
          <w:sz w:val="20"/>
        </w:rPr>
        <w:t>v</w:t>
      </w:r>
      <w:r>
        <w:rPr>
          <w:rFonts w:ascii="Arial" w:hAnsi="Arial"/>
          <w:i/>
          <w:spacing w:val="33"/>
          <w:sz w:val="20"/>
        </w:rPr>
        <w:t> </w:t>
      </w:r>
      <w:r>
        <w:rPr>
          <w:rFonts w:ascii="Arial" w:hAnsi="Arial"/>
          <w:i/>
          <w:sz w:val="20"/>
        </w:rPr>
        <w:t>Emperor</w:t>
      </w:r>
      <w:r>
        <w:rPr>
          <w:rFonts w:ascii="Arial" w:hAnsi="Arial"/>
          <w:i/>
          <w:spacing w:val="33"/>
          <w:sz w:val="20"/>
        </w:rPr>
        <w:t> </w:t>
      </w:r>
      <w:r>
        <w:rPr>
          <w:rFonts w:ascii="Arial" w:hAnsi="Arial"/>
          <w:i/>
          <w:sz w:val="20"/>
        </w:rPr>
        <w:t>Navigation [1998]</w:t>
      </w:r>
      <w:r>
        <w:rPr>
          <w:rFonts w:ascii="Arial" w:hAnsi="Arial"/>
          <w:i/>
          <w:spacing w:val="15"/>
          <w:sz w:val="20"/>
        </w:rPr>
        <w:t> </w:t>
      </w:r>
      <w:r>
        <w:rPr>
          <w:rFonts w:ascii="Arial" w:hAnsi="Arial"/>
          <w:i/>
          <w:sz w:val="20"/>
        </w:rPr>
        <w:t>1</w:t>
      </w:r>
      <w:r>
        <w:rPr>
          <w:rFonts w:ascii="Arial" w:hAnsi="Arial"/>
          <w:i/>
          <w:spacing w:val="18"/>
          <w:sz w:val="20"/>
        </w:rPr>
        <w:t> </w:t>
      </w:r>
      <w:r>
        <w:rPr>
          <w:rFonts w:ascii="Arial" w:hAnsi="Arial"/>
          <w:i/>
          <w:sz w:val="20"/>
        </w:rPr>
        <w:t>Lloyd’s</w:t>
      </w:r>
      <w:r>
        <w:rPr>
          <w:rFonts w:ascii="Arial" w:hAnsi="Arial"/>
          <w:i/>
          <w:spacing w:val="18"/>
          <w:sz w:val="20"/>
        </w:rPr>
        <w:t> </w:t>
      </w:r>
      <w:r>
        <w:rPr>
          <w:rFonts w:ascii="Arial" w:hAnsi="Arial"/>
          <w:i/>
          <w:sz w:val="20"/>
        </w:rPr>
        <w:t>Rep.</w:t>
      </w:r>
      <w:r>
        <w:rPr>
          <w:rFonts w:ascii="Arial" w:hAnsi="Arial"/>
          <w:i/>
          <w:spacing w:val="18"/>
          <w:sz w:val="20"/>
        </w:rPr>
        <w:t> </w:t>
      </w:r>
      <w:r>
        <w:rPr>
          <w:rFonts w:ascii="Arial" w:hAnsi="Arial"/>
          <w:i/>
          <w:sz w:val="20"/>
        </w:rPr>
        <w:t>66</w:t>
      </w:r>
      <w:r>
        <w:rPr>
          <w:sz w:val="20"/>
        </w:rPr>
        <w:t>,</w:t>
      </w:r>
      <w:r>
        <w:rPr>
          <w:spacing w:val="18"/>
          <w:sz w:val="20"/>
        </w:rPr>
        <w:t> </w:t>
      </w:r>
      <w:r>
        <w:rPr>
          <w:sz w:val="20"/>
        </w:rPr>
        <w:t>not</w:t>
      </w:r>
      <w:r>
        <w:rPr>
          <w:spacing w:val="18"/>
          <w:sz w:val="20"/>
        </w:rPr>
        <w:t> </w:t>
      </w:r>
      <w:r>
        <w:rPr>
          <w:sz w:val="20"/>
        </w:rPr>
        <w:t>following</w:t>
      </w:r>
      <w:r>
        <w:rPr>
          <w:spacing w:val="18"/>
          <w:sz w:val="20"/>
        </w:rPr>
        <w:t> </w:t>
      </w:r>
      <w:r>
        <w:rPr>
          <w:rFonts w:ascii="Arial" w:hAnsi="Arial"/>
          <w:i/>
          <w:sz w:val="20"/>
        </w:rPr>
        <w:t>Society</w:t>
      </w:r>
      <w:r>
        <w:rPr>
          <w:rFonts w:ascii="Arial" w:hAnsi="Arial"/>
          <w:i/>
          <w:spacing w:val="18"/>
          <w:sz w:val="20"/>
        </w:rPr>
        <w:t> </w:t>
      </w:r>
      <w:r>
        <w:rPr>
          <w:rFonts w:ascii="Arial" w:hAnsi="Arial"/>
          <w:i/>
          <w:sz w:val="20"/>
        </w:rPr>
        <w:t>of</w:t>
      </w:r>
      <w:r>
        <w:rPr>
          <w:rFonts w:ascii="Arial" w:hAnsi="Arial"/>
          <w:i/>
          <w:spacing w:val="18"/>
          <w:sz w:val="20"/>
        </w:rPr>
        <w:t> </w:t>
      </w:r>
      <w:r>
        <w:rPr>
          <w:rFonts w:ascii="Arial" w:hAnsi="Arial"/>
          <w:i/>
          <w:sz w:val="20"/>
        </w:rPr>
        <w:t>Lloyd’s</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Wilkinson</w:t>
      </w:r>
      <w:r>
        <w:rPr>
          <w:rFonts w:ascii="Arial" w:hAnsi="Arial"/>
          <w:i/>
          <w:spacing w:val="18"/>
          <w:sz w:val="20"/>
        </w:rPr>
        <w:t> </w:t>
      </w:r>
      <w:r>
        <w:rPr>
          <w:rFonts w:ascii="Arial" w:hAnsi="Arial"/>
          <w:i/>
          <w:sz w:val="20"/>
        </w:rPr>
        <w:t>(No.2)</w:t>
      </w:r>
      <w:r>
        <w:rPr>
          <w:rFonts w:ascii="Arial" w:hAnsi="Arial"/>
          <w:i/>
          <w:spacing w:val="18"/>
          <w:sz w:val="20"/>
        </w:rPr>
        <w:t> </w:t>
      </w:r>
      <w:r>
        <w:rPr>
          <w:rFonts w:ascii="Arial" w:hAnsi="Arial"/>
          <w:i/>
          <w:sz w:val="20"/>
        </w:rPr>
        <w:t>[1997]</w:t>
      </w:r>
      <w:r>
        <w:rPr>
          <w:rFonts w:ascii="Arial" w:hAnsi="Arial"/>
          <w:i/>
          <w:spacing w:val="18"/>
          <w:sz w:val="20"/>
        </w:rPr>
        <w:t> </w:t>
      </w:r>
      <w:r>
        <w:rPr>
          <w:rFonts w:ascii="Arial" w:hAnsi="Arial"/>
          <w:i/>
          <w:sz w:val="20"/>
        </w:rPr>
        <w:t>6</w:t>
      </w:r>
      <w:r>
        <w:rPr>
          <w:rFonts w:ascii="Arial" w:hAnsi="Arial"/>
          <w:i/>
          <w:spacing w:val="18"/>
          <w:sz w:val="20"/>
        </w:rPr>
        <w:t> </w:t>
      </w:r>
      <w:r>
        <w:rPr>
          <w:rFonts w:ascii="Arial" w:hAnsi="Arial"/>
          <w:i/>
          <w:sz w:val="20"/>
        </w:rPr>
        <w:t>Re</w:t>
      </w:r>
      <w:r>
        <w:rPr>
          <w:rFonts w:ascii="Arial" w:hAnsi="Arial"/>
          <w:i/>
          <w:spacing w:val="18"/>
          <w:sz w:val="20"/>
        </w:rPr>
        <w:t> </w:t>
      </w:r>
      <w:r>
        <w:rPr>
          <w:rFonts w:ascii="Arial" w:hAnsi="Arial"/>
          <w:i/>
          <w:spacing w:val="-4"/>
          <w:sz w:val="20"/>
        </w:rPr>
        <w:t>L.R.</w:t>
      </w:r>
    </w:p>
    <w:p>
      <w:pPr>
        <w:spacing w:line="235" w:lineRule="auto" w:before="0"/>
        <w:ind w:left="705" w:right="167" w:firstLine="0"/>
        <w:jc w:val="both"/>
        <w:rPr>
          <w:sz w:val="20"/>
        </w:rPr>
      </w:pPr>
      <w:r>
        <w:rPr>
          <w:rFonts w:ascii="Arial" w:hAnsi="Arial"/>
          <w:i/>
          <w:sz w:val="20"/>
        </w:rPr>
        <w:t>214 </w:t>
      </w:r>
      <w:r>
        <w:rPr>
          <w:sz w:val="20"/>
        </w:rPr>
        <w:t>on this point. See also </w:t>
      </w:r>
      <w:r>
        <w:rPr>
          <w:rFonts w:ascii="Arial" w:hAnsi="Arial"/>
          <w:i/>
          <w:sz w:val="20"/>
        </w:rPr>
        <w:t>WRM Group Ltd v Wood [1998] C.L.C. 189</w:t>
      </w:r>
      <w:r>
        <w:rPr>
          <w:sz w:val="20"/>
        </w:rPr>
        <w:t>. But a term that purchasers of a lease would be permitted to enter into possession before completion “at </w:t>
      </w:r>
      <w:r>
        <w:rPr>
          <w:sz w:val="20"/>
        </w:rPr>
        <w:t>their own risk” was held not to be within the section (though unreasonable if it was): </w:t>
      </w:r>
      <w:r>
        <w:rPr>
          <w:rFonts w:ascii="Arial" w:hAnsi="Arial"/>
          <w:i/>
          <w:sz w:val="20"/>
        </w:rPr>
        <w:t>F. &amp; </w:t>
      </w:r>
      <w:r>
        <w:rPr>
          <w:rFonts w:ascii="Arial" w:hAnsi="Arial"/>
          <w:i/>
          <w:sz w:val="20"/>
        </w:rPr>
        <w:t>H. Entertainments Ltd v Leisure Enterprises Ltd (1976) 120 S.J. 331</w:t>
      </w:r>
      <w:r>
        <w:rPr>
          <w:sz w:val="20"/>
        </w:rPr>
        <w:t>.</w:t>
      </w:r>
    </w:p>
    <w:p>
      <w:pPr>
        <w:pStyle w:val="BodyText"/>
        <w:spacing w:before="8"/>
      </w:pPr>
    </w:p>
    <w:p>
      <w:pPr>
        <w:spacing w:line="235" w:lineRule="auto" w:before="0"/>
        <w:ind w:left="705" w:right="167" w:hanging="541"/>
        <w:jc w:val="both"/>
        <w:rPr>
          <w:sz w:val="20"/>
        </w:rPr>
      </w:pPr>
      <w:bookmarkStart w:name="_bookmark1314" w:id="1316"/>
      <w:bookmarkEnd w:id="1316"/>
      <w:r>
        <w:rPr/>
      </w:r>
      <w:hyperlink w:history="true" w:anchor="_bookmark1260">
        <w:r>
          <w:rPr>
            <w:color w:val="005DA1"/>
            <w:position w:val="5"/>
            <w:sz w:val="14"/>
            <w:u w:val="single" w:color="005DA1"/>
          </w:rPr>
          <w:t>675</w:t>
        </w:r>
      </w:hyperlink>
      <w:r>
        <w:rPr>
          <w:position w:val="5"/>
          <w:sz w:val="14"/>
        </w:rPr>
        <w:t>.</w:t>
      </w:r>
      <w:r>
        <w:rPr>
          <w:spacing w:val="80"/>
          <w:position w:val="5"/>
          <w:sz w:val="14"/>
        </w:rPr>
        <w:t>  </w:t>
      </w:r>
      <w:r>
        <w:rPr>
          <w:sz w:val="20"/>
        </w:rPr>
        <w:t>It may not apply to clauses excluding liability for non-disclosure: </w:t>
      </w:r>
      <w:r>
        <w:rPr>
          <w:rFonts w:ascii="Arial" w:hAnsi="Arial"/>
          <w:i/>
          <w:sz w:val="20"/>
        </w:rPr>
        <w:t>National Westminster Bank Plc v Utrecht-America Finance Co [2001] EWCA Civ 658, [2001] 3 All E.R. 733 </w:t>
      </w:r>
      <w:r>
        <w:rPr>
          <w:sz w:val="20"/>
        </w:rPr>
        <w:t>at [62] (point left open). In </w:t>
      </w:r>
      <w:r>
        <w:rPr>
          <w:rFonts w:ascii="Arial" w:hAnsi="Arial"/>
          <w:i/>
          <w:sz w:val="20"/>
        </w:rPr>
        <w:t>Trident Turboprop (Dublin) Ltd v First Flight Couriers Ltd [2008] EWHC 1686 (Comm), [2009] 1 All E.R. (Comm) 16 </w:t>
      </w:r>
      <w:r>
        <w:rPr>
          <w:sz w:val="20"/>
        </w:rPr>
        <w:t>s.3 was applied to a clause under which party was said to “give </w:t>
      </w:r>
      <w:r>
        <w:rPr>
          <w:sz w:val="20"/>
        </w:rPr>
        <w:t>up any rights … regarding any … misrepresentation” (affirmed </w:t>
      </w:r>
      <w:r>
        <w:rPr>
          <w:rFonts w:ascii="Arial" w:hAnsi="Arial"/>
          <w:i/>
          <w:sz w:val="20"/>
        </w:rPr>
        <w:t>[2009] EWCA Civ 290</w:t>
      </w:r>
      <w:r>
        <w:rPr>
          <w:sz w:val="20"/>
        </w:rPr>
        <w:t>; the trial judge’s</w:t>
      </w:r>
      <w:r>
        <w:rPr>
          <w:spacing w:val="32"/>
          <w:sz w:val="20"/>
        </w:rPr>
        <w:t> </w:t>
      </w:r>
      <w:r>
        <w:rPr>
          <w:sz w:val="20"/>
        </w:rPr>
        <w:t>decision</w:t>
      </w:r>
      <w:r>
        <w:rPr>
          <w:spacing w:val="32"/>
          <w:sz w:val="20"/>
        </w:rPr>
        <w:t> </w:t>
      </w:r>
      <w:r>
        <w:rPr>
          <w:sz w:val="20"/>
        </w:rPr>
        <w:t>on</w:t>
      </w:r>
      <w:r>
        <w:rPr>
          <w:spacing w:val="32"/>
          <w:sz w:val="20"/>
        </w:rPr>
        <w:t> </w:t>
      </w:r>
      <w:r>
        <w:rPr>
          <w:sz w:val="20"/>
        </w:rPr>
        <w:t>this</w:t>
      </w:r>
      <w:r>
        <w:rPr>
          <w:spacing w:val="32"/>
          <w:sz w:val="20"/>
        </w:rPr>
        <w:t> </w:t>
      </w:r>
      <w:r>
        <w:rPr>
          <w:sz w:val="20"/>
        </w:rPr>
        <w:t>point</w:t>
      </w:r>
      <w:r>
        <w:rPr>
          <w:spacing w:val="32"/>
          <w:sz w:val="20"/>
        </w:rPr>
        <w:t> </w:t>
      </w:r>
      <w:r>
        <w:rPr>
          <w:sz w:val="20"/>
        </w:rPr>
        <w:t>was</w:t>
      </w:r>
      <w:r>
        <w:rPr>
          <w:spacing w:val="32"/>
          <w:sz w:val="20"/>
        </w:rPr>
        <w:t> </w:t>
      </w:r>
      <w:r>
        <w:rPr>
          <w:sz w:val="20"/>
        </w:rPr>
        <w:t>not</w:t>
      </w:r>
      <w:r>
        <w:rPr>
          <w:spacing w:val="32"/>
          <w:sz w:val="20"/>
        </w:rPr>
        <w:t> </w:t>
      </w:r>
      <w:r>
        <w:rPr>
          <w:sz w:val="20"/>
        </w:rPr>
        <w:t>appealed,</w:t>
      </w:r>
      <w:r>
        <w:rPr>
          <w:spacing w:val="32"/>
          <w:sz w:val="20"/>
        </w:rPr>
        <w:t> </w:t>
      </w:r>
      <w:r>
        <w:rPr>
          <w:sz w:val="20"/>
        </w:rPr>
        <w:t>see</w:t>
      </w:r>
      <w:r>
        <w:rPr>
          <w:spacing w:val="32"/>
          <w:sz w:val="20"/>
        </w:rPr>
        <w:t> </w:t>
      </w:r>
      <w:r>
        <w:rPr>
          <w:sz w:val="20"/>
        </w:rPr>
        <w:t>at</w:t>
      </w:r>
      <w:r>
        <w:rPr>
          <w:spacing w:val="32"/>
          <w:sz w:val="20"/>
        </w:rPr>
        <w:t> </w:t>
      </w:r>
      <w:r>
        <w:rPr>
          <w:sz w:val="20"/>
        </w:rPr>
        <w:t>[8]).</w:t>
      </w:r>
      <w:r>
        <w:rPr>
          <w:spacing w:val="32"/>
          <w:sz w:val="20"/>
        </w:rPr>
        <w:t> </w:t>
      </w:r>
      <w:r>
        <w:rPr>
          <w:sz w:val="20"/>
        </w:rPr>
        <w:t>See</w:t>
      </w:r>
      <w:r>
        <w:rPr>
          <w:spacing w:val="32"/>
          <w:sz w:val="20"/>
        </w:rPr>
        <w:t> </w:t>
      </w:r>
      <w:r>
        <w:rPr>
          <w:sz w:val="20"/>
        </w:rPr>
        <w:t>A.</w:t>
      </w:r>
      <w:r>
        <w:rPr>
          <w:spacing w:val="32"/>
          <w:sz w:val="20"/>
        </w:rPr>
        <w:t> </w:t>
      </w:r>
      <w:r>
        <w:rPr>
          <w:sz w:val="20"/>
        </w:rPr>
        <w:t>Trukhtanov</w:t>
      </w:r>
      <w:r>
        <w:rPr>
          <w:spacing w:val="32"/>
          <w:sz w:val="20"/>
        </w:rPr>
        <w:t> </w:t>
      </w:r>
      <w:r>
        <w:rPr>
          <w:sz w:val="20"/>
        </w:rPr>
        <w:t>(2009)</w:t>
      </w:r>
      <w:r>
        <w:rPr>
          <w:spacing w:val="32"/>
          <w:sz w:val="20"/>
        </w:rPr>
        <w:t> </w:t>
      </w:r>
      <w:r>
        <w:rPr>
          <w:spacing w:val="-5"/>
          <w:sz w:val="20"/>
        </w:rPr>
        <w:t>125</w:t>
      </w:r>
    </w:p>
    <w:p>
      <w:pPr>
        <w:pStyle w:val="BodyText"/>
        <w:spacing w:line="224" w:lineRule="exact"/>
        <w:ind w:left="705"/>
        <w:jc w:val="both"/>
      </w:pPr>
      <w:r>
        <w:rPr/>
        <w:t>L.Q.R. 648, </w:t>
      </w:r>
      <w:r>
        <w:rPr>
          <w:spacing w:val="-2"/>
        </w:rPr>
        <w:t>666–670.</w:t>
      </w:r>
    </w:p>
    <w:p>
      <w:pPr>
        <w:pStyle w:val="BodyText"/>
        <w:spacing w:before="9"/>
      </w:pPr>
    </w:p>
    <w:p>
      <w:pPr>
        <w:pStyle w:val="BodyText"/>
        <w:spacing w:line="235" w:lineRule="auto"/>
        <w:ind w:left="705" w:right="167" w:hanging="541"/>
        <w:jc w:val="both"/>
      </w:pPr>
      <w:bookmarkStart w:name="_bookmark1315" w:id="1317"/>
      <w:bookmarkEnd w:id="1317"/>
      <w:r>
        <w:rPr/>
      </w:r>
      <w:hyperlink w:history="true" w:anchor="_bookmark1261">
        <w:r>
          <w:rPr>
            <w:color w:val="005DA1"/>
            <w:position w:val="5"/>
            <w:sz w:val="14"/>
            <w:u w:val="single" w:color="005DA1"/>
          </w:rPr>
          <w:t>676</w:t>
        </w:r>
      </w:hyperlink>
      <w:r>
        <w:rPr>
          <w:position w:val="5"/>
          <w:sz w:val="14"/>
        </w:rPr>
        <w:t>.</w:t>
      </w:r>
      <w:r>
        <w:rPr>
          <w:spacing w:val="80"/>
          <w:w w:val="150"/>
          <w:position w:val="5"/>
          <w:sz w:val="14"/>
        </w:rPr>
        <w:t> </w:t>
      </w:r>
      <w:r>
        <w:rPr/>
        <w:t>Misrepresentation</w:t>
      </w:r>
      <w:r>
        <w:rPr>
          <w:spacing w:val="40"/>
        </w:rPr>
        <w:t> </w:t>
      </w:r>
      <w:r>
        <w:rPr/>
        <w:t>Act</w:t>
      </w:r>
      <w:r>
        <w:rPr>
          <w:spacing w:val="40"/>
        </w:rPr>
        <w:t> </w:t>
      </w:r>
      <w:r>
        <w:rPr/>
        <w:t>s.3</w:t>
      </w:r>
      <w:r>
        <w:rPr>
          <w:spacing w:val="40"/>
        </w:rPr>
        <w:t> </w:t>
      </w:r>
      <w:r>
        <w:rPr/>
        <w:t>does</w:t>
      </w:r>
      <w:r>
        <w:rPr>
          <w:spacing w:val="40"/>
        </w:rPr>
        <w:t> </w:t>
      </w:r>
      <w:r>
        <w:rPr/>
        <w:t>not</w:t>
      </w:r>
      <w:r>
        <w:rPr>
          <w:spacing w:val="40"/>
        </w:rPr>
        <w:t> </w:t>
      </w:r>
      <w:r>
        <w:rPr/>
        <w:t>apply</w:t>
      </w:r>
      <w:r>
        <w:rPr>
          <w:spacing w:val="40"/>
        </w:rPr>
        <w:t> </w:t>
      </w:r>
      <w:r>
        <w:rPr/>
        <w:t>to</w:t>
      </w:r>
      <w:r>
        <w:rPr>
          <w:spacing w:val="40"/>
        </w:rPr>
        <w:t> </w:t>
      </w:r>
      <w:r>
        <w:rPr/>
        <w:t>clauses</w:t>
      </w:r>
      <w:r>
        <w:rPr>
          <w:spacing w:val="40"/>
        </w:rPr>
        <w:t> </w:t>
      </w:r>
      <w:r>
        <w:rPr/>
        <w:t>stating</w:t>
      </w:r>
      <w:r>
        <w:rPr>
          <w:spacing w:val="40"/>
        </w:rPr>
        <w:t> </w:t>
      </w:r>
      <w:r>
        <w:rPr/>
        <w:t>that</w:t>
      </w:r>
      <w:r>
        <w:rPr>
          <w:spacing w:val="40"/>
        </w:rPr>
        <w:t> </w:t>
      </w:r>
      <w:r>
        <w:rPr/>
        <w:t>the</w:t>
      </w:r>
      <w:r>
        <w:rPr>
          <w:spacing w:val="40"/>
        </w:rPr>
        <w:t> </w:t>
      </w:r>
      <w:r>
        <w:rPr/>
        <w:t>written</w:t>
      </w:r>
      <w:r>
        <w:rPr>
          <w:spacing w:val="40"/>
        </w:rPr>
        <w:t> </w:t>
      </w:r>
      <w:r>
        <w:rPr/>
        <w:t>document constitutes the entire contract and that particulars given do not constitute an offer or contract, but that is because such a clause does not purport to exclude liability for misrepresentation, but only to define what are the terms of the contract: </w:t>
      </w:r>
      <w:r>
        <w:rPr>
          <w:rFonts w:ascii="Arial"/>
          <w:i/>
        </w:rPr>
        <w:t>McGrath v Shah (1989) 57 P. &amp; C.R. 452</w:t>
      </w:r>
      <w:r>
        <w:rPr/>
        <w:t>.</w:t>
      </w:r>
    </w:p>
    <w:p>
      <w:pPr>
        <w:pStyle w:val="BodyText"/>
        <w:spacing w:before="8"/>
      </w:pPr>
    </w:p>
    <w:p>
      <w:pPr>
        <w:pStyle w:val="BodyText"/>
        <w:spacing w:line="235" w:lineRule="auto"/>
        <w:ind w:left="705" w:right="167" w:hanging="541"/>
        <w:jc w:val="both"/>
      </w:pPr>
      <w:bookmarkStart w:name="_bookmark1316" w:id="1318"/>
      <w:bookmarkEnd w:id="1318"/>
      <w:r>
        <w:rPr/>
      </w:r>
      <w:hyperlink w:history="true" w:anchor="_bookmark1261">
        <w:r>
          <w:rPr>
            <w:color w:val="005DA1"/>
            <w:position w:val="5"/>
            <w:sz w:val="14"/>
            <w:u w:val="single" w:color="005DA1"/>
          </w:rPr>
          <w:t>677</w:t>
        </w:r>
      </w:hyperlink>
      <w:r>
        <w:rPr>
          <w:position w:val="5"/>
          <w:sz w:val="14"/>
        </w:rPr>
        <w:t>.</w:t>
      </w:r>
      <w:r>
        <w:rPr>
          <w:spacing w:val="80"/>
          <w:position w:val="5"/>
          <w:sz w:val="14"/>
        </w:rPr>
        <w:t>  </w:t>
      </w:r>
      <w:r>
        <w:rPr/>
        <w:t>It has been pointed out that the problem is caused by the fact that s.3 has no equivalent to Unfair Contract Terms Act 1977 s.13, which defines </w:t>
      </w:r>
      <w:r>
        <w:rPr>
          <w:rFonts w:ascii="Arial" w:hAnsi="Arial"/>
          <w:i/>
        </w:rPr>
        <w:t>"excluding or restricting liability"</w:t>
      </w:r>
      <w:r>
        <w:rPr>
          <w:rFonts w:ascii="Arial" w:hAnsi="Arial"/>
          <w:i/>
          <w:spacing w:val="40"/>
        </w:rPr>
        <w:t> </w:t>
      </w:r>
      <w:r>
        <w:rPr/>
        <w:t>to include “excluding or restricting liability by reference to terms and notices which exclude or restrict the relevant obligation or duty”: Peel (2001) 117 L.Q.R. 545, 548.</w:t>
      </w:r>
    </w:p>
    <w:p>
      <w:pPr>
        <w:pStyle w:val="BodyText"/>
        <w:spacing w:before="9"/>
      </w:pPr>
    </w:p>
    <w:p>
      <w:pPr>
        <w:tabs>
          <w:tab w:pos="705" w:val="left" w:leader="none"/>
        </w:tabs>
        <w:spacing w:line="235" w:lineRule="auto" w:before="0"/>
        <w:ind w:left="705" w:right="168" w:hanging="541"/>
        <w:jc w:val="left"/>
        <w:rPr>
          <w:sz w:val="20"/>
        </w:rPr>
      </w:pPr>
      <w:bookmarkStart w:name="_bookmark1317" w:id="1319"/>
      <w:bookmarkEnd w:id="1319"/>
      <w:r>
        <w:rPr/>
      </w:r>
      <w:hyperlink w:history="true" w:anchor="_bookmark1262">
        <w:r>
          <w:rPr>
            <w:color w:val="005DA1"/>
            <w:spacing w:val="-4"/>
            <w:position w:val="5"/>
            <w:sz w:val="14"/>
            <w:u w:val="single" w:color="005DA1"/>
          </w:rPr>
          <w:t>678</w:t>
        </w:r>
      </w:hyperlink>
      <w:r>
        <w:rPr>
          <w:spacing w:val="-4"/>
          <w:position w:val="5"/>
          <w:sz w:val="14"/>
        </w:rPr>
        <w:t>.</w:t>
      </w:r>
      <w:r>
        <w:rPr>
          <w:position w:val="5"/>
          <w:sz w:val="14"/>
        </w:rPr>
        <w:tab/>
      </w:r>
      <w:r>
        <w:rPr>
          <w:rFonts w:ascii="Arial"/>
          <w:i/>
          <w:sz w:val="20"/>
        </w:rPr>
        <w:t>Overbrooke</w:t>
      </w:r>
      <w:r>
        <w:rPr>
          <w:rFonts w:ascii="Arial"/>
          <w:i/>
          <w:spacing w:val="23"/>
          <w:sz w:val="20"/>
        </w:rPr>
        <w:t> </w:t>
      </w:r>
      <w:r>
        <w:rPr>
          <w:rFonts w:ascii="Arial"/>
          <w:i/>
          <w:sz w:val="20"/>
        </w:rPr>
        <w:t>Estates</w:t>
      </w:r>
      <w:r>
        <w:rPr>
          <w:rFonts w:ascii="Arial"/>
          <w:i/>
          <w:spacing w:val="23"/>
          <w:sz w:val="20"/>
        </w:rPr>
        <w:t> </w:t>
      </w:r>
      <w:r>
        <w:rPr>
          <w:rFonts w:ascii="Arial"/>
          <w:i/>
          <w:sz w:val="20"/>
        </w:rPr>
        <w:t>Ltd</w:t>
      </w:r>
      <w:r>
        <w:rPr>
          <w:rFonts w:ascii="Arial"/>
          <w:i/>
          <w:spacing w:val="23"/>
          <w:sz w:val="20"/>
        </w:rPr>
        <w:t> </w:t>
      </w:r>
      <w:r>
        <w:rPr>
          <w:rFonts w:ascii="Arial"/>
          <w:i/>
          <w:sz w:val="20"/>
        </w:rPr>
        <w:t>v</w:t>
      </w:r>
      <w:r>
        <w:rPr>
          <w:rFonts w:ascii="Arial"/>
          <w:i/>
          <w:spacing w:val="23"/>
          <w:sz w:val="20"/>
        </w:rPr>
        <w:t> </w:t>
      </w:r>
      <w:r>
        <w:rPr>
          <w:rFonts w:ascii="Arial"/>
          <w:i/>
          <w:sz w:val="20"/>
        </w:rPr>
        <w:t>Glencombe</w:t>
      </w:r>
      <w:r>
        <w:rPr>
          <w:rFonts w:ascii="Arial"/>
          <w:i/>
          <w:spacing w:val="23"/>
          <w:sz w:val="20"/>
        </w:rPr>
        <w:t> </w:t>
      </w:r>
      <w:r>
        <w:rPr>
          <w:rFonts w:ascii="Arial"/>
          <w:i/>
          <w:sz w:val="20"/>
        </w:rPr>
        <w:t>Properties</w:t>
      </w:r>
      <w:r>
        <w:rPr>
          <w:rFonts w:ascii="Arial"/>
          <w:i/>
          <w:spacing w:val="23"/>
          <w:sz w:val="20"/>
        </w:rPr>
        <w:t> </w:t>
      </w:r>
      <w:r>
        <w:rPr>
          <w:rFonts w:ascii="Arial"/>
          <w:i/>
          <w:sz w:val="20"/>
        </w:rPr>
        <w:t>Ltd</w:t>
      </w:r>
      <w:r>
        <w:rPr>
          <w:rFonts w:ascii="Arial"/>
          <w:i/>
          <w:spacing w:val="23"/>
          <w:sz w:val="20"/>
        </w:rPr>
        <w:t> </w:t>
      </w:r>
      <w:r>
        <w:rPr>
          <w:rFonts w:ascii="Arial"/>
          <w:i/>
          <w:sz w:val="20"/>
        </w:rPr>
        <w:t>[1974]</w:t>
      </w:r>
      <w:r>
        <w:rPr>
          <w:rFonts w:ascii="Arial"/>
          <w:i/>
          <w:spacing w:val="23"/>
          <w:sz w:val="20"/>
        </w:rPr>
        <w:t> </w:t>
      </w:r>
      <w:r>
        <w:rPr>
          <w:rFonts w:ascii="Arial"/>
          <w:i/>
          <w:sz w:val="20"/>
        </w:rPr>
        <w:t>1</w:t>
      </w:r>
      <w:r>
        <w:rPr>
          <w:rFonts w:ascii="Arial"/>
          <w:i/>
          <w:spacing w:val="23"/>
          <w:sz w:val="20"/>
        </w:rPr>
        <w:t> </w:t>
      </w:r>
      <w:r>
        <w:rPr>
          <w:rFonts w:ascii="Arial"/>
          <w:i/>
          <w:sz w:val="20"/>
        </w:rPr>
        <w:t>W.L.R.</w:t>
      </w:r>
      <w:r>
        <w:rPr>
          <w:rFonts w:ascii="Arial"/>
          <w:i/>
          <w:spacing w:val="23"/>
          <w:sz w:val="20"/>
        </w:rPr>
        <w:t> </w:t>
      </w:r>
      <w:r>
        <w:rPr>
          <w:rFonts w:ascii="Arial"/>
          <w:i/>
          <w:sz w:val="20"/>
        </w:rPr>
        <w:t>1335</w:t>
      </w:r>
      <w:r>
        <w:rPr>
          <w:sz w:val="20"/>
        </w:rPr>
        <w:t>,</w:t>
      </w:r>
      <w:r>
        <w:rPr>
          <w:spacing w:val="23"/>
          <w:sz w:val="20"/>
        </w:rPr>
        <w:t> </w:t>
      </w:r>
      <w:r>
        <w:rPr>
          <w:sz w:val="20"/>
        </w:rPr>
        <w:t>approved</w:t>
      </w:r>
      <w:r>
        <w:rPr>
          <w:spacing w:val="23"/>
          <w:sz w:val="20"/>
        </w:rPr>
        <w:t> </w:t>
      </w:r>
      <w:r>
        <w:rPr>
          <w:sz w:val="20"/>
        </w:rPr>
        <w:t>by</w:t>
      </w:r>
      <w:r>
        <w:rPr>
          <w:spacing w:val="23"/>
          <w:sz w:val="20"/>
        </w:rPr>
        <w:t> </w:t>
      </w:r>
      <w:r>
        <w:rPr>
          <w:sz w:val="20"/>
        </w:rPr>
        <w:t>the Court of Appeal in</w:t>
      </w:r>
      <w:r>
        <w:rPr>
          <w:spacing w:val="-1"/>
          <w:sz w:val="20"/>
        </w:rPr>
        <w:t> </w:t>
      </w:r>
      <w:r>
        <w:rPr>
          <w:rFonts w:ascii="Arial"/>
          <w:i/>
          <w:sz w:val="20"/>
        </w:rPr>
        <w:t>Museprime Properties Ltd v Adhill Properties Ltd [1990] 2 E.G.L.R. 196, </w:t>
      </w:r>
      <w:r>
        <w:rPr>
          <w:rFonts w:ascii="Arial"/>
          <w:i/>
          <w:spacing w:val="-4"/>
          <w:sz w:val="20"/>
        </w:rPr>
        <w:t>200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318" w:id="1320"/>
      <w:bookmarkEnd w:id="1320"/>
      <w:r>
        <w:rPr/>
      </w:r>
      <w:hyperlink w:history="true" w:anchor="_bookmark1262">
        <w:r>
          <w:rPr>
            <w:color w:val="005DA1"/>
            <w:spacing w:val="-4"/>
            <w:position w:val="5"/>
            <w:sz w:val="14"/>
            <w:u w:val="single" w:color="005DA1"/>
          </w:rPr>
          <w:t>679</w:t>
        </w:r>
      </w:hyperlink>
      <w:r>
        <w:rPr>
          <w:spacing w:val="-4"/>
          <w:position w:val="5"/>
          <w:sz w:val="14"/>
        </w:rPr>
        <w:t>.</w:t>
      </w:r>
      <w:r>
        <w:rPr>
          <w:position w:val="5"/>
          <w:sz w:val="14"/>
        </w:rPr>
        <w:tab/>
      </w:r>
      <w:r>
        <w:rPr>
          <w:sz w:val="20"/>
        </w:rPr>
        <w:t>See next </w:t>
      </w:r>
      <w:r>
        <w:rPr>
          <w:spacing w:val="-2"/>
          <w:sz w:val="20"/>
        </w:rPr>
        <w:t>paragraph.</w:t>
      </w:r>
    </w:p>
    <w:p>
      <w:pPr>
        <w:pStyle w:val="BodyText"/>
        <w:spacing w:before="5"/>
      </w:pPr>
    </w:p>
    <w:p>
      <w:pPr>
        <w:pStyle w:val="BodyText"/>
        <w:tabs>
          <w:tab w:pos="705" w:val="left" w:leader="none"/>
        </w:tabs>
        <w:ind w:left="165"/>
      </w:pPr>
      <w:bookmarkStart w:name="_bookmark1319" w:id="1321"/>
      <w:bookmarkEnd w:id="1321"/>
      <w:r>
        <w:rPr/>
      </w:r>
      <w:hyperlink w:history="true" w:anchor="_bookmark1263">
        <w:r>
          <w:rPr>
            <w:color w:val="005DA1"/>
            <w:spacing w:val="-4"/>
            <w:position w:val="5"/>
            <w:sz w:val="14"/>
            <w:u w:val="single" w:color="005DA1"/>
          </w:rPr>
          <w:t>680</w:t>
        </w:r>
      </w:hyperlink>
      <w:r>
        <w:rPr>
          <w:spacing w:val="-4"/>
          <w:position w:val="5"/>
          <w:sz w:val="14"/>
        </w:rPr>
        <w:t>.</w:t>
      </w:r>
      <w:r>
        <w:rPr>
          <w:position w:val="5"/>
          <w:sz w:val="14"/>
        </w:rPr>
        <w:tab/>
      </w:r>
      <w:r>
        <w:rPr/>
        <w:t>See</w:t>
      </w:r>
      <w:r>
        <w:rPr>
          <w:spacing w:val="-2"/>
        </w:rPr>
        <w:t> </w:t>
      </w:r>
      <w:r>
        <w:rPr/>
        <w:t>above, para.7-</w:t>
      </w:r>
      <w:r>
        <w:rPr>
          <w:spacing w:val="-4"/>
        </w:rPr>
        <w:t>144.</w:t>
      </w:r>
    </w:p>
    <w:p>
      <w:pPr>
        <w:pStyle w:val="BodyText"/>
        <w:spacing w:before="9"/>
      </w:pPr>
    </w:p>
    <w:p>
      <w:pPr>
        <w:spacing w:line="235" w:lineRule="auto" w:before="0"/>
        <w:ind w:left="705" w:right="168" w:hanging="541"/>
        <w:jc w:val="both"/>
        <w:rPr>
          <w:sz w:val="20"/>
        </w:rPr>
      </w:pPr>
      <w:bookmarkStart w:name="_bookmark1320" w:id="1322"/>
      <w:bookmarkEnd w:id="1322"/>
      <w:r>
        <w:rPr/>
      </w:r>
      <w:hyperlink w:history="true" w:anchor="_bookmark1263">
        <w:r>
          <w:rPr>
            <w:color w:val="005DA1"/>
            <w:position w:val="5"/>
            <w:sz w:val="14"/>
            <w:u w:val="single" w:color="005DA1"/>
          </w:rPr>
          <w:t>681</w:t>
        </w:r>
      </w:hyperlink>
      <w:r>
        <w:rPr>
          <w:position w:val="5"/>
          <w:sz w:val="14"/>
        </w:rPr>
        <w:t>.</w:t>
      </w:r>
      <w:r>
        <w:rPr>
          <w:spacing w:val="40"/>
          <w:position w:val="5"/>
          <w:sz w:val="14"/>
        </w:rPr>
        <w:t>  </w:t>
      </w:r>
      <w:r>
        <w:rPr>
          <w:sz w:val="20"/>
        </w:rPr>
        <w:t>Compare </w:t>
      </w:r>
      <w:r>
        <w:rPr>
          <w:rFonts w:ascii="Arial"/>
          <w:i/>
          <w:sz w:val="20"/>
        </w:rPr>
        <w:t>Cremdean v Nash (1977) 241 E.G. 837 CA </w:t>
      </w:r>
      <w:r>
        <w:rPr>
          <w:sz w:val="20"/>
        </w:rPr>
        <w:t>and </w:t>
      </w:r>
      <w:r>
        <w:rPr>
          <w:rFonts w:ascii="Arial"/>
          <w:i/>
          <w:sz w:val="20"/>
        </w:rPr>
        <w:t>FoodCo UK LLP (t/a Muffin Break) v Henry Boot Developments Ltd [2010] EWHC 358 (Ch)</w:t>
      </w:r>
      <w:r>
        <w:rPr>
          <w:rFonts w:ascii="Arial"/>
          <w:i/>
          <w:spacing w:val="-1"/>
          <w:sz w:val="20"/>
        </w:rPr>
        <w:t> </w:t>
      </w:r>
      <w:r>
        <w:rPr>
          <w:sz w:val="20"/>
        </w:rPr>
        <w:t>on the one hand to, on the other,</w:t>
      </w:r>
      <w:r>
        <w:rPr>
          <w:spacing w:val="-1"/>
          <w:sz w:val="20"/>
        </w:rPr>
        <w:t> </w:t>
      </w:r>
      <w:r>
        <w:rPr>
          <w:rFonts w:ascii="Arial"/>
          <w:i/>
          <w:sz w:val="20"/>
        </w:rPr>
        <w:t>William Sindall Plc v Cambridgeshire CC [1994] 1 W.L.R. 1016 </w:t>
      </w:r>
      <w:r>
        <w:rPr>
          <w:sz w:val="20"/>
        </w:rPr>
        <w:t>at 1034 and </w:t>
      </w:r>
      <w:r>
        <w:rPr>
          <w:rFonts w:ascii="Arial"/>
          <w:i/>
          <w:sz w:val="20"/>
        </w:rPr>
        <w:t>Watford Electronics Ltd v Sanderson CFL Ltd [2001] EWCA Civ 317, [2001] Build. L.R. 142 </w:t>
      </w:r>
      <w:r>
        <w:rPr>
          <w:sz w:val="20"/>
        </w:rPr>
        <w:t>at [40].</w:t>
      </w:r>
    </w:p>
    <w:p>
      <w:pPr>
        <w:pStyle w:val="BodyText"/>
        <w:spacing w:before="5"/>
      </w:pPr>
    </w:p>
    <w:p>
      <w:pPr>
        <w:tabs>
          <w:tab w:pos="705" w:val="left" w:leader="none"/>
        </w:tabs>
        <w:spacing w:before="0"/>
        <w:ind w:left="165" w:right="0" w:firstLine="0"/>
        <w:jc w:val="left"/>
        <w:rPr>
          <w:sz w:val="20"/>
        </w:rPr>
      </w:pPr>
      <w:bookmarkStart w:name="_bookmark1321" w:id="1323"/>
      <w:bookmarkEnd w:id="1323"/>
      <w:r>
        <w:rPr/>
      </w:r>
      <w:hyperlink w:history="true" w:anchor="_bookmark1264">
        <w:r>
          <w:rPr>
            <w:color w:val="005DA1"/>
            <w:spacing w:val="-4"/>
            <w:position w:val="5"/>
            <w:sz w:val="14"/>
            <w:u w:val="single" w:color="005DA1"/>
          </w:rPr>
          <w:t>682</w:t>
        </w:r>
      </w:hyperlink>
      <w:r>
        <w:rPr>
          <w:spacing w:val="-4"/>
          <w:position w:val="5"/>
          <w:sz w:val="14"/>
        </w:rPr>
        <w:t>.</w:t>
      </w:r>
      <w:r>
        <w:rPr>
          <w:position w:val="5"/>
          <w:sz w:val="14"/>
        </w:rPr>
        <w:tab/>
      </w:r>
      <w:r>
        <w:rPr>
          <w:rFonts w:ascii="Arial"/>
          <w:i/>
          <w:sz w:val="20"/>
        </w:rPr>
        <w:t>[2010]</w:t>
      </w:r>
      <w:r>
        <w:rPr>
          <w:rFonts w:ascii="Arial"/>
          <w:i/>
          <w:spacing w:val="-1"/>
          <w:sz w:val="20"/>
        </w:rPr>
        <w:t> </w:t>
      </w:r>
      <w:r>
        <w:rPr>
          <w:rFonts w:ascii="Arial"/>
          <w:i/>
          <w:sz w:val="20"/>
        </w:rPr>
        <w:t>EWCA Civ 1221, [2010] 2 C.L.C. 705</w:t>
      </w:r>
      <w:r>
        <w:rPr>
          <w:sz w:val="20"/>
        </w:rPr>
        <w:t>. See McMeel [2011] L.M.C.L.Q. </w:t>
      </w:r>
      <w:r>
        <w:rPr>
          <w:spacing w:val="-4"/>
          <w:sz w:val="20"/>
        </w:rPr>
        <w:t>185.</w:t>
      </w:r>
    </w:p>
    <w:p>
      <w:pPr>
        <w:pStyle w:val="BodyText"/>
        <w:spacing w:before="5"/>
      </w:pPr>
    </w:p>
    <w:p>
      <w:pPr>
        <w:tabs>
          <w:tab w:pos="705" w:val="left" w:leader="none"/>
        </w:tabs>
        <w:spacing w:before="0"/>
        <w:ind w:left="165" w:right="0" w:firstLine="0"/>
        <w:jc w:val="left"/>
        <w:rPr>
          <w:sz w:val="20"/>
        </w:rPr>
      </w:pPr>
      <w:bookmarkStart w:name="_bookmark1322" w:id="1324"/>
      <w:bookmarkEnd w:id="1324"/>
      <w:r>
        <w:rPr/>
      </w:r>
      <w:hyperlink w:history="true" w:anchor="_bookmark1265">
        <w:r>
          <w:rPr>
            <w:color w:val="005DA1"/>
            <w:spacing w:val="-4"/>
            <w:position w:val="5"/>
            <w:sz w:val="14"/>
            <w:u w:val="single" w:color="005DA1"/>
          </w:rPr>
          <w:t>683</w:t>
        </w:r>
      </w:hyperlink>
      <w:r>
        <w:rPr>
          <w:spacing w:val="-4"/>
          <w:position w:val="5"/>
          <w:sz w:val="14"/>
        </w:rPr>
        <w:t>.</w:t>
      </w:r>
      <w:r>
        <w:rPr>
          <w:position w:val="5"/>
          <w:sz w:val="14"/>
        </w:rPr>
        <w:tab/>
      </w:r>
      <w:r>
        <w:rPr>
          <w:rFonts w:ascii="Arial"/>
          <w:i/>
          <w:sz w:val="20"/>
        </w:rPr>
        <w:t>[2010] EWCA Civ 1221</w:t>
      </w:r>
      <w:r>
        <w:rPr>
          <w:rFonts w:ascii="Arial"/>
          <w:i/>
          <w:spacing w:val="-1"/>
          <w:sz w:val="20"/>
        </w:rPr>
        <w:t> </w:t>
      </w:r>
      <w:r>
        <w:rPr>
          <w:sz w:val="20"/>
        </w:rPr>
        <w:t>at [173]; see above, para.7-</w:t>
      </w:r>
      <w:r>
        <w:rPr>
          <w:spacing w:val="-4"/>
          <w:sz w:val="20"/>
        </w:rPr>
        <w:t>145.</w:t>
      </w:r>
    </w:p>
    <w:p>
      <w:pPr>
        <w:pStyle w:val="BodyText"/>
        <w:spacing w:before="9"/>
      </w:pPr>
    </w:p>
    <w:p>
      <w:pPr>
        <w:spacing w:line="235" w:lineRule="auto" w:before="0"/>
        <w:ind w:left="705" w:right="167" w:hanging="541"/>
        <w:jc w:val="both"/>
        <w:rPr>
          <w:rFonts w:ascii="Arial"/>
          <w:i/>
          <w:sz w:val="20"/>
        </w:rPr>
      </w:pPr>
      <w:bookmarkStart w:name="_bookmark1323" w:id="1325"/>
      <w:bookmarkEnd w:id="1325"/>
      <w:r>
        <w:rPr/>
      </w:r>
      <w:hyperlink w:history="true" w:anchor="_bookmark1265">
        <w:r>
          <w:rPr>
            <w:color w:val="005DA1"/>
            <w:position w:val="5"/>
            <w:sz w:val="14"/>
            <w:u w:val="single" w:color="005DA1"/>
          </w:rPr>
          <w:t>684</w:t>
        </w:r>
      </w:hyperlink>
      <w:r>
        <w:rPr>
          <w:position w:val="5"/>
          <w:sz w:val="14"/>
        </w:rPr>
        <w:t>.</w:t>
      </w:r>
      <w:r>
        <w:rPr>
          <w:spacing w:val="80"/>
          <w:position w:val="5"/>
          <w:sz w:val="14"/>
        </w:rPr>
        <w:t>  </w:t>
      </w:r>
      <w:r>
        <w:rPr>
          <w:rFonts w:ascii="Arial"/>
          <w:i/>
          <w:sz w:val="20"/>
        </w:rPr>
        <w:t>[2010] EWCA Civ 1221 </w:t>
      </w:r>
      <w:r>
        <w:rPr>
          <w:sz w:val="20"/>
        </w:rPr>
        <w:t>at [181]. See also </w:t>
      </w:r>
      <w:r>
        <w:rPr>
          <w:rFonts w:ascii="Arial"/>
          <w:i/>
          <w:sz w:val="20"/>
        </w:rPr>
        <w:t>Cassa di Risparmio della Repubblica di San Marino SpA v Barclays Bank Ltd [2011] EWHC 484 (Comm), [2011] 1 C.L.C. 701 </w:t>
      </w:r>
      <w:r>
        <w:rPr>
          <w:sz w:val="20"/>
        </w:rPr>
        <w:t>at [514]. </w:t>
      </w:r>
      <w:r>
        <w:rPr>
          <w:rFonts w:ascii="Arial"/>
          <w:i/>
          <w:sz w:val="20"/>
        </w:rPr>
        <w:t>Camerata Property</w:t>
      </w:r>
      <w:r>
        <w:rPr>
          <w:rFonts w:ascii="Arial"/>
          <w:i/>
          <w:spacing w:val="46"/>
          <w:sz w:val="20"/>
        </w:rPr>
        <w:t> </w:t>
      </w:r>
      <w:r>
        <w:rPr>
          <w:rFonts w:ascii="Arial"/>
          <w:i/>
          <w:sz w:val="20"/>
        </w:rPr>
        <w:t>Inc</w:t>
      </w:r>
      <w:r>
        <w:rPr>
          <w:rFonts w:ascii="Arial"/>
          <w:i/>
          <w:spacing w:val="46"/>
          <w:sz w:val="20"/>
        </w:rPr>
        <w:t> </w:t>
      </w:r>
      <w:r>
        <w:rPr>
          <w:rFonts w:ascii="Arial"/>
          <w:i/>
          <w:sz w:val="20"/>
        </w:rPr>
        <w:t>v</w:t>
      </w:r>
      <w:r>
        <w:rPr>
          <w:rFonts w:ascii="Arial"/>
          <w:i/>
          <w:spacing w:val="46"/>
          <w:sz w:val="20"/>
        </w:rPr>
        <w:t> </w:t>
      </w:r>
      <w:r>
        <w:rPr>
          <w:rFonts w:ascii="Arial"/>
          <w:i/>
          <w:sz w:val="20"/>
        </w:rPr>
        <w:t>Credit</w:t>
      </w:r>
      <w:r>
        <w:rPr>
          <w:rFonts w:ascii="Arial"/>
          <w:i/>
          <w:spacing w:val="46"/>
          <w:sz w:val="20"/>
        </w:rPr>
        <w:t> </w:t>
      </w:r>
      <w:r>
        <w:rPr>
          <w:rFonts w:ascii="Arial"/>
          <w:i/>
          <w:sz w:val="20"/>
        </w:rPr>
        <w:t>Suisse</w:t>
      </w:r>
      <w:r>
        <w:rPr>
          <w:rFonts w:ascii="Arial"/>
          <w:i/>
          <w:spacing w:val="46"/>
          <w:sz w:val="20"/>
        </w:rPr>
        <w:t> </w:t>
      </w:r>
      <w:r>
        <w:rPr>
          <w:rFonts w:ascii="Arial"/>
          <w:i/>
          <w:sz w:val="20"/>
        </w:rPr>
        <w:t>Securities</w:t>
      </w:r>
      <w:r>
        <w:rPr>
          <w:rFonts w:ascii="Arial"/>
          <w:i/>
          <w:spacing w:val="46"/>
          <w:sz w:val="20"/>
        </w:rPr>
        <w:t> </w:t>
      </w:r>
      <w:r>
        <w:rPr>
          <w:rFonts w:ascii="Arial"/>
          <w:i/>
          <w:sz w:val="20"/>
        </w:rPr>
        <w:t>(Europe)</w:t>
      </w:r>
      <w:r>
        <w:rPr>
          <w:rFonts w:ascii="Arial"/>
          <w:i/>
          <w:spacing w:val="46"/>
          <w:sz w:val="20"/>
        </w:rPr>
        <w:t> </w:t>
      </w:r>
      <w:r>
        <w:rPr>
          <w:rFonts w:ascii="Arial"/>
          <w:i/>
          <w:sz w:val="20"/>
        </w:rPr>
        <w:t>Ltd</w:t>
      </w:r>
      <w:r>
        <w:rPr>
          <w:rFonts w:ascii="Arial"/>
          <w:i/>
          <w:spacing w:val="46"/>
          <w:sz w:val="20"/>
        </w:rPr>
        <w:t> </w:t>
      </w:r>
      <w:r>
        <w:rPr>
          <w:rFonts w:ascii="Arial"/>
          <w:i/>
          <w:sz w:val="20"/>
        </w:rPr>
        <w:t>[2011]</w:t>
      </w:r>
      <w:r>
        <w:rPr>
          <w:rFonts w:ascii="Arial"/>
          <w:i/>
          <w:spacing w:val="46"/>
          <w:sz w:val="20"/>
        </w:rPr>
        <w:t> </w:t>
      </w:r>
      <w:r>
        <w:rPr>
          <w:rFonts w:ascii="Arial"/>
          <w:i/>
          <w:sz w:val="20"/>
        </w:rPr>
        <w:t>EWHC</w:t>
      </w:r>
      <w:r>
        <w:rPr>
          <w:rFonts w:ascii="Arial"/>
          <w:i/>
          <w:spacing w:val="46"/>
          <w:sz w:val="20"/>
        </w:rPr>
        <w:t> </w:t>
      </w:r>
      <w:r>
        <w:rPr>
          <w:rFonts w:ascii="Arial"/>
          <w:i/>
          <w:sz w:val="20"/>
        </w:rPr>
        <w:t>479</w:t>
      </w:r>
      <w:r>
        <w:rPr>
          <w:rFonts w:ascii="Arial"/>
          <w:i/>
          <w:spacing w:val="46"/>
          <w:sz w:val="20"/>
        </w:rPr>
        <w:t> </w:t>
      </w:r>
      <w:r>
        <w:rPr>
          <w:rFonts w:ascii="Arial"/>
          <w:i/>
          <w:sz w:val="20"/>
        </w:rPr>
        <w:t>(Comm),</w:t>
      </w:r>
      <w:r>
        <w:rPr>
          <w:rFonts w:ascii="Arial"/>
          <w:i/>
          <w:spacing w:val="46"/>
          <w:sz w:val="20"/>
        </w:rPr>
        <w:t> </w:t>
      </w:r>
      <w:r>
        <w:rPr>
          <w:rFonts w:ascii="Arial"/>
          <w:i/>
          <w:sz w:val="20"/>
        </w:rPr>
        <w:t>[2011]</w:t>
      </w:r>
      <w:r>
        <w:rPr>
          <w:rFonts w:ascii="Arial"/>
          <w:i/>
          <w:spacing w:val="46"/>
          <w:sz w:val="20"/>
        </w:rPr>
        <w:t> </w:t>
      </w:r>
      <w:r>
        <w:rPr>
          <w:rFonts w:ascii="Arial"/>
          <w:i/>
          <w:spacing w:val="-10"/>
          <w:sz w:val="20"/>
        </w:rPr>
        <w:t>1</w:t>
      </w:r>
    </w:p>
    <w:p>
      <w:pPr>
        <w:spacing w:line="235" w:lineRule="auto" w:before="0"/>
        <w:ind w:left="705" w:right="167" w:firstLine="0"/>
        <w:jc w:val="both"/>
        <w:rPr>
          <w:sz w:val="20"/>
        </w:rPr>
      </w:pPr>
      <w:r>
        <w:rPr>
          <w:rFonts w:ascii="Arial"/>
          <w:i/>
          <w:sz w:val="20"/>
        </w:rPr>
        <w:t>C.L.C. 627 </w:t>
      </w:r>
      <w:r>
        <w:rPr>
          <w:sz w:val="20"/>
        </w:rPr>
        <w:t>at [186]; </w:t>
      </w:r>
      <w:r>
        <w:rPr>
          <w:rFonts w:ascii="Arial"/>
          <w:i/>
          <w:sz w:val="20"/>
        </w:rPr>
        <w:t>Standard Chartered Bank v Ceylon Petroleum Corp [2011] EWHC 1785 (Comm) </w:t>
      </w:r>
      <w:r>
        <w:rPr>
          <w:sz w:val="20"/>
        </w:rPr>
        <w:t>at [568].</w:t>
      </w:r>
    </w:p>
    <w:p>
      <w:pPr>
        <w:pStyle w:val="BodyText"/>
        <w:spacing w:before="4"/>
      </w:pPr>
    </w:p>
    <w:p>
      <w:pPr>
        <w:tabs>
          <w:tab w:pos="705" w:val="left" w:leader="none"/>
        </w:tabs>
        <w:spacing w:before="0"/>
        <w:ind w:left="165" w:right="0" w:firstLine="0"/>
        <w:jc w:val="left"/>
        <w:rPr>
          <w:sz w:val="20"/>
        </w:rPr>
      </w:pPr>
      <w:bookmarkStart w:name="_bookmark1324" w:id="1326"/>
      <w:bookmarkEnd w:id="1326"/>
      <w:r>
        <w:rPr/>
      </w:r>
      <w:hyperlink w:history="true" w:anchor="_bookmark1266">
        <w:r>
          <w:rPr>
            <w:color w:val="005DA1"/>
            <w:spacing w:val="-4"/>
            <w:position w:val="5"/>
            <w:sz w:val="14"/>
            <w:u w:val="single" w:color="005DA1"/>
          </w:rPr>
          <w:t>685</w:t>
        </w:r>
      </w:hyperlink>
      <w:r>
        <w:rPr>
          <w:spacing w:val="-4"/>
          <w:position w:val="5"/>
          <w:sz w:val="14"/>
        </w:rPr>
        <w:t>.</w:t>
      </w:r>
      <w:r>
        <w:rPr>
          <w:position w:val="5"/>
          <w:sz w:val="14"/>
        </w:rPr>
        <w:tab/>
      </w:r>
      <w:r>
        <w:rPr>
          <w:rFonts w:ascii="Arial"/>
          <w:i/>
          <w:sz w:val="20"/>
        </w:rPr>
        <w:t>[2010] EWCA Civ 1221</w:t>
      </w:r>
      <w:r>
        <w:rPr>
          <w:rFonts w:ascii="Arial"/>
          <w:i/>
          <w:spacing w:val="-1"/>
          <w:sz w:val="20"/>
        </w:rPr>
        <w:t> </w:t>
      </w:r>
      <w:r>
        <w:rPr>
          <w:sz w:val="20"/>
        </w:rPr>
        <w:t>at [181]. On reasonableness see below, para.7-</w:t>
      </w:r>
      <w:r>
        <w:rPr>
          <w:spacing w:val="-4"/>
          <w:sz w:val="20"/>
        </w:rPr>
        <w:t>152.</w:t>
      </w:r>
    </w:p>
    <w:p>
      <w:pPr>
        <w:spacing w:after="0"/>
        <w:jc w:val="left"/>
        <w:rPr>
          <w:sz w:val="20"/>
        </w:rPr>
        <w:sectPr>
          <w:pgSz w:w="11900" w:h="16840"/>
          <w:pgMar w:header="971" w:footer="0" w:top="1160" w:bottom="280" w:left="1275" w:right="1275"/>
        </w:sectPr>
      </w:pPr>
    </w:p>
    <w:p>
      <w:pPr>
        <w:pStyle w:val="BodyText"/>
        <w:spacing w:before="81"/>
      </w:pPr>
    </w:p>
    <w:p>
      <w:pPr>
        <w:tabs>
          <w:tab w:pos="705" w:val="left" w:leader="none"/>
        </w:tabs>
        <w:spacing w:before="0"/>
        <w:ind w:left="165" w:right="0" w:firstLine="0"/>
        <w:jc w:val="left"/>
        <w:rPr>
          <w:sz w:val="20"/>
        </w:rPr>
      </w:pPr>
      <w:hyperlink w:history="true" w:anchor="_bookmark1267">
        <w:r>
          <w:rPr>
            <w:color w:val="005DA1"/>
            <w:spacing w:val="-4"/>
            <w:position w:val="5"/>
            <w:sz w:val="14"/>
            <w:u w:val="single" w:color="005DA1"/>
          </w:rPr>
          <w:t>686</w:t>
        </w:r>
      </w:hyperlink>
      <w:r>
        <w:rPr>
          <w:spacing w:val="-4"/>
          <w:position w:val="5"/>
          <w:sz w:val="14"/>
        </w:rPr>
        <w:t>.</w:t>
      </w:r>
      <w:r>
        <w:rPr>
          <w:position w:val="5"/>
          <w:sz w:val="14"/>
        </w:rPr>
        <w:tab/>
      </w:r>
      <w:r>
        <w:rPr>
          <w:rFonts w:ascii="Arial"/>
          <w:i/>
          <w:sz w:val="20"/>
        </w:rPr>
        <w:t>[2010] EWHC 1392 </w:t>
      </w:r>
      <w:r>
        <w:rPr>
          <w:rFonts w:ascii="Arial"/>
          <w:i/>
          <w:spacing w:val="-2"/>
          <w:sz w:val="20"/>
        </w:rPr>
        <w:t>(Comm)</w:t>
      </w:r>
      <w:r>
        <w:rPr>
          <w:spacing w:val="-2"/>
          <w:sz w:val="20"/>
        </w:rPr>
        <w:t>.</w:t>
      </w:r>
    </w:p>
    <w:p>
      <w:pPr>
        <w:pStyle w:val="BodyText"/>
        <w:spacing w:before="9"/>
      </w:pPr>
    </w:p>
    <w:p>
      <w:pPr>
        <w:spacing w:line="235" w:lineRule="auto" w:before="0"/>
        <w:ind w:left="705" w:right="168" w:hanging="541"/>
        <w:jc w:val="both"/>
        <w:rPr>
          <w:sz w:val="20"/>
        </w:rPr>
      </w:pPr>
      <w:bookmarkStart w:name="_bookmark1325" w:id="1327"/>
      <w:bookmarkEnd w:id="1327"/>
      <w:r>
        <w:rPr/>
      </w:r>
      <w:hyperlink w:history="true" w:anchor="_bookmark1268">
        <w:r>
          <w:rPr>
            <w:color w:val="005DA1"/>
            <w:position w:val="5"/>
            <w:sz w:val="14"/>
            <w:u w:val="single" w:color="005DA1"/>
          </w:rPr>
          <w:t>687</w:t>
        </w:r>
      </w:hyperlink>
      <w:r>
        <w:rPr>
          <w:position w:val="5"/>
          <w:sz w:val="14"/>
        </w:rPr>
        <w:t>.</w:t>
      </w:r>
      <w:r>
        <w:rPr>
          <w:spacing w:val="40"/>
          <w:position w:val="5"/>
          <w:sz w:val="14"/>
        </w:rPr>
        <w:t>  </w:t>
      </w:r>
      <w:r>
        <w:rPr>
          <w:rFonts w:ascii="Arial" w:hAnsi="Arial"/>
          <w:i/>
          <w:sz w:val="20"/>
        </w:rPr>
        <w:t>[2010] EWCA Civ 1221 </w:t>
      </w:r>
      <w:r>
        <w:rPr>
          <w:sz w:val="20"/>
        </w:rPr>
        <w:t>at [181], referring to </w:t>
      </w:r>
      <w:r>
        <w:rPr>
          <w:rFonts w:ascii="Arial" w:hAnsi="Arial"/>
          <w:i/>
          <w:sz w:val="20"/>
        </w:rPr>
        <w:t>[2010] EWHC 1392 (Comm) </w:t>
      </w:r>
      <w:r>
        <w:rPr>
          <w:sz w:val="20"/>
        </w:rPr>
        <w:t>at [315]; applied in </w:t>
      </w:r>
      <w:r>
        <w:rPr>
          <w:rFonts w:ascii="Arial" w:hAnsi="Arial"/>
          <w:i/>
          <w:sz w:val="20"/>
        </w:rPr>
        <w:t>Avrora Fine Arts Investment Ltd v Christie, Manson &amp; Woods Ltd [2012] EWHC 2198 (Ch) </w:t>
      </w:r>
      <w:r>
        <w:rPr>
          <w:sz w:val="20"/>
        </w:rPr>
        <w:t>at [144]–[145].</w:t>
      </w:r>
      <w:r>
        <w:rPr>
          <w:spacing w:val="7"/>
          <w:sz w:val="20"/>
        </w:rPr>
        <w:t> </w:t>
      </w:r>
      <w:r>
        <w:rPr>
          <w:sz w:val="20"/>
        </w:rPr>
        <w:t>But</w:t>
      </w:r>
      <w:r>
        <w:rPr>
          <w:spacing w:val="9"/>
          <w:sz w:val="20"/>
        </w:rPr>
        <w:t> </w:t>
      </w:r>
      <w:r>
        <w:rPr>
          <w:sz w:val="20"/>
        </w:rPr>
        <w:t>in</w:t>
      </w:r>
      <w:r>
        <w:rPr>
          <w:spacing w:val="9"/>
          <w:sz w:val="20"/>
        </w:rPr>
        <w:t> </w:t>
      </w:r>
      <w:r>
        <w:rPr>
          <w:rFonts w:ascii="Arial" w:hAnsi="Arial"/>
          <w:i/>
          <w:sz w:val="20"/>
        </w:rPr>
        <w:t>Thornbridge</w:t>
      </w:r>
      <w:r>
        <w:rPr>
          <w:rFonts w:ascii="Arial" w:hAnsi="Arial"/>
          <w:i/>
          <w:spacing w:val="9"/>
          <w:sz w:val="20"/>
        </w:rPr>
        <w:t> </w:t>
      </w:r>
      <w:r>
        <w:rPr>
          <w:rFonts w:ascii="Arial" w:hAnsi="Arial"/>
          <w:i/>
          <w:sz w:val="20"/>
        </w:rPr>
        <w:t>Ltd</w:t>
      </w:r>
      <w:r>
        <w:rPr>
          <w:rFonts w:ascii="Arial" w:hAnsi="Arial"/>
          <w:i/>
          <w:spacing w:val="9"/>
          <w:sz w:val="20"/>
        </w:rPr>
        <w:t> </w:t>
      </w:r>
      <w:r>
        <w:rPr>
          <w:rFonts w:ascii="Arial" w:hAnsi="Arial"/>
          <w:i/>
          <w:sz w:val="20"/>
        </w:rPr>
        <w:t>v</w:t>
      </w:r>
      <w:r>
        <w:rPr>
          <w:rFonts w:ascii="Arial" w:hAnsi="Arial"/>
          <w:i/>
          <w:spacing w:val="9"/>
          <w:sz w:val="20"/>
        </w:rPr>
        <w:t> </w:t>
      </w:r>
      <w:r>
        <w:rPr>
          <w:rFonts w:ascii="Arial" w:hAnsi="Arial"/>
          <w:i/>
          <w:sz w:val="20"/>
        </w:rPr>
        <w:t>Barclays</w:t>
      </w:r>
      <w:r>
        <w:rPr>
          <w:rFonts w:ascii="Arial" w:hAnsi="Arial"/>
          <w:i/>
          <w:spacing w:val="9"/>
          <w:sz w:val="20"/>
        </w:rPr>
        <w:t> </w:t>
      </w:r>
      <w:r>
        <w:rPr>
          <w:rFonts w:ascii="Arial" w:hAnsi="Arial"/>
          <w:i/>
          <w:sz w:val="20"/>
        </w:rPr>
        <w:t>Bank</w:t>
      </w:r>
      <w:r>
        <w:rPr>
          <w:rFonts w:ascii="Arial" w:hAnsi="Arial"/>
          <w:i/>
          <w:spacing w:val="9"/>
          <w:sz w:val="20"/>
        </w:rPr>
        <w:t> </w:t>
      </w:r>
      <w:r>
        <w:rPr>
          <w:rFonts w:ascii="Arial" w:hAnsi="Arial"/>
          <w:i/>
          <w:sz w:val="20"/>
        </w:rPr>
        <w:t>Plc</w:t>
      </w:r>
      <w:r>
        <w:rPr>
          <w:rFonts w:ascii="Arial" w:hAnsi="Arial"/>
          <w:i/>
          <w:spacing w:val="9"/>
          <w:sz w:val="20"/>
        </w:rPr>
        <w:t> </w:t>
      </w:r>
      <w:r>
        <w:rPr>
          <w:rFonts w:ascii="Arial" w:hAnsi="Arial"/>
          <w:i/>
          <w:sz w:val="20"/>
        </w:rPr>
        <w:t>[2015]</w:t>
      </w:r>
      <w:r>
        <w:rPr>
          <w:rFonts w:ascii="Arial" w:hAnsi="Arial"/>
          <w:i/>
          <w:spacing w:val="9"/>
          <w:sz w:val="20"/>
        </w:rPr>
        <w:t> </w:t>
      </w:r>
      <w:r>
        <w:rPr>
          <w:rFonts w:ascii="Arial" w:hAnsi="Arial"/>
          <w:i/>
          <w:sz w:val="20"/>
        </w:rPr>
        <w:t>EWHC</w:t>
      </w:r>
      <w:r>
        <w:rPr>
          <w:rFonts w:ascii="Arial" w:hAnsi="Arial"/>
          <w:i/>
          <w:spacing w:val="9"/>
          <w:sz w:val="20"/>
        </w:rPr>
        <w:t> </w:t>
      </w:r>
      <w:r>
        <w:rPr>
          <w:rFonts w:ascii="Arial" w:hAnsi="Arial"/>
          <w:i/>
          <w:sz w:val="20"/>
        </w:rPr>
        <w:t>3430</w:t>
      </w:r>
      <w:r>
        <w:rPr>
          <w:rFonts w:ascii="Arial" w:hAnsi="Arial"/>
          <w:i/>
          <w:spacing w:val="9"/>
          <w:sz w:val="20"/>
        </w:rPr>
        <w:t> </w:t>
      </w:r>
      <w:r>
        <w:rPr>
          <w:rFonts w:ascii="Arial" w:hAnsi="Arial"/>
          <w:i/>
          <w:sz w:val="20"/>
        </w:rPr>
        <w:t>(QB)</w:t>
      </w:r>
      <w:r>
        <w:rPr>
          <w:rFonts w:ascii="Arial" w:hAnsi="Arial"/>
          <w:i/>
          <w:spacing w:val="9"/>
          <w:sz w:val="20"/>
        </w:rPr>
        <w:t> </w:t>
      </w:r>
      <w:r>
        <w:rPr>
          <w:sz w:val="20"/>
        </w:rPr>
        <w:t>at</w:t>
      </w:r>
      <w:r>
        <w:rPr>
          <w:spacing w:val="9"/>
          <w:sz w:val="20"/>
        </w:rPr>
        <w:t> </w:t>
      </w:r>
      <w:r>
        <w:rPr>
          <w:spacing w:val="-2"/>
          <w:sz w:val="20"/>
        </w:rPr>
        <w:t>[97]–[121]</w:t>
      </w:r>
    </w:p>
    <w:p>
      <w:pPr>
        <w:pStyle w:val="BodyText"/>
        <w:spacing w:line="235" w:lineRule="auto"/>
        <w:ind w:left="705" w:right="167"/>
        <w:jc w:val="both"/>
      </w:pPr>
      <w:r>
        <w:rPr/>
        <w:t>H.H. Judge Moulder, sitting as a judge of the High Court, said “the test is not whether </w:t>
      </w:r>
      <w:r>
        <w:rPr/>
        <w:t>the</w:t>
      </w:r>
      <w:r>
        <w:rPr>
          <w:spacing w:val="40"/>
        </w:rPr>
        <w:t> </w:t>
      </w:r>
      <w:r>
        <w:rPr/>
        <w:t>clause attempts to rewrite history or parts company with reality. The first step is to determine </w:t>
      </w:r>
      <w:r>
        <w:rPr/>
        <w:t>as a matter of construction whether the terms define the basis upon which the parties </w:t>
      </w:r>
      <w:r>
        <w:rPr/>
        <w:t>were transacting business or whether they were clauses inserted as a means of evading liability” (at [105]); and in </w:t>
      </w:r>
      <w:r>
        <w:rPr>
          <w:rFonts w:ascii="Arial" w:hAnsi="Arial"/>
          <w:i/>
        </w:rPr>
        <w:t>Sears v Minco Plc [2016] EWHC 433 (Ch) </w:t>
      </w:r>
      <w:r>
        <w:rPr/>
        <w:t>at [74]–[84] H.H. Judge Hodge, </w:t>
      </w:r>
      <w:r>
        <w:rPr/>
        <w:t>sitting as a judge of the High Court, said “I respectfully agree with Judge Moulder’s analysis and conclusions [in </w:t>
      </w:r>
      <w:r>
        <w:rPr>
          <w:rFonts w:ascii="Arial" w:hAnsi="Arial"/>
          <w:i/>
        </w:rPr>
        <w:t>Thornbridge</w:t>
      </w:r>
      <w:r>
        <w:rPr/>
        <w:t>]” (at [80]).</w:t>
      </w:r>
    </w:p>
    <w:p>
      <w:pPr>
        <w:pStyle w:val="BodyText"/>
        <w:spacing w:before="6"/>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85472">
            <wp:simplePos x="0" y="0"/>
            <wp:positionH relativeFrom="page">
              <wp:posOffset>1257846</wp:posOffset>
            </wp:positionH>
            <wp:positionV relativeFrom="paragraph">
              <wp:posOffset>160321</wp:posOffset>
            </wp:positionV>
            <wp:extent cx="107988" cy="107988"/>
            <wp:effectExtent l="0" t="0" r="0" b="0"/>
            <wp:wrapNone/>
            <wp:docPr id="241" name="Image 241"/>
            <wp:cNvGraphicFramePr>
              <a:graphicFrameLocks/>
            </wp:cNvGraphicFramePr>
            <a:graphic>
              <a:graphicData uri="http://schemas.openxmlformats.org/drawingml/2006/picture">
                <pic:pic>
                  <pic:nvPicPr>
                    <pic:cNvPr id="241" name="Image 24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26" w:id="1328"/>
      <w:bookmarkEnd w:id="1328"/>
      <w:r>
        <w:rPr/>
      </w:r>
      <w:hyperlink w:history="true" w:anchor="_bookmark1269">
        <w:r>
          <w:rPr>
            <w:color w:val="005DA1"/>
            <w:spacing w:val="-4"/>
            <w:sz w:val="14"/>
            <w:u w:val="single" w:color="005DA1"/>
          </w:rPr>
          <w:t>688</w:t>
        </w:r>
      </w:hyperlink>
      <w:r>
        <w:rPr>
          <w:spacing w:val="-4"/>
          <w:sz w:val="14"/>
        </w:rPr>
        <w:t>.</w:t>
      </w:r>
    </w:p>
    <w:p>
      <w:pPr>
        <w:pStyle w:val="BodyText"/>
        <w:spacing w:line="235" w:lineRule="auto" w:before="212"/>
        <w:ind w:left="165" w:right="167" w:firstLine="170"/>
        <w:jc w:val="both"/>
      </w:pPr>
      <w:r>
        <w:rPr/>
        <w:br w:type="column"/>
      </w:r>
      <w:r>
        <w:rPr>
          <w:rFonts w:ascii="Arial" w:hAnsi="Arial"/>
          <w:i/>
        </w:rPr>
        <w:t>[2010] EWCA Civ 1221 </w:t>
      </w:r>
      <w:r>
        <w:rPr/>
        <w:t>at [182]. In </w:t>
      </w:r>
      <w:r>
        <w:rPr>
          <w:rFonts w:ascii="Arial" w:hAnsi="Arial"/>
          <w:i/>
        </w:rPr>
        <w:t>Thornbridge Ltd v Barclays Bank Plc [2015] EWHC 3430 (QB) </w:t>
      </w:r>
      <w:r>
        <w:rPr/>
        <w:t>at [97]–[121] H.H. Judge Moulder, sitting as a judge of the High Court, said “the test is not whether the clause attempts to rewrite history or parts company with reality. The first step is to determine</w:t>
      </w:r>
      <w:r>
        <w:rPr>
          <w:spacing w:val="-3"/>
        </w:rPr>
        <w:t> </w:t>
      </w:r>
      <w:r>
        <w:rPr/>
        <w:t>as</w:t>
      </w:r>
      <w:r>
        <w:rPr>
          <w:spacing w:val="-3"/>
        </w:rPr>
        <w:t> </w:t>
      </w:r>
      <w:r>
        <w:rPr/>
        <w:t>a</w:t>
      </w:r>
      <w:r>
        <w:rPr>
          <w:spacing w:val="-3"/>
        </w:rPr>
        <w:t> </w:t>
      </w:r>
      <w:r>
        <w:rPr/>
        <w:t>matter</w:t>
      </w:r>
      <w:r>
        <w:rPr>
          <w:spacing w:val="-3"/>
        </w:rPr>
        <w:t> </w:t>
      </w:r>
      <w:r>
        <w:rPr/>
        <w:t>of</w:t>
      </w:r>
      <w:r>
        <w:rPr>
          <w:spacing w:val="-3"/>
        </w:rPr>
        <w:t> </w:t>
      </w:r>
      <w:r>
        <w:rPr/>
        <w:t>construction</w:t>
      </w:r>
      <w:r>
        <w:rPr>
          <w:spacing w:val="-3"/>
        </w:rPr>
        <w:t> </w:t>
      </w:r>
      <w:r>
        <w:rPr/>
        <w:t>whether</w:t>
      </w:r>
      <w:r>
        <w:rPr>
          <w:spacing w:val="-3"/>
        </w:rPr>
        <w:t> </w:t>
      </w:r>
      <w:r>
        <w:rPr/>
        <w:t>the</w:t>
      </w:r>
      <w:r>
        <w:rPr>
          <w:spacing w:val="-3"/>
        </w:rPr>
        <w:t> </w:t>
      </w:r>
      <w:r>
        <w:rPr/>
        <w:t>terms</w:t>
      </w:r>
      <w:r>
        <w:rPr>
          <w:spacing w:val="-3"/>
        </w:rPr>
        <w:t> </w:t>
      </w:r>
      <w:r>
        <w:rPr/>
        <w:t>define</w:t>
      </w:r>
      <w:r>
        <w:rPr>
          <w:spacing w:val="-3"/>
        </w:rPr>
        <w:t> </w:t>
      </w:r>
      <w:r>
        <w:rPr/>
        <w:t>the</w:t>
      </w:r>
      <w:r>
        <w:rPr>
          <w:spacing w:val="-3"/>
        </w:rPr>
        <w:t> </w:t>
      </w:r>
      <w:r>
        <w:rPr/>
        <w:t>basis</w:t>
      </w:r>
      <w:r>
        <w:rPr>
          <w:spacing w:val="-3"/>
        </w:rPr>
        <w:t> </w:t>
      </w:r>
      <w:r>
        <w:rPr/>
        <w:t>upon</w:t>
      </w:r>
      <w:r>
        <w:rPr>
          <w:spacing w:val="-3"/>
        </w:rPr>
        <w:t> </w:t>
      </w:r>
      <w:r>
        <w:rPr/>
        <w:t>which</w:t>
      </w:r>
      <w:r>
        <w:rPr>
          <w:spacing w:val="-3"/>
        </w:rPr>
        <w:t> </w:t>
      </w:r>
      <w:r>
        <w:rPr/>
        <w:t>the</w:t>
      </w:r>
      <w:r>
        <w:rPr>
          <w:spacing w:val="-3"/>
        </w:rPr>
        <w:t> </w:t>
      </w:r>
      <w:r>
        <w:rPr/>
        <w:t>parties were transacting business or whether they were clauses inserted as a means of evading liability” (at [105]); and in </w:t>
      </w:r>
      <w:r>
        <w:rPr>
          <w:rFonts w:ascii="Arial" w:hAnsi="Arial"/>
          <w:i/>
        </w:rPr>
        <w:t>Sears v Minco Plc [2016] EWHC 433 (Ch) </w:t>
      </w:r>
      <w:r>
        <w:rPr/>
        <w:t>at [74]–[84] H.H. Judge Hodge, sitting as a judge of the High Court, said “I respectfully agree with Judge Moulder’s analysis and conclusions [in </w:t>
      </w:r>
      <w:r>
        <w:rPr>
          <w:rFonts w:ascii="Arial" w:hAnsi="Arial"/>
          <w:i/>
        </w:rPr>
        <w:t>Thornbridge</w:t>
      </w:r>
      <w:r>
        <w:rPr/>
        <w:t>]” (at [80]). But in </w:t>
      </w:r>
      <w:r>
        <w:rPr>
          <w:rFonts w:ascii="Arial" w:hAnsi="Arial"/>
          <w:i/>
        </w:rPr>
        <w:t>First Tower Trustees Ltd v CDS (Superstores International) Ltd [2017] EWHC 891 (Ch), [2017] 4 W.L.R. 73 </w:t>
      </w:r>
      <w:r>
        <w:rPr/>
        <w:t>Michael Brindle QC, sitting as a High Court judge, differed, holding that the </w:t>
      </w:r>
      <w:r>
        <w:rPr>
          <w:rFonts w:ascii="Arial" w:hAnsi="Arial"/>
          <w:i/>
        </w:rPr>
        <w:t>Springwell </w:t>
      </w:r>
      <w:r>
        <w:rPr/>
        <w:t>case “makes it entirely clear that where a representation has been made pre-contract and relied upon, a subsequent provision in the contract which states that there has been no representation or no reliance is, although</w:t>
      </w:r>
      <w:r>
        <w:rPr>
          <w:spacing w:val="-3"/>
        </w:rPr>
        <w:t> </w:t>
      </w:r>
      <w:r>
        <w:rPr/>
        <w:t>contractually</w:t>
      </w:r>
      <w:r>
        <w:rPr>
          <w:spacing w:val="-3"/>
        </w:rPr>
        <w:t> </w:t>
      </w:r>
      <w:r>
        <w:rPr/>
        <w:t>valid,</w:t>
      </w:r>
      <w:r>
        <w:rPr>
          <w:spacing w:val="-3"/>
        </w:rPr>
        <w:t> </w:t>
      </w:r>
      <w:r>
        <w:rPr/>
        <w:t>an</w:t>
      </w:r>
      <w:r>
        <w:rPr>
          <w:spacing w:val="-3"/>
        </w:rPr>
        <w:t> </w:t>
      </w:r>
      <w:r>
        <w:rPr/>
        <w:t>attempt</w:t>
      </w:r>
      <w:r>
        <w:rPr>
          <w:spacing w:val="-3"/>
        </w:rPr>
        <w:t> </w:t>
      </w:r>
      <w:r>
        <w:rPr/>
        <w:t>to</w:t>
      </w:r>
      <w:r>
        <w:rPr>
          <w:spacing w:val="-3"/>
        </w:rPr>
        <w:t> </w:t>
      </w:r>
      <w:r>
        <w:rPr/>
        <w:t>exclude</w:t>
      </w:r>
      <w:r>
        <w:rPr>
          <w:spacing w:val="-3"/>
        </w:rPr>
        <w:t> </w:t>
      </w:r>
      <w:r>
        <w:rPr/>
        <w:t>or</w:t>
      </w:r>
      <w:r>
        <w:rPr>
          <w:spacing w:val="-3"/>
        </w:rPr>
        <w:t> </w:t>
      </w:r>
      <w:r>
        <w:rPr/>
        <w:t>restrict</w:t>
      </w:r>
      <w:r>
        <w:rPr>
          <w:spacing w:val="-3"/>
        </w:rPr>
        <w:t> </w:t>
      </w:r>
      <w:r>
        <w:rPr/>
        <w:t>liability</w:t>
      </w:r>
      <w:r>
        <w:rPr>
          <w:spacing w:val="-3"/>
        </w:rPr>
        <w:t> </w:t>
      </w:r>
      <w:r>
        <w:rPr/>
        <w:t>and</w:t>
      </w:r>
      <w:r>
        <w:rPr>
          <w:spacing w:val="-3"/>
        </w:rPr>
        <w:t> </w:t>
      </w:r>
      <w:r>
        <w:rPr/>
        <w:t>therefore</w:t>
      </w:r>
      <w:r>
        <w:rPr>
          <w:spacing w:val="-3"/>
        </w:rPr>
        <w:t> </w:t>
      </w:r>
      <w:r>
        <w:rPr/>
        <w:t>subject</w:t>
      </w:r>
      <w:r>
        <w:rPr>
          <w:spacing w:val="-3"/>
        </w:rPr>
        <w:t> </w:t>
      </w:r>
      <w:r>
        <w:rPr/>
        <w:t>to</w:t>
      </w:r>
      <w:r>
        <w:rPr>
          <w:spacing w:val="-3"/>
        </w:rPr>
        <w:t> </w:t>
      </w:r>
      <w:r>
        <w:rPr/>
        <w:t>the reasonableness regime” (at [32]).</w:t>
      </w:r>
    </w:p>
    <w:p>
      <w:pPr>
        <w:pStyle w:val="BodyText"/>
        <w:spacing w:after="0" w:line="235" w:lineRule="auto"/>
        <w:jc w:val="both"/>
        <w:sectPr>
          <w:type w:val="continuous"/>
          <w:pgSz w:w="11900" w:h="16840"/>
          <w:pgMar w:header="971" w:footer="0" w:top="1160" w:bottom="280" w:left="1275" w:right="1275"/>
          <w:cols w:num="2" w:equalWidth="0">
            <w:col w:w="478" w:space="63"/>
            <w:col w:w="8809"/>
          </w:cols>
        </w:sectPr>
      </w:pPr>
    </w:p>
    <w:p>
      <w:pPr>
        <w:pStyle w:val="BodyText"/>
        <w:spacing w:before="4"/>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5984">
            <wp:simplePos x="0" y="0"/>
            <wp:positionH relativeFrom="page">
              <wp:posOffset>1257846</wp:posOffset>
            </wp:positionH>
            <wp:positionV relativeFrom="paragraph">
              <wp:posOffset>160753</wp:posOffset>
            </wp:positionV>
            <wp:extent cx="107988" cy="107988"/>
            <wp:effectExtent l="0" t="0" r="0" b="0"/>
            <wp:wrapNone/>
            <wp:docPr id="242" name="Image 242"/>
            <wp:cNvGraphicFramePr>
              <a:graphicFrameLocks/>
            </wp:cNvGraphicFramePr>
            <a:graphic>
              <a:graphicData uri="http://schemas.openxmlformats.org/drawingml/2006/picture">
                <pic:pic>
                  <pic:nvPicPr>
                    <pic:cNvPr id="242" name="Image 24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27" w:id="1329"/>
      <w:bookmarkEnd w:id="1329"/>
      <w:r>
        <w:rPr/>
      </w:r>
      <w:hyperlink w:history="true" w:anchor="_bookmark1270">
        <w:r>
          <w:rPr>
            <w:color w:val="005DA1"/>
            <w:spacing w:val="-4"/>
            <w:sz w:val="14"/>
            <w:u w:val="single" w:color="005DA1"/>
          </w:rPr>
          <w:t>689</w:t>
        </w:r>
      </w:hyperlink>
      <w:r>
        <w:rPr>
          <w:spacing w:val="-4"/>
          <w:sz w:val="14"/>
        </w:rPr>
        <w:t>.</w:t>
      </w:r>
    </w:p>
    <w:p>
      <w:pPr>
        <w:spacing w:line="235" w:lineRule="auto" w:before="213"/>
        <w:ind w:left="165" w:right="167" w:firstLine="170"/>
        <w:jc w:val="both"/>
        <w:rPr>
          <w:sz w:val="20"/>
        </w:rPr>
      </w:pPr>
      <w:r>
        <w:rPr/>
        <w:br w:type="column"/>
      </w:r>
      <w:r>
        <w:rPr>
          <w:sz w:val="20"/>
        </w:rPr>
        <w:t>See e.g. the effect of the clauses in </w:t>
      </w:r>
      <w:r>
        <w:rPr>
          <w:rFonts w:ascii="Arial"/>
          <w:i/>
          <w:sz w:val="20"/>
        </w:rPr>
        <w:t>Bikam OOD v Adria Cable Sarl [2012] EWHC 621 (Comm)</w:t>
      </w:r>
      <w:r>
        <w:rPr>
          <w:sz w:val="20"/>
        </w:rPr>
        <w:t>, above, para.7-143 n.637. Similarly, a clause has been held to prevent a duty of </w:t>
      </w:r>
      <w:r>
        <w:rPr>
          <w:sz w:val="20"/>
        </w:rPr>
        <w:t>care arising in tort rather than excluding liability, so the clause did not fall within s.2(2) of the Unfair Contract Terms Act 1977: </w:t>
      </w:r>
      <w:r>
        <w:rPr>
          <w:rFonts w:ascii="Arial"/>
          <w:i/>
          <w:sz w:val="20"/>
        </w:rPr>
        <w:t>Crestsign Ltd v National Westminster Bank Plc [2014] EWHC 3043 </w:t>
      </w:r>
      <w:r>
        <w:rPr>
          <w:rFonts w:ascii="Arial"/>
          <w:i/>
          <w:spacing w:val="-2"/>
          <w:sz w:val="20"/>
        </w:rPr>
        <w:t>(Ch)</w:t>
      </w:r>
      <w:r>
        <w:rPr>
          <w:spacing w:val="-2"/>
          <w:sz w:val="20"/>
        </w:rPr>
        <w:t>.</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bookmarkStart w:name="_bookmark1328" w:id="1330"/>
      <w:bookmarkEnd w:id="1330"/>
      <w:r>
        <w:rPr/>
      </w:r>
      <w:hyperlink w:history="true" w:anchor="_bookmark1271">
        <w:r>
          <w:rPr>
            <w:color w:val="005DA1"/>
            <w:spacing w:val="-4"/>
            <w:sz w:val="14"/>
            <w:u w:val="single" w:color="005DA1"/>
          </w:rPr>
          <w:t>690</w:t>
        </w:r>
      </w:hyperlink>
      <w:r>
        <w:rPr>
          <w:spacing w:val="-4"/>
          <w:sz w:val="14"/>
        </w:rPr>
        <w:t>.</w:t>
      </w:r>
    </w:p>
    <w:p>
      <w:pPr>
        <w:pStyle w:val="BodyText"/>
        <w:spacing w:before="208"/>
        <w:ind w:left="335"/>
      </w:pPr>
      <w:r>
        <w:rPr/>
        <w:br w:type="column"/>
      </w:r>
      <w:r>
        <w:rPr/>
        <w:t>cf. Vol.I, para.7-</w:t>
      </w:r>
      <w:r>
        <w:rPr>
          <w:spacing w:val="-4"/>
        </w:rPr>
        <w:t>006.</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9"/>
      </w:pPr>
    </w:p>
    <w:p>
      <w:pPr>
        <w:tabs>
          <w:tab w:pos="705" w:val="left" w:leader="none"/>
        </w:tabs>
        <w:spacing w:line="235" w:lineRule="auto" w:before="0"/>
        <w:ind w:left="705" w:right="168" w:hanging="541"/>
        <w:jc w:val="left"/>
        <w:rPr>
          <w:rFonts w:ascii="Arial" w:hAnsi="Arial"/>
          <w:i/>
          <w:sz w:val="20"/>
        </w:rPr>
      </w:pPr>
      <w:r>
        <w:rPr>
          <w:rFonts w:ascii="Arial" w:hAnsi="Arial"/>
          <w:i/>
          <w:sz w:val="20"/>
        </w:rPr>
        <w:drawing>
          <wp:anchor distT="0" distB="0" distL="0" distR="0" allowOverlap="1" layoutInCell="1" locked="0" behindDoc="0" simplePos="0" relativeHeight="15786496">
            <wp:simplePos x="0" y="0"/>
            <wp:positionH relativeFrom="page">
              <wp:posOffset>1257846</wp:posOffset>
            </wp:positionH>
            <wp:positionV relativeFrom="paragraph">
              <wp:posOffset>-269683</wp:posOffset>
            </wp:positionV>
            <wp:extent cx="107988" cy="107988"/>
            <wp:effectExtent l="0" t="0" r="0" b="0"/>
            <wp:wrapNone/>
            <wp:docPr id="243" name="Image 243"/>
            <wp:cNvGraphicFramePr>
              <a:graphicFrameLocks/>
            </wp:cNvGraphicFramePr>
            <a:graphic>
              <a:graphicData uri="http://schemas.openxmlformats.org/drawingml/2006/picture">
                <pic:pic>
                  <pic:nvPicPr>
                    <pic:cNvPr id="243" name="Image 24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29" w:id="1331"/>
      <w:bookmarkEnd w:id="1331"/>
      <w:r>
        <w:rPr/>
      </w:r>
      <w:hyperlink w:history="true" w:anchor="_bookmark1272">
        <w:r>
          <w:rPr>
            <w:color w:val="005DA1"/>
            <w:spacing w:val="-4"/>
            <w:position w:val="5"/>
            <w:sz w:val="14"/>
            <w:u w:val="single" w:color="005DA1"/>
          </w:rPr>
          <w:t>691</w:t>
        </w:r>
      </w:hyperlink>
      <w:r>
        <w:rPr>
          <w:spacing w:val="-4"/>
          <w:position w:val="5"/>
          <w:sz w:val="14"/>
        </w:rPr>
        <w:t>.</w:t>
      </w:r>
      <w:r>
        <w:rPr>
          <w:position w:val="5"/>
          <w:sz w:val="14"/>
        </w:rPr>
        <w:tab/>
      </w:r>
      <w:r>
        <w:rPr>
          <w:rFonts w:ascii="Arial" w:hAnsi="Arial"/>
          <w:i/>
          <w:sz w:val="20"/>
        </w:rPr>
        <w:t>Cremdean v Nash (1977) 241 E.G. 837 CA</w:t>
      </w:r>
      <w:r>
        <w:rPr>
          <w:sz w:val="20"/>
        </w:rPr>
        <w:t>. See also </w:t>
      </w:r>
      <w:r>
        <w:rPr>
          <w:rFonts w:ascii="Arial" w:hAnsi="Arial"/>
          <w:i/>
          <w:sz w:val="20"/>
        </w:rPr>
        <w:t>Thomas Witter Ltd v TBP Industries </w:t>
      </w:r>
      <w:r>
        <w:rPr>
          <w:rFonts w:ascii="Arial" w:hAnsi="Arial"/>
          <w:i/>
          <w:sz w:val="20"/>
        </w:rPr>
        <w:t>Ltd [1992]</w:t>
      </w:r>
      <w:r>
        <w:rPr>
          <w:rFonts w:ascii="Arial" w:hAnsi="Arial"/>
          <w:i/>
          <w:spacing w:val="32"/>
          <w:sz w:val="20"/>
        </w:rPr>
        <w:t> </w:t>
      </w:r>
      <w:r>
        <w:rPr>
          <w:rFonts w:ascii="Arial" w:hAnsi="Arial"/>
          <w:i/>
          <w:sz w:val="20"/>
        </w:rPr>
        <w:t>All</w:t>
      </w:r>
      <w:r>
        <w:rPr>
          <w:rFonts w:ascii="Arial" w:hAnsi="Arial"/>
          <w:i/>
          <w:spacing w:val="33"/>
          <w:sz w:val="20"/>
        </w:rPr>
        <w:t> </w:t>
      </w:r>
      <w:r>
        <w:rPr>
          <w:rFonts w:ascii="Arial" w:hAnsi="Arial"/>
          <w:i/>
          <w:sz w:val="20"/>
        </w:rPr>
        <w:t>E.R.</w:t>
      </w:r>
      <w:r>
        <w:rPr>
          <w:rFonts w:ascii="Arial" w:hAnsi="Arial"/>
          <w:i/>
          <w:spacing w:val="33"/>
          <w:sz w:val="20"/>
        </w:rPr>
        <w:t> </w:t>
      </w:r>
      <w:r>
        <w:rPr>
          <w:rFonts w:ascii="Arial" w:hAnsi="Arial"/>
          <w:i/>
          <w:sz w:val="20"/>
        </w:rPr>
        <w:t>573,</w:t>
      </w:r>
      <w:r>
        <w:rPr>
          <w:rFonts w:ascii="Arial" w:hAnsi="Arial"/>
          <w:i/>
          <w:spacing w:val="33"/>
          <w:sz w:val="20"/>
        </w:rPr>
        <w:t> </w:t>
      </w:r>
      <w:r>
        <w:rPr>
          <w:rFonts w:ascii="Arial" w:hAnsi="Arial"/>
          <w:i/>
          <w:sz w:val="20"/>
        </w:rPr>
        <w:t>597–598</w:t>
      </w:r>
      <w:r>
        <w:rPr>
          <w:sz w:val="20"/>
        </w:rPr>
        <w:t>;</w:t>
      </w:r>
      <w:r>
        <w:rPr>
          <w:spacing w:val="33"/>
          <w:sz w:val="20"/>
        </w:rPr>
        <w:t> </w:t>
      </w:r>
      <w:r>
        <w:rPr>
          <w:rFonts w:ascii="Arial" w:hAnsi="Arial"/>
          <w:i/>
          <w:sz w:val="20"/>
        </w:rPr>
        <w:t>Zanzibar</w:t>
      </w:r>
      <w:r>
        <w:rPr>
          <w:rFonts w:ascii="Arial" w:hAnsi="Arial"/>
          <w:i/>
          <w:spacing w:val="33"/>
          <w:sz w:val="20"/>
        </w:rPr>
        <w:t> </w:t>
      </w:r>
      <w:r>
        <w:rPr>
          <w:rFonts w:ascii="Arial" w:hAnsi="Arial"/>
          <w:i/>
          <w:sz w:val="20"/>
        </w:rPr>
        <w:t>v</w:t>
      </w:r>
      <w:r>
        <w:rPr>
          <w:rFonts w:ascii="Arial" w:hAnsi="Arial"/>
          <w:i/>
          <w:spacing w:val="33"/>
          <w:sz w:val="20"/>
        </w:rPr>
        <w:t> </w:t>
      </w:r>
      <w:r>
        <w:rPr>
          <w:rFonts w:ascii="Arial" w:hAnsi="Arial"/>
          <w:i/>
          <w:sz w:val="20"/>
        </w:rPr>
        <w:t>British</w:t>
      </w:r>
      <w:r>
        <w:rPr>
          <w:rFonts w:ascii="Arial" w:hAnsi="Arial"/>
          <w:i/>
          <w:spacing w:val="33"/>
          <w:sz w:val="20"/>
        </w:rPr>
        <w:t> </w:t>
      </w:r>
      <w:r>
        <w:rPr>
          <w:rFonts w:ascii="Arial" w:hAnsi="Arial"/>
          <w:i/>
          <w:sz w:val="20"/>
        </w:rPr>
        <w:t>Aerospace</w:t>
      </w:r>
      <w:r>
        <w:rPr>
          <w:rFonts w:ascii="Arial" w:hAnsi="Arial"/>
          <w:i/>
          <w:spacing w:val="33"/>
          <w:sz w:val="20"/>
        </w:rPr>
        <w:t> </w:t>
      </w:r>
      <w:r>
        <w:rPr>
          <w:rFonts w:ascii="Arial" w:hAnsi="Arial"/>
          <w:i/>
          <w:sz w:val="20"/>
        </w:rPr>
        <w:t>(Lancaster</w:t>
      </w:r>
      <w:r>
        <w:rPr>
          <w:rFonts w:ascii="Arial" w:hAnsi="Arial"/>
          <w:i/>
          <w:spacing w:val="33"/>
          <w:sz w:val="20"/>
        </w:rPr>
        <w:t> </w:t>
      </w:r>
      <w:r>
        <w:rPr>
          <w:rFonts w:ascii="Arial" w:hAnsi="Arial"/>
          <w:i/>
          <w:sz w:val="20"/>
        </w:rPr>
        <w:t>House)</w:t>
      </w:r>
      <w:r>
        <w:rPr>
          <w:rFonts w:ascii="Arial" w:hAnsi="Arial"/>
          <w:i/>
          <w:spacing w:val="33"/>
          <w:sz w:val="20"/>
        </w:rPr>
        <w:t> </w:t>
      </w:r>
      <w:r>
        <w:rPr>
          <w:rFonts w:ascii="Arial" w:hAnsi="Arial"/>
          <w:i/>
          <w:sz w:val="20"/>
        </w:rPr>
        <w:t>Ltd</w:t>
      </w:r>
      <w:r>
        <w:rPr>
          <w:rFonts w:ascii="Arial" w:hAnsi="Arial"/>
          <w:i/>
          <w:spacing w:val="33"/>
          <w:sz w:val="20"/>
        </w:rPr>
        <w:t> </w:t>
      </w:r>
      <w:r>
        <w:rPr>
          <w:rFonts w:ascii="Arial" w:hAnsi="Arial"/>
          <w:i/>
          <w:sz w:val="20"/>
        </w:rPr>
        <w:t>[2000]</w:t>
      </w:r>
      <w:r>
        <w:rPr>
          <w:rFonts w:ascii="Arial" w:hAnsi="Arial"/>
          <w:i/>
          <w:spacing w:val="33"/>
          <w:sz w:val="20"/>
        </w:rPr>
        <w:t> </w:t>
      </w:r>
      <w:r>
        <w:rPr>
          <w:rFonts w:ascii="Arial" w:hAnsi="Arial"/>
          <w:i/>
          <w:spacing w:val="-10"/>
          <w:sz w:val="20"/>
        </w:rPr>
        <w:t>1</w:t>
      </w:r>
    </w:p>
    <w:p>
      <w:pPr>
        <w:spacing w:line="225" w:lineRule="exact" w:before="0"/>
        <w:ind w:left="705" w:right="0" w:firstLine="0"/>
        <w:jc w:val="left"/>
        <w:rPr>
          <w:sz w:val="20"/>
        </w:rPr>
      </w:pPr>
      <w:r>
        <w:rPr>
          <w:rFonts w:ascii="Arial"/>
          <w:i/>
          <w:sz w:val="20"/>
        </w:rPr>
        <w:t>W.L.R. 2333, </w:t>
      </w:r>
      <w:r>
        <w:rPr>
          <w:rFonts w:ascii="Arial"/>
          <w:i/>
          <w:spacing w:val="-4"/>
          <w:sz w:val="20"/>
        </w:rPr>
        <w:t>2347</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1330" w:id="1332"/>
      <w:bookmarkEnd w:id="1332"/>
      <w:r>
        <w:rPr/>
      </w:r>
      <w:hyperlink w:history="true" w:anchor="_bookmark1273">
        <w:r>
          <w:rPr>
            <w:color w:val="005DA1"/>
            <w:spacing w:val="-4"/>
            <w:position w:val="5"/>
            <w:sz w:val="14"/>
            <w:u w:val="single" w:color="005DA1"/>
          </w:rPr>
          <w:t>692</w:t>
        </w:r>
      </w:hyperlink>
      <w:r>
        <w:rPr>
          <w:spacing w:val="-4"/>
          <w:position w:val="5"/>
          <w:sz w:val="14"/>
        </w:rPr>
        <w:t>.</w:t>
      </w:r>
      <w:r>
        <w:rPr>
          <w:position w:val="5"/>
          <w:sz w:val="14"/>
        </w:rPr>
        <w:tab/>
      </w:r>
      <w:r>
        <w:rPr>
          <w:rFonts w:ascii="Arial" w:hAnsi="Arial"/>
          <w:i/>
          <w:sz w:val="20"/>
        </w:rPr>
        <w:t>IFE</w:t>
      </w:r>
      <w:r>
        <w:rPr>
          <w:rFonts w:ascii="Arial" w:hAnsi="Arial"/>
          <w:i/>
          <w:spacing w:val="35"/>
          <w:sz w:val="20"/>
        </w:rPr>
        <w:t> </w:t>
      </w:r>
      <w:r>
        <w:rPr>
          <w:rFonts w:ascii="Arial" w:hAnsi="Arial"/>
          <w:i/>
          <w:sz w:val="20"/>
        </w:rPr>
        <w:t>Fund</w:t>
      </w:r>
      <w:r>
        <w:rPr>
          <w:rFonts w:ascii="Arial" w:hAnsi="Arial"/>
          <w:i/>
          <w:spacing w:val="35"/>
          <w:sz w:val="20"/>
        </w:rPr>
        <w:t> </w:t>
      </w:r>
      <w:r>
        <w:rPr>
          <w:rFonts w:ascii="Arial" w:hAnsi="Arial"/>
          <w:i/>
          <w:sz w:val="20"/>
        </w:rPr>
        <w:t>SA</w:t>
      </w:r>
      <w:r>
        <w:rPr>
          <w:rFonts w:ascii="Arial" w:hAnsi="Arial"/>
          <w:i/>
          <w:spacing w:val="35"/>
          <w:sz w:val="20"/>
        </w:rPr>
        <w:t> </w:t>
      </w:r>
      <w:r>
        <w:rPr>
          <w:rFonts w:ascii="Arial" w:hAnsi="Arial"/>
          <w:i/>
          <w:sz w:val="20"/>
        </w:rPr>
        <w:t>v</w:t>
      </w:r>
      <w:r>
        <w:rPr>
          <w:rFonts w:ascii="Arial" w:hAnsi="Arial"/>
          <w:i/>
          <w:spacing w:val="35"/>
          <w:sz w:val="20"/>
        </w:rPr>
        <w:t> </w:t>
      </w:r>
      <w:r>
        <w:rPr>
          <w:rFonts w:ascii="Arial" w:hAnsi="Arial"/>
          <w:i/>
          <w:sz w:val="20"/>
        </w:rPr>
        <w:t>Goldman</w:t>
      </w:r>
      <w:r>
        <w:rPr>
          <w:rFonts w:ascii="Arial" w:hAnsi="Arial"/>
          <w:i/>
          <w:spacing w:val="35"/>
          <w:sz w:val="20"/>
        </w:rPr>
        <w:t> </w:t>
      </w:r>
      <w:r>
        <w:rPr>
          <w:rFonts w:ascii="Arial" w:hAnsi="Arial"/>
          <w:i/>
          <w:sz w:val="20"/>
        </w:rPr>
        <w:t>Sachs</w:t>
      </w:r>
      <w:r>
        <w:rPr>
          <w:rFonts w:ascii="Arial" w:hAnsi="Arial"/>
          <w:i/>
          <w:spacing w:val="35"/>
          <w:sz w:val="20"/>
        </w:rPr>
        <w:t> </w:t>
      </w:r>
      <w:r>
        <w:rPr>
          <w:rFonts w:ascii="Arial" w:hAnsi="Arial"/>
          <w:i/>
          <w:sz w:val="20"/>
        </w:rPr>
        <w:t>International</w:t>
      </w:r>
      <w:r>
        <w:rPr>
          <w:rFonts w:ascii="Arial" w:hAnsi="Arial"/>
          <w:i/>
          <w:spacing w:val="35"/>
          <w:sz w:val="20"/>
        </w:rPr>
        <w:t> </w:t>
      </w:r>
      <w:r>
        <w:rPr>
          <w:rFonts w:ascii="Arial" w:hAnsi="Arial"/>
          <w:i/>
          <w:sz w:val="20"/>
        </w:rPr>
        <w:t>[2006]</w:t>
      </w:r>
      <w:r>
        <w:rPr>
          <w:rFonts w:ascii="Arial" w:hAnsi="Arial"/>
          <w:i/>
          <w:spacing w:val="35"/>
          <w:sz w:val="20"/>
        </w:rPr>
        <w:t> </w:t>
      </w:r>
      <w:r>
        <w:rPr>
          <w:rFonts w:ascii="Arial" w:hAnsi="Arial"/>
          <w:i/>
          <w:sz w:val="20"/>
        </w:rPr>
        <w:t>EWHC</w:t>
      </w:r>
      <w:r>
        <w:rPr>
          <w:rFonts w:ascii="Arial" w:hAnsi="Arial"/>
          <w:i/>
          <w:spacing w:val="35"/>
          <w:sz w:val="20"/>
        </w:rPr>
        <w:t> </w:t>
      </w:r>
      <w:r>
        <w:rPr>
          <w:rFonts w:ascii="Arial" w:hAnsi="Arial"/>
          <w:i/>
          <w:sz w:val="20"/>
        </w:rPr>
        <w:t>2887</w:t>
      </w:r>
      <w:r>
        <w:rPr>
          <w:rFonts w:ascii="Arial" w:hAnsi="Arial"/>
          <w:i/>
          <w:spacing w:val="35"/>
          <w:sz w:val="20"/>
        </w:rPr>
        <w:t> </w:t>
      </w:r>
      <w:r>
        <w:rPr>
          <w:rFonts w:ascii="Arial" w:hAnsi="Arial"/>
          <w:i/>
          <w:sz w:val="20"/>
        </w:rPr>
        <w:t>(Comm),</w:t>
      </w:r>
      <w:r>
        <w:rPr>
          <w:rFonts w:ascii="Arial" w:hAnsi="Arial"/>
          <w:i/>
          <w:spacing w:val="35"/>
          <w:sz w:val="20"/>
        </w:rPr>
        <w:t> </w:t>
      </w:r>
      <w:r>
        <w:rPr>
          <w:rFonts w:ascii="Arial" w:hAnsi="Arial"/>
          <w:i/>
          <w:sz w:val="20"/>
        </w:rPr>
        <w:t>[2007]</w:t>
      </w:r>
      <w:r>
        <w:rPr>
          <w:rFonts w:ascii="Arial" w:hAnsi="Arial"/>
          <w:i/>
          <w:spacing w:val="35"/>
          <w:sz w:val="20"/>
        </w:rPr>
        <w:t> </w:t>
      </w:r>
      <w:r>
        <w:rPr>
          <w:rFonts w:ascii="Arial" w:hAnsi="Arial"/>
          <w:i/>
          <w:sz w:val="20"/>
        </w:rPr>
        <w:t>1</w:t>
      </w:r>
      <w:r>
        <w:rPr>
          <w:rFonts w:ascii="Arial" w:hAnsi="Arial"/>
          <w:i/>
          <w:spacing w:val="35"/>
          <w:sz w:val="20"/>
        </w:rPr>
        <w:t> </w:t>
      </w:r>
      <w:r>
        <w:rPr>
          <w:rFonts w:ascii="Arial" w:hAnsi="Arial"/>
          <w:i/>
          <w:spacing w:val="-2"/>
          <w:sz w:val="20"/>
        </w:rPr>
        <w:t>Lloyd’s</w:t>
      </w:r>
    </w:p>
    <w:p>
      <w:pPr>
        <w:spacing w:line="235" w:lineRule="auto" w:before="1"/>
        <w:ind w:left="705" w:right="167" w:firstLine="0"/>
        <w:jc w:val="both"/>
        <w:rPr>
          <w:sz w:val="20"/>
        </w:rPr>
      </w:pPr>
      <w:r>
        <w:rPr>
          <w:rFonts w:ascii="Arial" w:hAnsi="Arial"/>
          <w:i/>
          <w:sz w:val="20"/>
        </w:rPr>
        <w:t>Rep. 264 </w:t>
      </w:r>
      <w:r>
        <w:rPr>
          <w:sz w:val="20"/>
        </w:rPr>
        <w:t>at [68]–[69]; affirmed without comment on this point </w:t>
      </w:r>
      <w:r>
        <w:rPr>
          <w:rFonts w:ascii="Arial" w:hAnsi="Arial"/>
          <w:i/>
          <w:sz w:val="20"/>
        </w:rPr>
        <w:t>[2007] EWCA Civ 811, [2007] 2 Lloyd’s Rep. 449</w:t>
      </w:r>
      <w:r>
        <w:rPr>
          <w:sz w:val="20"/>
        </w:rPr>
        <w:t>. The judge held that on the facts no representation had been made (see para.7-007, above). A “no reliance” clause was held to be ineffective under s.3 in </w:t>
      </w:r>
      <w:r>
        <w:rPr>
          <w:rFonts w:ascii="Arial" w:hAnsi="Arial"/>
          <w:i/>
          <w:sz w:val="20"/>
        </w:rPr>
        <w:t>Leofelis SA </w:t>
      </w:r>
      <w:r>
        <w:rPr>
          <w:rFonts w:ascii="Arial" w:hAnsi="Arial"/>
          <w:i/>
          <w:sz w:val="20"/>
        </w:rPr>
        <w:t>v Lonsdale Sports Ltd [2007] EWHC 451 (Ch)</w:t>
      </w:r>
      <w:r>
        <w:rPr>
          <w:sz w:val="20"/>
        </w:rPr>
        <w:t>.</w:t>
      </w:r>
    </w:p>
    <w:p>
      <w:pPr>
        <w:pStyle w:val="BodyText"/>
        <w:spacing w:before="8"/>
      </w:pPr>
    </w:p>
    <w:p>
      <w:pPr>
        <w:spacing w:line="235" w:lineRule="auto" w:before="1"/>
        <w:ind w:left="705" w:right="167" w:hanging="541"/>
        <w:jc w:val="both"/>
        <w:rPr>
          <w:sz w:val="20"/>
        </w:rPr>
      </w:pPr>
      <w:bookmarkStart w:name="_bookmark1331" w:id="1333"/>
      <w:bookmarkEnd w:id="1333"/>
      <w:r>
        <w:rPr/>
      </w:r>
      <w:hyperlink w:history="true" w:anchor="_bookmark1274">
        <w:r>
          <w:rPr>
            <w:color w:val="005DA1"/>
            <w:position w:val="5"/>
            <w:sz w:val="14"/>
            <w:u w:val="single" w:color="005DA1"/>
          </w:rPr>
          <w:t>693</w:t>
        </w:r>
      </w:hyperlink>
      <w:r>
        <w:rPr>
          <w:position w:val="5"/>
          <w:sz w:val="14"/>
        </w:rPr>
        <w:t>.</w:t>
      </w:r>
      <w:r>
        <w:rPr>
          <w:spacing w:val="80"/>
          <w:w w:val="150"/>
          <w:position w:val="5"/>
          <w:sz w:val="14"/>
        </w:rPr>
        <w:t> </w:t>
      </w:r>
      <w:r>
        <w:rPr>
          <w:rFonts w:ascii="Arial" w:hAnsi="Arial"/>
          <w:i/>
          <w:sz w:val="20"/>
        </w:rPr>
        <w:t>Raiffeisen</w:t>
      </w:r>
      <w:r>
        <w:rPr>
          <w:rFonts w:ascii="Arial" w:hAnsi="Arial"/>
          <w:i/>
          <w:spacing w:val="40"/>
          <w:sz w:val="20"/>
        </w:rPr>
        <w:t> </w:t>
      </w:r>
      <w:r>
        <w:rPr>
          <w:rFonts w:ascii="Arial" w:hAnsi="Arial"/>
          <w:i/>
          <w:sz w:val="20"/>
        </w:rPr>
        <w:t>Zentralbank</w:t>
      </w:r>
      <w:r>
        <w:rPr>
          <w:rFonts w:ascii="Arial" w:hAnsi="Arial"/>
          <w:i/>
          <w:spacing w:val="40"/>
          <w:sz w:val="20"/>
        </w:rPr>
        <w:t> </w:t>
      </w:r>
      <w:r>
        <w:rPr>
          <w:rFonts w:ascii="Arial" w:hAnsi="Arial"/>
          <w:i/>
          <w:sz w:val="20"/>
        </w:rPr>
        <w:t>Osterreich</w:t>
      </w:r>
      <w:r>
        <w:rPr>
          <w:rFonts w:ascii="Arial" w:hAnsi="Arial"/>
          <w:i/>
          <w:spacing w:val="40"/>
          <w:sz w:val="20"/>
        </w:rPr>
        <w:t> </w:t>
      </w:r>
      <w:r>
        <w:rPr>
          <w:rFonts w:ascii="Arial" w:hAnsi="Arial"/>
          <w:i/>
          <w:sz w:val="20"/>
        </w:rPr>
        <w:t>AG</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Royal</w:t>
      </w:r>
      <w:r>
        <w:rPr>
          <w:rFonts w:ascii="Arial" w:hAnsi="Arial"/>
          <w:i/>
          <w:spacing w:val="40"/>
          <w:sz w:val="20"/>
        </w:rPr>
        <w:t> </w:t>
      </w:r>
      <w:r>
        <w:rPr>
          <w:rFonts w:ascii="Arial" w:hAnsi="Arial"/>
          <w:i/>
          <w:sz w:val="20"/>
        </w:rPr>
        <w:t>Bank</w:t>
      </w:r>
      <w:r>
        <w:rPr>
          <w:rFonts w:ascii="Arial" w:hAnsi="Arial"/>
          <w:i/>
          <w:spacing w:val="40"/>
          <w:sz w:val="20"/>
        </w:rPr>
        <w:t> </w:t>
      </w:r>
      <w:r>
        <w:rPr>
          <w:rFonts w:ascii="Arial" w:hAnsi="Arial"/>
          <w:i/>
          <w:sz w:val="20"/>
        </w:rPr>
        <w:t>of</w:t>
      </w:r>
      <w:r>
        <w:rPr>
          <w:rFonts w:ascii="Arial" w:hAnsi="Arial"/>
          <w:i/>
          <w:spacing w:val="40"/>
          <w:sz w:val="20"/>
        </w:rPr>
        <w:t> </w:t>
      </w:r>
      <w:r>
        <w:rPr>
          <w:rFonts w:ascii="Arial" w:hAnsi="Arial"/>
          <w:i/>
          <w:sz w:val="20"/>
        </w:rPr>
        <w:t>Scotland</w:t>
      </w:r>
      <w:r>
        <w:rPr>
          <w:rFonts w:ascii="Arial" w:hAnsi="Arial"/>
          <w:i/>
          <w:spacing w:val="40"/>
          <w:sz w:val="20"/>
        </w:rPr>
        <w:t> </w:t>
      </w:r>
      <w:r>
        <w:rPr>
          <w:rFonts w:ascii="Arial" w:hAnsi="Arial"/>
          <w:i/>
          <w:sz w:val="20"/>
        </w:rPr>
        <w:t>Plc</w:t>
      </w:r>
      <w:r>
        <w:rPr>
          <w:rFonts w:ascii="Arial" w:hAnsi="Arial"/>
          <w:i/>
          <w:spacing w:val="40"/>
          <w:sz w:val="20"/>
        </w:rPr>
        <w:t> </w:t>
      </w:r>
      <w:r>
        <w:rPr>
          <w:rFonts w:ascii="Arial" w:hAnsi="Arial"/>
          <w:i/>
          <w:sz w:val="20"/>
        </w:rPr>
        <w:t>[2010]</w:t>
      </w:r>
      <w:r>
        <w:rPr>
          <w:rFonts w:ascii="Arial" w:hAnsi="Arial"/>
          <w:i/>
          <w:spacing w:val="40"/>
          <w:sz w:val="20"/>
        </w:rPr>
        <w:t> </w:t>
      </w:r>
      <w:r>
        <w:rPr>
          <w:rFonts w:ascii="Arial" w:hAnsi="Arial"/>
          <w:i/>
          <w:sz w:val="20"/>
        </w:rPr>
        <w:t>EWHC</w:t>
      </w:r>
      <w:r>
        <w:rPr>
          <w:rFonts w:ascii="Arial" w:hAnsi="Arial"/>
          <w:i/>
          <w:spacing w:val="40"/>
          <w:sz w:val="20"/>
        </w:rPr>
        <w:t> </w:t>
      </w:r>
      <w:r>
        <w:rPr>
          <w:rFonts w:ascii="Arial" w:hAnsi="Arial"/>
          <w:i/>
          <w:sz w:val="20"/>
        </w:rPr>
        <w:t>1392 (Comm), [2011] 1 Lloyd’s Rep. 123 </w:t>
      </w:r>
      <w:r>
        <w:rPr>
          <w:sz w:val="20"/>
        </w:rPr>
        <w:t>at [310], Christopher Clarke J. See also </w:t>
      </w:r>
      <w:r>
        <w:rPr>
          <w:rFonts w:ascii="Arial" w:hAnsi="Arial"/>
          <w:i/>
          <w:sz w:val="20"/>
        </w:rPr>
        <w:t>Morgan v </w:t>
      </w:r>
      <w:r>
        <w:rPr>
          <w:rFonts w:ascii="Arial" w:hAnsi="Arial"/>
          <w:i/>
          <w:sz w:val="20"/>
        </w:rPr>
        <w:t>Pooley [2010]</w:t>
      </w:r>
      <w:r>
        <w:rPr>
          <w:rFonts w:ascii="Arial" w:hAnsi="Arial"/>
          <w:i/>
          <w:spacing w:val="25"/>
          <w:sz w:val="20"/>
        </w:rPr>
        <w:t> </w:t>
      </w:r>
      <w:r>
        <w:rPr>
          <w:rFonts w:ascii="Arial" w:hAnsi="Arial"/>
          <w:i/>
          <w:sz w:val="20"/>
        </w:rPr>
        <w:t>EWHC</w:t>
      </w:r>
      <w:r>
        <w:rPr>
          <w:rFonts w:ascii="Arial" w:hAnsi="Arial"/>
          <w:i/>
          <w:spacing w:val="27"/>
          <w:sz w:val="20"/>
        </w:rPr>
        <w:t> </w:t>
      </w:r>
      <w:r>
        <w:rPr>
          <w:rFonts w:ascii="Arial" w:hAnsi="Arial"/>
          <w:i/>
          <w:sz w:val="20"/>
        </w:rPr>
        <w:t>2447</w:t>
      </w:r>
      <w:r>
        <w:rPr>
          <w:rFonts w:ascii="Arial" w:hAnsi="Arial"/>
          <w:i/>
          <w:spacing w:val="27"/>
          <w:sz w:val="20"/>
        </w:rPr>
        <w:t> </w:t>
      </w:r>
      <w:r>
        <w:rPr>
          <w:rFonts w:ascii="Arial" w:hAnsi="Arial"/>
          <w:i/>
          <w:sz w:val="20"/>
        </w:rPr>
        <w:t>(QB)</w:t>
      </w:r>
      <w:r>
        <w:rPr>
          <w:rFonts w:ascii="Arial" w:hAnsi="Arial"/>
          <w:i/>
          <w:spacing w:val="27"/>
          <w:sz w:val="20"/>
        </w:rPr>
        <w:t> </w:t>
      </w:r>
      <w:r>
        <w:rPr>
          <w:sz w:val="20"/>
        </w:rPr>
        <w:t>at</w:t>
      </w:r>
      <w:r>
        <w:rPr>
          <w:spacing w:val="27"/>
          <w:sz w:val="20"/>
        </w:rPr>
        <w:t> </w:t>
      </w:r>
      <w:r>
        <w:rPr>
          <w:sz w:val="20"/>
        </w:rPr>
        <w:t>[114];</w:t>
      </w:r>
      <w:r>
        <w:rPr>
          <w:spacing w:val="27"/>
          <w:sz w:val="20"/>
        </w:rPr>
        <w:t> </w:t>
      </w:r>
      <w:r>
        <w:rPr>
          <w:rFonts w:ascii="Arial" w:hAnsi="Arial"/>
          <w:i/>
          <w:sz w:val="20"/>
        </w:rPr>
        <w:t>Welven</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Soar</w:t>
      </w:r>
      <w:r>
        <w:rPr>
          <w:rFonts w:ascii="Arial" w:hAnsi="Arial"/>
          <w:i/>
          <w:spacing w:val="27"/>
          <w:sz w:val="20"/>
        </w:rPr>
        <w:t> </w:t>
      </w:r>
      <w:r>
        <w:rPr>
          <w:rFonts w:ascii="Arial" w:hAnsi="Arial"/>
          <w:i/>
          <w:sz w:val="20"/>
        </w:rPr>
        <w:t>Group</w:t>
      </w:r>
      <w:r>
        <w:rPr>
          <w:rFonts w:ascii="Arial" w:hAnsi="Arial"/>
          <w:i/>
          <w:spacing w:val="27"/>
          <w:sz w:val="20"/>
        </w:rPr>
        <w:t> </w:t>
      </w:r>
      <w:r>
        <w:rPr>
          <w:rFonts w:ascii="Arial" w:hAnsi="Arial"/>
          <w:i/>
          <w:sz w:val="20"/>
        </w:rPr>
        <w:t>[2011]</w:t>
      </w:r>
      <w:r>
        <w:rPr>
          <w:rFonts w:ascii="Arial" w:hAnsi="Arial"/>
          <w:i/>
          <w:spacing w:val="27"/>
          <w:sz w:val="20"/>
        </w:rPr>
        <w:t> </w:t>
      </w:r>
      <w:r>
        <w:rPr>
          <w:rFonts w:ascii="Arial" w:hAnsi="Arial"/>
          <w:i/>
          <w:sz w:val="20"/>
        </w:rPr>
        <w:t>EWHC</w:t>
      </w:r>
      <w:r>
        <w:rPr>
          <w:rFonts w:ascii="Arial" w:hAnsi="Arial"/>
          <w:i/>
          <w:spacing w:val="27"/>
          <w:sz w:val="20"/>
        </w:rPr>
        <w:t> </w:t>
      </w:r>
      <w:r>
        <w:rPr>
          <w:rFonts w:ascii="Arial" w:hAnsi="Arial"/>
          <w:i/>
          <w:sz w:val="20"/>
        </w:rPr>
        <w:t>3240</w:t>
      </w:r>
      <w:r>
        <w:rPr>
          <w:rFonts w:ascii="Arial" w:hAnsi="Arial"/>
          <w:i/>
          <w:spacing w:val="27"/>
          <w:sz w:val="20"/>
        </w:rPr>
        <w:t> </w:t>
      </w:r>
      <w:r>
        <w:rPr>
          <w:rFonts w:ascii="Arial" w:hAnsi="Arial"/>
          <w:i/>
          <w:sz w:val="20"/>
        </w:rPr>
        <w:t>(Comm)</w:t>
      </w:r>
      <w:r>
        <w:rPr>
          <w:rFonts w:ascii="Arial" w:hAnsi="Arial"/>
          <w:i/>
          <w:spacing w:val="27"/>
          <w:sz w:val="20"/>
        </w:rPr>
        <w:t> </w:t>
      </w:r>
      <w:r>
        <w:rPr>
          <w:spacing w:val="-5"/>
          <w:sz w:val="20"/>
        </w:rPr>
        <w:t>at</w:t>
      </w:r>
    </w:p>
    <w:p>
      <w:pPr>
        <w:pStyle w:val="BodyText"/>
        <w:spacing w:line="225" w:lineRule="exact"/>
        <w:ind w:left="705"/>
      </w:pPr>
      <w:r>
        <w:rPr>
          <w:spacing w:val="-2"/>
        </w:rPr>
        <w:t>[111].</w:t>
      </w:r>
    </w:p>
    <w:p>
      <w:pPr>
        <w:pStyle w:val="BodyText"/>
        <w:spacing w:before="4"/>
      </w:pPr>
    </w:p>
    <w:p>
      <w:pPr>
        <w:pStyle w:val="BodyText"/>
        <w:tabs>
          <w:tab w:pos="705" w:val="left" w:leader="none"/>
        </w:tabs>
        <w:spacing w:before="1"/>
        <w:ind w:left="165"/>
      </w:pPr>
      <w:bookmarkStart w:name="_bookmark1332" w:id="1334"/>
      <w:bookmarkEnd w:id="1334"/>
      <w:r>
        <w:rPr/>
      </w:r>
      <w:hyperlink w:history="true" w:anchor="_bookmark1275">
        <w:r>
          <w:rPr>
            <w:color w:val="005DA1"/>
            <w:spacing w:val="-4"/>
            <w:position w:val="5"/>
            <w:sz w:val="14"/>
            <w:u w:val="single" w:color="005DA1"/>
          </w:rPr>
          <w:t>694</w:t>
        </w:r>
      </w:hyperlink>
      <w:r>
        <w:rPr>
          <w:spacing w:val="-4"/>
          <w:position w:val="5"/>
          <w:sz w:val="14"/>
        </w:rPr>
        <w:t>.</w:t>
      </w:r>
      <w:r>
        <w:rPr>
          <w:position w:val="5"/>
          <w:sz w:val="14"/>
        </w:rPr>
        <w:tab/>
      </w:r>
      <w:r>
        <w:rPr/>
        <w:t>See</w:t>
      </w:r>
      <w:r>
        <w:rPr>
          <w:spacing w:val="-2"/>
        </w:rPr>
        <w:t> </w:t>
      </w:r>
      <w:r>
        <w:rPr/>
        <w:t>above, para.15-</w:t>
      </w:r>
      <w:r>
        <w:rPr>
          <w:spacing w:val="-4"/>
        </w:rPr>
        <w:t>084.</w:t>
      </w:r>
    </w:p>
    <w:p>
      <w:pPr>
        <w:pStyle w:val="BodyText"/>
        <w:spacing w:before="8"/>
      </w:pPr>
    </w:p>
    <w:p>
      <w:pPr>
        <w:pStyle w:val="BodyText"/>
        <w:spacing w:line="235" w:lineRule="auto"/>
        <w:ind w:left="705" w:right="167" w:hanging="541"/>
        <w:jc w:val="both"/>
      </w:pPr>
      <w:bookmarkStart w:name="_bookmark1333" w:id="1335"/>
      <w:bookmarkEnd w:id="1335"/>
      <w:r>
        <w:rPr/>
      </w:r>
      <w:hyperlink w:history="true" w:anchor="_bookmark1276">
        <w:r>
          <w:rPr>
            <w:color w:val="005DA1"/>
            <w:position w:val="5"/>
            <w:sz w:val="14"/>
            <w:u w:val="single" w:color="005DA1"/>
          </w:rPr>
          <w:t>695</w:t>
        </w:r>
      </w:hyperlink>
      <w:r>
        <w:rPr>
          <w:position w:val="5"/>
          <w:sz w:val="14"/>
        </w:rPr>
        <w:t>.</w:t>
      </w:r>
      <w:r>
        <w:rPr>
          <w:spacing w:val="80"/>
          <w:position w:val="5"/>
          <w:sz w:val="14"/>
        </w:rPr>
        <w:t>  </w:t>
      </w:r>
      <w:r>
        <w:rPr>
          <w:rFonts w:ascii="Arial" w:hAnsi="Arial"/>
          <w:i/>
        </w:rPr>
        <w:t>[2011]</w:t>
      </w:r>
      <w:r>
        <w:rPr>
          <w:rFonts w:ascii="Arial" w:hAnsi="Arial"/>
          <w:i/>
          <w:spacing w:val="-2"/>
        </w:rPr>
        <w:t> </w:t>
      </w:r>
      <w:r>
        <w:rPr>
          <w:rFonts w:ascii="Arial" w:hAnsi="Arial"/>
          <w:i/>
        </w:rPr>
        <w:t>EWCA</w:t>
      </w:r>
      <w:r>
        <w:rPr>
          <w:rFonts w:ascii="Arial" w:hAnsi="Arial"/>
          <w:i/>
          <w:spacing w:val="-2"/>
        </w:rPr>
        <w:t> </w:t>
      </w:r>
      <w:r>
        <w:rPr>
          <w:rFonts w:ascii="Arial" w:hAnsi="Arial"/>
          <w:i/>
        </w:rPr>
        <w:t>Civ</w:t>
      </w:r>
      <w:r>
        <w:rPr>
          <w:rFonts w:ascii="Arial" w:hAnsi="Arial"/>
          <w:i/>
          <w:spacing w:val="-2"/>
        </w:rPr>
        <w:t> </w:t>
      </w:r>
      <w:r>
        <w:rPr>
          <w:rFonts w:ascii="Arial" w:hAnsi="Arial"/>
          <w:i/>
        </w:rPr>
        <w:t>133,</w:t>
      </w:r>
      <w:r>
        <w:rPr>
          <w:rFonts w:ascii="Arial" w:hAnsi="Arial"/>
          <w:i/>
          <w:spacing w:val="-2"/>
        </w:rPr>
        <w:t> </w:t>
      </w:r>
      <w:r>
        <w:rPr>
          <w:rFonts w:ascii="Arial" w:hAnsi="Arial"/>
          <w:i/>
        </w:rPr>
        <w:t>[2011]</w:t>
      </w:r>
      <w:r>
        <w:rPr>
          <w:rFonts w:ascii="Arial" w:hAnsi="Arial"/>
          <w:i/>
          <w:spacing w:val="-2"/>
        </w:rPr>
        <w:t> </w:t>
      </w:r>
      <w:r>
        <w:rPr>
          <w:rFonts w:ascii="Arial" w:hAnsi="Arial"/>
          <w:i/>
        </w:rPr>
        <w:t>2</w:t>
      </w:r>
      <w:r>
        <w:rPr>
          <w:rFonts w:ascii="Arial" w:hAnsi="Arial"/>
          <w:i/>
          <w:spacing w:val="-2"/>
        </w:rPr>
        <w:t> </w:t>
      </w:r>
      <w:r>
        <w:rPr>
          <w:rFonts w:ascii="Arial" w:hAnsi="Arial"/>
          <w:i/>
        </w:rPr>
        <w:t>Lloyd’s</w:t>
      </w:r>
      <w:r>
        <w:rPr>
          <w:rFonts w:ascii="Arial" w:hAnsi="Arial"/>
          <w:i/>
          <w:spacing w:val="-2"/>
        </w:rPr>
        <w:t> </w:t>
      </w:r>
      <w:r>
        <w:rPr>
          <w:rFonts w:ascii="Arial" w:hAnsi="Arial"/>
          <w:i/>
        </w:rPr>
        <w:t>Rep.</w:t>
      </w:r>
      <w:r>
        <w:rPr>
          <w:rFonts w:ascii="Arial" w:hAnsi="Arial"/>
          <w:i/>
          <w:spacing w:val="-2"/>
        </w:rPr>
        <w:t> </w:t>
      </w:r>
      <w:r>
        <w:rPr>
          <w:rFonts w:ascii="Arial" w:hAnsi="Arial"/>
          <w:i/>
        </w:rPr>
        <w:t>1</w:t>
      </w:r>
      <w:r>
        <w:rPr>
          <w:rFonts w:ascii="Arial" w:hAnsi="Arial"/>
          <w:i/>
          <w:spacing w:val="-3"/>
        </w:rPr>
        <w:t> </w:t>
      </w:r>
      <w:r>
        <w:rPr/>
        <w:t>at</w:t>
      </w:r>
      <w:r>
        <w:rPr>
          <w:spacing w:val="-2"/>
        </w:rPr>
        <w:t> </w:t>
      </w:r>
      <w:r>
        <w:rPr/>
        <w:t>[50].</w:t>
      </w:r>
      <w:r>
        <w:rPr>
          <w:spacing w:val="-2"/>
        </w:rPr>
        <w:t> </w:t>
      </w:r>
      <w:r>
        <w:rPr/>
        <w:t>The</w:t>
      </w:r>
      <w:r>
        <w:rPr>
          <w:spacing w:val="-2"/>
        </w:rPr>
        <w:t> </w:t>
      </w:r>
      <w:r>
        <w:rPr/>
        <w:t>clause</w:t>
      </w:r>
      <w:r>
        <w:rPr>
          <w:spacing w:val="-2"/>
        </w:rPr>
        <w:t> </w:t>
      </w:r>
      <w:r>
        <w:rPr/>
        <w:t>was</w:t>
      </w:r>
      <w:r>
        <w:rPr>
          <w:spacing w:val="-2"/>
        </w:rPr>
        <w:t> </w:t>
      </w:r>
      <w:r>
        <w:rPr/>
        <w:t>held</w:t>
      </w:r>
      <w:r>
        <w:rPr>
          <w:spacing w:val="-2"/>
        </w:rPr>
        <w:t> </w:t>
      </w:r>
      <w:r>
        <w:rPr/>
        <w:t>to</w:t>
      </w:r>
      <w:r>
        <w:rPr>
          <w:spacing w:val="-2"/>
        </w:rPr>
        <w:t> </w:t>
      </w:r>
      <w:r>
        <w:rPr/>
        <w:t>be</w:t>
      </w:r>
      <w:r>
        <w:rPr>
          <w:spacing w:val="-2"/>
        </w:rPr>
        <w:t> </w:t>
      </w:r>
      <w:r>
        <w:rPr/>
        <w:t>reasonable:</w:t>
      </w:r>
      <w:r>
        <w:rPr>
          <w:spacing w:val="-2"/>
        </w:rPr>
        <w:t> </w:t>
      </w:r>
      <w:r>
        <w:rPr/>
        <w:t>at [66]. Note that under the Consumer Rights Bill 2014 s.3 of the Unfair Contract Terms Act will no longer apply to consumer contracts; it will be replaced by cl.62 of the Bill. See below, Vol.II, paras 38-196 et seq.</w:t>
      </w:r>
    </w:p>
    <w:p>
      <w:pPr>
        <w:pStyle w:val="BodyText"/>
        <w:spacing w:after="0" w:line="235" w:lineRule="auto"/>
        <w:jc w:val="both"/>
        <w:sectPr>
          <w:type w:val="continuous"/>
          <w:pgSz w:w="11900" w:h="16840"/>
          <w:pgMar w:header="971" w:footer="0" w:top="1160" w:bottom="280" w:left="1275" w:right="1275"/>
        </w:sectPr>
      </w:pPr>
    </w:p>
    <w:p>
      <w:pPr>
        <w:pStyle w:val="BodyText"/>
        <w:spacing w:before="4"/>
        <w:rPr>
          <w:sz w:val="19"/>
        </w:rPr>
      </w:pPr>
    </w:p>
    <w:p>
      <w:pPr>
        <w:pStyle w:val="BodyText"/>
        <w:spacing w:after="0"/>
        <w:rPr>
          <w:sz w:val="19"/>
        </w:rPr>
        <w:sectPr>
          <w:pgSz w:w="11900" w:h="16840"/>
          <w:pgMar w:header="971" w:footer="0" w:top="1160" w:bottom="280" w:left="1275" w:right="1275"/>
        </w:sectPr>
      </w:pPr>
    </w:p>
    <w:p>
      <w:pPr>
        <w:spacing w:before="96"/>
        <w:ind w:left="165" w:right="0" w:firstLine="0"/>
        <w:jc w:val="left"/>
        <w:rPr>
          <w:sz w:val="14"/>
        </w:rPr>
      </w:pPr>
      <w:hyperlink w:history="true" w:anchor="_bookmark1277">
        <w:r>
          <w:rPr>
            <w:color w:val="005DA1"/>
            <w:spacing w:val="-4"/>
            <w:sz w:val="14"/>
            <w:u w:val="single" w:color="005DA1"/>
          </w:rPr>
          <w:t>696</w:t>
        </w:r>
      </w:hyperlink>
      <w:r>
        <w:rPr>
          <w:spacing w:val="-4"/>
          <w:sz w:val="14"/>
        </w:rPr>
        <w:t>.</w:t>
      </w:r>
    </w:p>
    <w:p>
      <w:pPr>
        <w:spacing w:line="235" w:lineRule="auto" w:before="212"/>
        <w:ind w:left="165" w:right="167" w:firstLine="170"/>
        <w:jc w:val="both"/>
        <w:rPr>
          <w:rFonts w:ascii="Arial"/>
          <w:i/>
          <w:sz w:val="20"/>
        </w:rPr>
      </w:pPr>
      <w:r>
        <w:rPr/>
        <w:br w:type="column"/>
      </w:r>
      <w:r>
        <w:rPr>
          <w:sz w:val="20"/>
        </w:rPr>
        <w:t>It has been held that condition 17 of the National Conditions of Sale (19th edn) was invalid as unreasonable under s.3 of the Misrepresentation Act: </w:t>
      </w:r>
      <w:r>
        <w:rPr>
          <w:rFonts w:ascii="Arial"/>
          <w:i/>
          <w:sz w:val="20"/>
        </w:rPr>
        <w:t>Walker v Boyle [1982] 1 W.L.R. </w:t>
      </w:r>
      <w:r>
        <w:rPr>
          <w:rFonts w:ascii="Arial"/>
          <w:i/>
          <w:sz w:val="20"/>
        </w:rPr>
        <w:t>495</w:t>
      </w:r>
      <w:r>
        <w:rPr>
          <w:sz w:val="20"/>
        </w:rPr>
        <w:t>. Condition 17 stated that replies to questions by the vendor or his agents do not obviate the</w:t>
      </w:r>
      <w:r>
        <w:rPr>
          <w:spacing w:val="40"/>
          <w:sz w:val="20"/>
        </w:rPr>
        <w:t> </w:t>
      </w:r>
      <w:r>
        <w:rPr>
          <w:sz w:val="20"/>
        </w:rPr>
        <w:t>need for the buyer to make his own inquiries and inspections, and are not to be treated as representations. See also </w:t>
      </w:r>
      <w:r>
        <w:rPr>
          <w:rFonts w:ascii="Arial"/>
          <w:i/>
          <w:sz w:val="20"/>
        </w:rPr>
        <w:t>Southwestern General Property Co Ltd v Marton (1982) 263 E.G. 1090</w:t>
      </w:r>
      <w:r>
        <w:rPr>
          <w:sz w:val="20"/>
        </w:rPr>
        <w:t>;</w:t>
      </w:r>
      <w:r>
        <w:rPr>
          <w:spacing w:val="34"/>
          <w:sz w:val="20"/>
        </w:rPr>
        <w:t> </w:t>
      </w:r>
      <w:r>
        <w:rPr>
          <w:rFonts w:ascii="Arial"/>
          <w:i/>
          <w:sz w:val="20"/>
        </w:rPr>
        <w:t>White</w:t>
      </w:r>
      <w:r>
        <w:rPr>
          <w:rFonts w:ascii="Arial"/>
          <w:i/>
          <w:spacing w:val="35"/>
          <w:sz w:val="20"/>
        </w:rPr>
        <w:t> </w:t>
      </w:r>
      <w:r>
        <w:rPr>
          <w:rFonts w:ascii="Arial"/>
          <w:i/>
          <w:sz w:val="20"/>
        </w:rPr>
        <w:t>Cross</w:t>
      </w:r>
      <w:r>
        <w:rPr>
          <w:rFonts w:ascii="Arial"/>
          <w:i/>
          <w:spacing w:val="35"/>
          <w:sz w:val="20"/>
        </w:rPr>
        <w:t> </w:t>
      </w:r>
      <w:r>
        <w:rPr>
          <w:rFonts w:ascii="Arial"/>
          <w:i/>
          <w:sz w:val="20"/>
        </w:rPr>
        <w:t>Equipment</w:t>
      </w:r>
      <w:r>
        <w:rPr>
          <w:rFonts w:ascii="Arial"/>
          <w:i/>
          <w:spacing w:val="35"/>
          <w:sz w:val="20"/>
        </w:rPr>
        <w:t> </w:t>
      </w:r>
      <w:r>
        <w:rPr>
          <w:rFonts w:ascii="Arial"/>
          <w:i/>
          <w:sz w:val="20"/>
        </w:rPr>
        <w:t>Ltd</w:t>
      </w:r>
      <w:r>
        <w:rPr>
          <w:rFonts w:ascii="Arial"/>
          <w:i/>
          <w:spacing w:val="35"/>
          <w:sz w:val="20"/>
        </w:rPr>
        <w:t> </w:t>
      </w:r>
      <w:r>
        <w:rPr>
          <w:rFonts w:ascii="Arial"/>
          <w:i/>
          <w:sz w:val="20"/>
        </w:rPr>
        <w:t>v</w:t>
      </w:r>
      <w:r>
        <w:rPr>
          <w:rFonts w:ascii="Arial"/>
          <w:i/>
          <w:spacing w:val="35"/>
          <w:sz w:val="20"/>
        </w:rPr>
        <w:t> </w:t>
      </w:r>
      <w:r>
        <w:rPr>
          <w:rFonts w:ascii="Arial"/>
          <w:i/>
          <w:sz w:val="20"/>
        </w:rPr>
        <w:t>Farrell</w:t>
      </w:r>
      <w:r>
        <w:rPr>
          <w:rFonts w:ascii="Arial"/>
          <w:i/>
          <w:spacing w:val="35"/>
          <w:sz w:val="20"/>
        </w:rPr>
        <w:t> </w:t>
      </w:r>
      <w:r>
        <w:rPr>
          <w:rFonts w:ascii="Arial"/>
          <w:i/>
          <w:sz w:val="20"/>
        </w:rPr>
        <w:t>(1982)</w:t>
      </w:r>
      <w:r>
        <w:rPr>
          <w:rFonts w:ascii="Arial"/>
          <w:i/>
          <w:spacing w:val="34"/>
          <w:sz w:val="20"/>
        </w:rPr>
        <w:t> </w:t>
      </w:r>
      <w:r>
        <w:rPr>
          <w:rFonts w:ascii="Arial"/>
          <w:i/>
          <w:sz w:val="20"/>
        </w:rPr>
        <w:t>2</w:t>
      </w:r>
      <w:r>
        <w:rPr>
          <w:rFonts w:ascii="Arial"/>
          <w:i/>
          <w:spacing w:val="35"/>
          <w:sz w:val="20"/>
        </w:rPr>
        <w:t> </w:t>
      </w:r>
      <w:r>
        <w:rPr>
          <w:rFonts w:ascii="Arial"/>
          <w:i/>
          <w:sz w:val="20"/>
        </w:rPr>
        <w:t>Tr.L.R.</w:t>
      </w:r>
      <w:r>
        <w:rPr>
          <w:rFonts w:ascii="Arial"/>
          <w:i/>
          <w:spacing w:val="35"/>
          <w:sz w:val="20"/>
        </w:rPr>
        <w:t> </w:t>
      </w:r>
      <w:r>
        <w:rPr>
          <w:rFonts w:ascii="Arial"/>
          <w:i/>
          <w:sz w:val="20"/>
        </w:rPr>
        <w:t>21</w:t>
      </w:r>
      <w:r>
        <w:rPr>
          <w:sz w:val="20"/>
        </w:rPr>
        <w:t>;</w:t>
      </w:r>
      <w:r>
        <w:rPr>
          <w:spacing w:val="35"/>
          <w:sz w:val="20"/>
        </w:rPr>
        <w:t> </w:t>
      </w:r>
      <w:r>
        <w:rPr>
          <w:rFonts w:ascii="Arial"/>
          <w:i/>
          <w:sz w:val="20"/>
        </w:rPr>
        <w:t>Cooper</w:t>
      </w:r>
      <w:r>
        <w:rPr>
          <w:rFonts w:ascii="Arial"/>
          <w:i/>
          <w:spacing w:val="35"/>
          <w:sz w:val="20"/>
        </w:rPr>
        <w:t> </w:t>
      </w:r>
      <w:r>
        <w:rPr>
          <w:rFonts w:ascii="Arial"/>
          <w:i/>
          <w:sz w:val="20"/>
        </w:rPr>
        <w:t>v</w:t>
      </w:r>
      <w:r>
        <w:rPr>
          <w:rFonts w:ascii="Arial"/>
          <w:i/>
          <w:spacing w:val="35"/>
          <w:sz w:val="20"/>
        </w:rPr>
        <w:t> </w:t>
      </w:r>
      <w:r>
        <w:rPr>
          <w:rFonts w:ascii="Arial"/>
          <w:i/>
          <w:sz w:val="20"/>
        </w:rPr>
        <w:t>Tamms</w:t>
      </w:r>
      <w:r>
        <w:rPr>
          <w:rFonts w:ascii="Arial"/>
          <w:i/>
          <w:spacing w:val="35"/>
          <w:sz w:val="20"/>
        </w:rPr>
        <w:t> </w:t>
      </w:r>
      <w:r>
        <w:rPr>
          <w:rFonts w:ascii="Arial"/>
          <w:i/>
          <w:sz w:val="20"/>
        </w:rPr>
        <w:t>[1988]</w:t>
      </w:r>
      <w:r>
        <w:rPr>
          <w:rFonts w:ascii="Arial"/>
          <w:i/>
          <w:spacing w:val="35"/>
          <w:sz w:val="20"/>
        </w:rPr>
        <w:t> </w:t>
      </w:r>
      <w:r>
        <w:rPr>
          <w:rFonts w:ascii="Arial"/>
          <w:i/>
          <w:spacing w:val="-10"/>
          <w:sz w:val="20"/>
        </w:rPr>
        <w:t>1</w:t>
      </w:r>
    </w:p>
    <w:p>
      <w:pPr>
        <w:spacing w:line="235" w:lineRule="auto" w:before="0"/>
        <w:ind w:left="165" w:right="168" w:firstLine="0"/>
        <w:jc w:val="both"/>
        <w:rPr>
          <w:rFonts w:ascii="Arial"/>
          <w:i/>
          <w:sz w:val="20"/>
        </w:rPr>
      </w:pPr>
      <w:r>
        <w:rPr>
          <w:rFonts w:ascii="Arial"/>
          <w:i/>
          <w:sz w:val="20"/>
        </w:rPr>
        <w:drawing>
          <wp:anchor distT="0" distB="0" distL="0" distR="0" allowOverlap="1" layoutInCell="1" locked="0" behindDoc="0" simplePos="0" relativeHeight="15787008">
            <wp:simplePos x="0" y="0"/>
            <wp:positionH relativeFrom="page">
              <wp:posOffset>1257846</wp:posOffset>
            </wp:positionH>
            <wp:positionV relativeFrom="paragraph">
              <wp:posOffset>-832836</wp:posOffset>
            </wp:positionV>
            <wp:extent cx="107988" cy="107988"/>
            <wp:effectExtent l="0" t="0" r="0" b="0"/>
            <wp:wrapNone/>
            <wp:docPr id="244" name="Image 244"/>
            <wp:cNvGraphicFramePr>
              <a:graphicFrameLocks/>
            </wp:cNvGraphicFramePr>
            <a:graphic>
              <a:graphicData uri="http://schemas.openxmlformats.org/drawingml/2006/picture">
                <pic:pic>
                  <pic:nvPicPr>
                    <pic:cNvPr id="244" name="Image 244"/>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E.G.L.R. 257</w:t>
      </w:r>
      <w:r>
        <w:rPr>
          <w:sz w:val="20"/>
        </w:rPr>
        <w:t>; </w:t>
      </w:r>
      <w:r>
        <w:rPr>
          <w:rFonts w:ascii="Arial"/>
          <w:i/>
          <w:sz w:val="20"/>
        </w:rPr>
        <w:t>Goff v Gauthier [1991] 62 P. &amp; C.R. 388</w:t>
      </w:r>
      <w:r>
        <w:rPr>
          <w:sz w:val="20"/>
        </w:rPr>
        <w:t>; </w:t>
      </w:r>
      <w:r>
        <w:rPr>
          <w:rFonts w:ascii="Arial"/>
          <w:i/>
          <w:sz w:val="20"/>
        </w:rPr>
        <w:t>Cleaver v Schyde Investments </w:t>
      </w:r>
      <w:r>
        <w:rPr>
          <w:rFonts w:ascii="Arial"/>
          <w:i/>
          <w:sz w:val="20"/>
        </w:rPr>
        <w:t>Ltd [2011]</w:t>
      </w:r>
      <w:r>
        <w:rPr>
          <w:rFonts w:ascii="Arial"/>
          <w:i/>
          <w:spacing w:val="28"/>
          <w:sz w:val="20"/>
        </w:rPr>
        <w:t> </w:t>
      </w:r>
      <w:r>
        <w:rPr>
          <w:rFonts w:ascii="Arial"/>
          <w:i/>
          <w:sz w:val="20"/>
        </w:rPr>
        <w:t>EWCA</w:t>
      </w:r>
      <w:r>
        <w:rPr>
          <w:rFonts w:ascii="Arial"/>
          <w:i/>
          <w:spacing w:val="29"/>
          <w:sz w:val="20"/>
        </w:rPr>
        <w:t> </w:t>
      </w:r>
      <w:r>
        <w:rPr>
          <w:rFonts w:ascii="Arial"/>
          <w:i/>
          <w:sz w:val="20"/>
        </w:rPr>
        <w:t>Civ</w:t>
      </w:r>
      <w:r>
        <w:rPr>
          <w:rFonts w:ascii="Arial"/>
          <w:i/>
          <w:spacing w:val="29"/>
          <w:sz w:val="20"/>
        </w:rPr>
        <w:t> </w:t>
      </w:r>
      <w:r>
        <w:rPr>
          <w:rFonts w:ascii="Arial"/>
          <w:i/>
          <w:sz w:val="20"/>
        </w:rPr>
        <w:t>929,</w:t>
      </w:r>
      <w:r>
        <w:rPr>
          <w:rFonts w:ascii="Arial"/>
          <w:i/>
          <w:spacing w:val="29"/>
          <w:sz w:val="20"/>
        </w:rPr>
        <w:t> </w:t>
      </w:r>
      <w:r>
        <w:rPr>
          <w:rFonts w:ascii="Arial"/>
          <w:i/>
          <w:sz w:val="20"/>
        </w:rPr>
        <w:t>[2011]</w:t>
      </w:r>
      <w:r>
        <w:rPr>
          <w:rFonts w:ascii="Arial"/>
          <w:i/>
          <w:spacing w:val="29"/>
          <w:sz w:val="20"/>
        </w:rPr>
        <w:t> </w:t>
      </w:r>
      <w:r>
        <w:rPr>
          <w:rFonts w:ascii="Arial"/>
          <w:i/>
          <w:sz w:val="20"/>
        </w:rPr>
        <w:t>2</w:t>
      </w:r>
      <w:r>
        <w:rPr>
          <w:rFonts w:ascii="Arial"/>
          <w:i/>
          <w:spacing w:val="29"/>
          <w:sz w:val="20"/>
        </w:rPr>
        <w:t> </w:t>
      </w:r>
      <w:r>
        <w:rPr>
          <w:rFonts w:ascii="Arial"/>
          <w:i/>
          <w:sz w:val="20"/>
        </w:rPr>
        <w:t>P.</w:t>
      </w:r>
      <w:r>
        <w:rPr>
          <w:rFonts w:ascii="Arial"/>
          <w:i/>
          <w:spacing w:val="29"/>
          <w:sz w:val="20"/>
        </w:rPr>
        <w:t> </w:t>
      </w:r>
      <w:r>
        <w:rPr>
          <w:rFonts w:ascii="Arial"/>
          <w:i/>
          <w:sz w:val="20"/>
        </w:rPr>
        <w:t>&amp;</w:t>
      </w:r>
      <w:r>
        <w:rPr>
          <w:rFonts w:ascii="Arial"/>
          <w:i/>
          <w:spacing w:val="29"/>
          <w:sz w:val="20"/>
        </w:rPr>
        <w:t> </w:t>
      </w:r>
      <w:r>
        <w:rPr>
          <w:rFonts w:ascii="Arial"/>
          <w:i/>
          <w:sz w:val="20"/>
        </w:rPr>
        <w:t>C.R.</w:t>
      </w:r>
      <w:r>
        <w:rPr>
          <w:rFonts w:ascii="Arial"/>
          <w:i/>
          <w:spacing w:val="29"/>
          <w:sz w:val="20"/>
        </w:rPr>
        <w:t> </w:t>
      </w:r>
      <w:r>
        <w:rPr>
          <w:rFonts w:ascii="Arial"/>
          <w:i/>
          <w:sz w:val="20"/>
        </w:rPr>
        <w:t>21</w:t>
      </w:r>
      <w:r>
        <w:rPr>
          <w:sz w:val="20"/>
        </w:rPr>
        <w:t>.</w:t>
      </w:r>
      <w:r>
        <w:rPr>
          <w:spacing w:val="29"/>
          <w:sz w:val="20"/>
        </w:rPr>
        <w:t> </w:t>
      </w:r>
      <w:r>
        <w:rPr>
          <w:sz w:val="20"/>
        </w:rPr>
        <w:t>In</w:t>
      </w:r>
      <w:r>
        <w:rPr>
          <w:spacing w:val="29"/>
          <w:sz w:val="20"/>
        </w:rPr>
        <w:t> </w:t>
      </w:r>
      <w:r>
        <w:rPr>
          <w:rFonts w:ascii="Arial"/>
          <w:i/>
          <w:sz w:val="20"/>
        </w:rPr>
        <w:t>Lloyd</w:t>
      </w:r>
      <w:r>
        <w:rPr>
          <w:rFonts w:ascii="Arial"/>
          <w:i/>
          <w:spacing w:val="29"/>
          <w:sz w:val="20"/>
        </w:rPr>
        <w:t> </w:t>
      </w:r>
      <w:r>
        <w:rPr>
          <w:rFonts w:ascii="Arial"/>
          <w:i/>
          <w:sz w:val="20"/>
        </w:rPr>
        <w:t>v</w:t>
      </w:r>
      <w:r>
        <w:rPr>
          <w:rFonts w:ascii="Arial"/>
          <w:i/>
          <w:spacing w:val="29"/>
          <w:sz w:val="20"/>
        </w:rPr>
        <w:t> </w:t>
      </w:r>
      <w:r>
        <w:rPr>
          <w:rFonts w:ascii="Arial"/>
          <w:i/>
          <w:sz w:val="20"/>
        </w:rPr>
        <w:t>Browning</w:t>
      </w:r>
      <w:r>
        <w:rPr>
          <w:rFonts w:ascii="Arial"/>
          <w:i/>
          <w:spacing w:val="29"/>
          <w:sz w:val="20"/>
        </w:rPr>
        <w:t> </w:t>
      </w:r>
      <w:r>
        <w:rPr>
          <w:rFonts w:ascii="Arial"/>
          <w:i/>
          <w:sz w:val="20"/>
        </w:rPr>
        <w:t>[2013]</w:t>
      </w:r>
      <w:r>
        <w:rPr>
          <w:rFonts w:ascii="Arial"/>
          <w:i/>
          <w:spacing w:val="29"/>
          <w:sz w:val="20"/>
        </w:rPr>
        <w:t> </w:t>
      </w:r>
      <w:r>
        <w:rPr>
          <w:rFonts w:ascii="Arial"/>
          <w:i/>
          <w:sz w:val="20"/>
        </w:rPr>
        <w:t>EWCA</w:t>
      </w:r>
      <w:r>
        <w:rPr>
          <w:rFonts w:ascii="Arial"/>
          <w:i/>
          <w:spacing w:val="29"/>
          <w:sz w:val="20"/>
        </w:rPr>
        <w:t> </w:t>
      </w:r>
      <w:r>
        <w:rPr>
          <w:rFonts w:ascii="Arial"/>
          <w:i/>
          <w:sz w:val="20"/>
        </w:rPr>
        <w:t>Civ</w:t>
      </w:r>
      <w:r>
        <w:rPr>
          <w:rFonts w:ascii="Arial"/>
          <w:i/>
          <w:spacing w:val="29"/>
          <w:sz w:val="20"/>
        </w:rPr>
        <w:t> </w:t>
      </w:r>
      <w:r>
        <w:rPr>
          <w:rFonts w:ascii="Arial"/>
          <w:i/>
          <w:spacing w:val="-2"/>
          <w:sz w:val="20"/>
        </w:rPr>
        <w:t>1637,</w:t>
      </w:r>
    </w:p>
    <w:p>
      <w:pPr>
        <w:spacing w:line="235" w:lineRule="auto" w:before="0"/>
        <w:ind w:left="165" w:right="167" w:firstLine="0"/>
        <w:jc w:val="both"/>
        <w:rPr>
          <w:rFonts w:ascii="Arial" w:hAnsi="Arial"/>
          <w:i/>
          <w:sz w:val="20"/>
        </w:rPr>
      </w:pPr>
      <w:r>
        <w:rPr>
          <w:rFonts w:ascii="Arial" w:hAnsi="Arial"/>
          <w:i/>
          <w:sz w:val="20"/>
        </w:rPr>
        <w:t>[2014] 1 P. &amp; C.R. 11 </w:t>
      </w:r>
      <w:r>
        <w:rPr>
          <w:sz w:val="20"/>
        </w:rPr>
        <w:t>it was held that a special condition, commonly used within the area, stating</w:t>
      </w:r>
      <w:r>
        <w:rPr>
          <w:spacing w:val="-2"/>
          <w:sz w:val="20"/>
        </w:rPr>
        <w:t> </w:t>
      </w:r>
      <w:r>
        <w:rPr>
          <w:sz w:val="20"/>
        </w:rPr>
        <w:t>that</w:t>
      </w:r>
      <w:r>
        <w:rPr>
          <w:spacing w:val="-2"/>
          <w:sz w:val="20"/>
        </w:rPr>
        <w:t> </w:t>
      </w:r>
      <w:r>
        <w:rPr>
          <w:sz w:val="20"/>
        </w:rPr>
        <w:t>the</w:t>
      </w:r>
      <w:r>
        <w:rPr>
          <w:spacing w:val="-2"/>
          <w:sz w:val="20"/>
        </w:rPr>
        <w:t> </w:t>
      </w:r>
      <w:r>
        <w:rPr>
          <w:sz w:val="20"/>
        </w:rPr>
        <w:t>buyer</w:t>
      </w:r>
      <w:r>
        <w:rPr>
          <w:spacing w:val="-2"/>
          <w:sz w:val="20"/>
        </w:rPr>
        <w:t> </w:t>
      </w:r>
      <w:r>
        <w:rPr>
          <w:sz w:val="20"/>
        </w:rPr>
        <w:t>entered</w:t>
      </w:r>
      <w:r>
        <w:rPr>
          <w:spacing w:val="-2"/>
          <w:sz w:val="20"/>
        </w:rPr>
        <w:t> </w:t>
      </w:r>
      <w:r>
        <w:rPr>
          <w:sz w:val="20"/>
        </w:rPr>
        <w:t>into</w:t>
      </w:r>
      <w:r>
        <w:rPr>
          <w:spacing w:val="-2"/>
          <w:sz w:val="20"/>
        </w:rPr>
        <w:t> </w:t>
      </w:r>
      <w:r>
        <w:rPr>
          <w:sz w:val="20"/>
        </w:rPr>
        <w:t>the</w:t>
      </w:r>
      <w:r>
        <w:rPr>
          <w:spacing w:val="-2"/>
          <w:sz w:val="20"/>
        </w:rPr>
        <w:t> </w:t>
      </w:r>
      <w:r>
        <w:rPr>
          <w:sz w:val="20"/>
        </w:rPr>
        <w:t>contract</w:t>
      </w:r>
      <w:r>
        <w:rPr>
          <w:spacing w:val="-2"/>
          <w:sz w:val="20"/>
        </w:rPr>
        <w:t> </w:t>
      </w:r>
      <w:r>
        <w:rPr>
          <w:sz w:val="20"/>
        </w:rPr>
        <w:t>solely</w:t>
      </w:r>
      <w:r>
        <w:rPr>
          <w:spacing w:val="-2"/>
          <w:sz w:val="20"/>
        </w:rPr>
        <w:t> </w:t>
      </w:r>
      <w:r>
        <w:rPr>
          <w:sz w:val="20"/>
        </w:rPr>
        <w:t>as</w:t>
      </w:r>
      <w:r>
        <w:rPr>
          <w:spacing w:val="-2"/>
          <w:sz w:val="20"/>
        </w:rPr>
        <w:t> </w:t>
      </w:r>
      <w:r>
        <w:rPr>
          <w:sz w:val="20"/>
        </w:rPr>
        <w:t>a</w:t>
      </w:r>
      <w:r>
        <w:rPr>
          <w:spacing w:val="-2"/>
          <w:sz w:val="20"/>
        </w:rPr>
        <w:t> </w:t>
      </w:r>
      <w:r>
        <w:rPr>
          <w:sz w:val="20"/>
        </w:rPr>
        <w:t>result</w:t>
      </w:r>
      <w:r>
        <w:rPr>
          <w:spacing w:val="-2"/>
          <w:sz w:val="20"/>
        </w:rPr>
        <w:t> </w:t>
      </w:r>
      <w:r>
        <w:rPr>
          <w:sz w:val="20"/>
        </w:rPr>
        <w:t>of</w:t>
      </w:r>
      <w:r>
        <w:rPr>
          <w:spacing w:val="-2"/>
          <w:sz w:val="20"/>
        </w:rPr>
        <w:t> </w:t>
      </w:r>
      <w:r>
        <w:rPr>
          <w:sz w:val="20"/>
        </w:rPr>
        <w:t>his</w:t>
      </w:r>
      <w:r>
        <w:rPr>
          <w:spacing w:val="-2"/>
          <w:sz w:val="20"/>
        </w:rPr>
        <w:t> </w:t>
      </w:r>
      <w:r>
        <w:rPr>
          <w:sz w:val="20"/>
        </w:rPr>
        <w:t>inspection</w:t>
      </w:r>
      <w:r>
        <w:rPr>
          <w:spacing w:val="-2"/>
          <w:sz w:val="20"/>
        </w:rPr>
        <w:t> </w:t>
      </w:r>
      <w:r>
        <w:rPr>
          <w:sz w:val="20"/>
        </w:rPr>
        <w:t>of</w:t>
      </w:r>
      <w:r>
        <w:rPr>
          <w:spacing w:val="-2"/>
          <w:sz w:val="20"/>
        </w:rPr>
        <w:t> </w:t>
      </w:r>
      <w:r>
        <w:rPr>
          <w:sz w:val="20"/>
        </w:rPr>
        <w:t>the</w:t>
      </w:r>
      <w:r>
        <w:rPr>
          <w:spacing w:val="-2"/>
          <w:sz w:val="20"/>
        </w:rPr>
        <w:t> </w:t>
      </w:r>
      <w:r>
        <w:rPr>
          <w:sz w:val="20"/>
        </w:rPr>
        <w:t>property and that no statement by the seller, other than written statements made in reply to enquiries, had</w:t>
      </w:r>
      <w:r>
        <w:rPr>
          <w:spacing w:val="-3"/>
          <w:sz w:val="20"/>
        </w:rPr>
        <w:t> </w:t>
      </w:r>
      <w:r>
        <w:rPr>
          <w:sz w:val="20"/>
        </w:rPr>
        <w:t>induced</w:t>
      </w:r>
      <w:r>
        <w:rPr>
          <w:spacing w:val="-3"/>
          <w:sz w:val="20"/>
        </w:rPr>
        <w:t> </w:t>
      </w:r>
      <w:r>
        <w:rPr>
          <w:sz w:val="20"/>
        </w:rPr>
        <w:t>him</w:t>
      </w:r>
      <w:r>
        <w:rPr>
          <w:spacing w:val="-3"/>
          <w:sz w:val="20"/>
        </w:rPr>
        <w:t> </w:t>
      </w:r>
      <w:r>
        <w:rPr>
          <w:sz w:val="20"/>
        </w:rPr>
        <w:t>to</w:t>
      </w:r>
      <w:r>
        <w:rPr>
          <w:spacing w:val="-3"/>
          <w:sz w:val="20"/>
        </w:rPr>
        <w:t> </w:t>
      </w:r>
      <w:r>
        <w:rPr>
          <w:sz w:val="20"/>
        </w:rPr>
        <w:t>enter</w:t>
      </w:r>
      <w:r>
        <w:rPr>
          <w:spacing w:val="-3"/>
          <w:sz w:val="20"/>
        </w:rPr>
        <w:t> </w:t>
      </w:r>
      <w:r>
        <w:rPr>
          <w:sz w:val="20"/>
        </w:rPr>
        <w:t>into</w:t>
      </w:r>
      <w:r>
        <w:rPr>
          <w:spacing w:val="-3"/>
          <w:sz w:val="20"/>
        </w:rPr>
        <w:t> </w:t>
      </w:r>
      <w:r>
        <w:rPr>
          <w:sz w:val="20"/>
        </w:rPr>
        <w:t>the</w:t>
      </w:r>
      <w:r>
        <w:rPr>
          <w:spacing w:val="-3"/>
          <w:sz w:val="20"/>
        </w:rPr>
        <w:t> </w:t>
      </w:r>
      <w:r>
        <w:rPr>
          <w:sz w:val="20"/>
        </w:rPr>
        <w:t>contract,</w:t>
      </w:r>
      <w:r>
        <w:rPr>
          <w:spacing w:val="-3"/>
          <w:sz w:val="20"/>
        </w:rPr>
        <w:t> </w:t>
      </w:r>
      <w:r>
        <w:rPr>
          <w:sz w:val="20"/>
        </w:rPr>
        <w:t>was</w:t>
      </w:r>
      <w:r>
        <w:rPr>
          <w:spacing w:val="-3"/>
          <w:sz w:val="20"/>
        </w:rPr>
        <w:t> </w:t>
      </w:r>
      <w:r>
        <w:rPr>
          <w:sz w:val="20"/>
        </w:rPr>
        <w:t>a</w:t>
      </w:r>
      <w:r>
        <w:rPr>
          <w:spacing w:val="-3"/>
          <w:sz w:val="20"/>
        </w:rPr>
        <w:t> </w:t>
      </w:r>
      <w:r>
        <w:rPr>
          <w:sz w:val="20"/>
        </w:rPr>
        <w:t>reasonable</w:t>
      </w:r>
      <w:r>
        <w:rPr>
          <w:spacing w:val="-3"/>
          <w:sz w:val="20"/>
        </w:rPr>
        <w:t> </w:t>
      </w:r>
      <w:r>
        <w:rPr>
          <w:sz w:val="20"/>
        </w:rPr>
        <w:t>one</w:t>
      </w:r>
      <w:r>
        <w:rPr>
          <w:spacing w:val="-3"/>
          <w:sz w:val="20"/>
        </w:rPr>
        <w:t> </w:t>
      </w:r>
      <w:r>
        <w:rPr>
          <w:sz w:val="20"/>
        </w:rPr>
        <w:t>to</w:t>
      </w:r>
      <w:r>
        <w:rPr>
          <w:spacing w:val="-3"/>
          <w:sz w:val="20"/>
        </w:rPr>
        <w:t> </w:t>
      </w:r>
      <w:r>
        <w:rPr>
          <w:sz w:val="20"/>
        </w:rPr>
        <w:t>be</w:t>
      </w:r>
      <w:r>
        <w:rPr>
          <w:spacing w:val="-3"/>
          <w:sz w:val="20"/>
        </w:rPr>
        <w:t> </w:t>
      </w:r>
      <w:r>
        <w:rPr>
          <w:sz w:val="20"/>
        </w:rPr>
        <w:t>included</w:t>
      </w:r>
      <w:r>
        <w:rPr>
          <w:spacing w:val="-3"/>
          <w:sz w:val="20"/>
        </w:rPr>
        <w:t> </w:t>
      </w:r>
      <w:r>
        <w:rPr>
          <w:sz w:val="20"/>
        </w:rPr>
        <w:t>in</w:t>
      </w:r>
      <w:r>
        <w:rPr>
          <w:spacing w:val="-3"/>
          <w:sz w:val="20"/>
        </w:rPr>
        <w:t> </w:t>
      </w:r>
      <w:r>
        <w:rPr>
          <w:sz w:val="20"/>
        </w:rPr>
        <w:t>the</w:t>
      </w:r>
      <w:r>
        <w:rPr>
          <w:spacing w:val="-3"/>
          <w:sz w:val="20"/>
        </w:rPr>
        <w:t> </w:t>
      </w:r>
      <w:r>
        <w:rPr>
          <w:sz w:val="20"/>
        </w:rPr>
        <w:t>particular contract. Thus where a “no-reliance” clause is subject to the Act (see above, n.666a) it is likely to be reasonable if it expressly permits reliance on any reply given by the landlord’s or vendor’s solicitors to the tenant’s or purchaser’s solicitors, whereas one that seeks to prevent the</w:t>
      </w:r>
      <w:r>
        <w:rPr>
          <w:spacing w:val="40"/>
          <w:sz w:val="20"/>
        </w:rPr>
        <w:t> </w:t>
      </w:r>
      <w:r>
        <w:rPr>
          <w:sz w:val="20"/>
        </w:rPr>
        <w:t>landlord or vendor from incurring any liability for misrepresentation other than for fraud is unlikely to be reasonable: see </w:t>
      </w:r>
      <w:r>
        <w:rPr>
          <w:rFonts w:ascii="Arial" w:hAnsi="Arial"/>
          <w:i/>
          <w:sz w:val="20"/>
        </w:rPr>
        <w:t>FoodCo UK LLP (t/a Muffin Break) v Henry Boot Developments Ltd [2010] EWHC 358 (Ch) </w:t>
      </w:r>
      <w:r>
        <w:rPr>
          <w:sz w:val="20"/>
        </w:rPr>
        <w:t>at [177]; </w:t>
      </w:r>
      <w:r>
        <w:rPr>
          <w:rFonts w:ascii="Arial" w:hAnsi="Arial"/>
          <w:i/>
          <w:sz w:val="20"/>
        </w:rPr>
        <w:t>Lloyd v Browning [2013] EWCA Civ 1637 </w:t>
      </w:r>
      <w:r>
        <w:rPr>
          <w:sz w:val="20"/>
        </w:rPr>
        <w:t>at [34]; </w:t>
      </w:r>
      <w:r>
        <w:rPr>
          <w:rFonts w:ascii="Arial" w:hAnsi="Arial"/>
          <w:i/>
          <w:sz w:val="20"/>
        </w:rPr>
        <w:t>First Tower</w:t>
      </w:r>
      <w:r>
        <w:rPr>
          <w:rFonts w:ascii="Arial" w:hAnsi="Arial"/>
          <w:i/>
          <w:spacing w:val="31"/>
          <w:sz w:val="20"/>
        </w:rPr>
        <w:t> </w:t>
      </w:r>
      <w:r>
        <w:rPr>
          <w:rFonts w:ascii="Arial" w:hAnsi="Arial"/>
          <w:i/>
          <w:sz w:val="20"/>
        </w:rPr>
        <w:t>Trustees</w:t>
      </w:r>
      <w:r>
        <w:rPr>
          <w:rFonts w:ascii="Arial" w:hAnsi="Arial"/>
          <w:i/>
          <w:spacing w:val="31"/>
          <w:sz w:val="20"/>
        </w:rPr>
        <w:t> </w:t>
      </w:r>
      <w:r>
        <w:rPr>
          <w:rFonts w:ascii="Arial" w:hAnsi="Arial"/>
          <w:i/>
          <w:sz w:val="20"/>
        </w:rPr>
        <w:t>Ltd</w:t>
      </w:r>
      <w:r>
        <w:rPr>
          <w:rFonts w:ascii="Arial" w:hAnsi="Arial"/>
          <w:i/>
          <w:spacing w:val="31"/>
          <w:sz w:val="20"/>
        </w:rPr>
        <w:t> </w:t>
      </w:r>
      <w:r>
        <w:rPr>
          <w:rFonts w:ascii="Arial" w:hAnsi="Arial"/>
          <w:i/>
          <w:sz w:val="20"/>
        </w:rPr>
        <w:t>v</w:t>
      </w:r>
      <w:r>
        <w:rPr>
          <w:rFonts w:ascii="Arial" w:hAnsi="Arial"/>
          <w:i/>
          <w:spacing w:val="31"/>
          <w:sz w:val="20"/>
        </w:rPr>
        <w:t> </w:t>
      </w:r>
      <w:r>
        <w:rPr>
          <w:rFonts w:ascii="Arial" w:hAnsi="Arial"/>
          <w:i/>
          <w:sz w:val="20"/>
        </w:rPr>
        <w:t>CDS</w:t>
      </w:r>
      <w:r>
        <w:rPr>
          <w:rFonts w:ascii="Arial" w:hAnsi="Arial"/>
          <w:i/>
          <w:spacing w:val="31"/>
          <w:sz w:val="20"/>
        </w:rPr>
        <w:t> </w:t>
      </w:r>
      <w:r>
        <w:rPr>
          <w:rFonts w:ascii="Arial" w:hAnsi="Arial"/>
          <w:i/>
          <w:sz w:val="20"/>
        </w:rPr>
        <w:t>(Superstores</w:t>
      </w:r>
      <w:r>
        <w:rPr>
          <w:rFonts w:ascii="Arial" w:hAnsi="Arial"/>
          <w:i/>
          <w:spacing w:val="31"/>
          <w:sz w:val="20"/>
        </w:rPr>
        <w:t> </w:t>
      </w:r>
      <w:r>
        <w:rPr>
          <w:rFonts w:ascii="Arial" w:hAnsi="Arial"/>
          <w:i/>
          <w:sz w:val="20"/>
        </w:rPr>
        <w:t>International)</w:t>
      </w:r>
      <w:r>
        <w:rPr>
          <w:rFonts w:ascii="Arial" w:hAnsi="Arial"/>
          <w:i/>
          <w:spacing w:val="31"/>
          <w:sz w:val="20"/>
        </w:rPr>
        <w:t> </w:t>
      </w:r>
      <w:r>
        <w:rPr>
          <w:rFonts w:ascii="Arial" w:hAnsi="Arial"/>
          <w:i/>
          <w:sz w:val="20"/>
        </w:rPr>
        <w:t>Ltd</w:t>
      </w:r>
      <w:r>
        <w:rPr>
          <w:rFonts w:ascii="Arial" w:hAnsi="Arial"/>
          <w:i/>
          <w:spacing w:val="31"/>
          <w:sz w:val="20"/>
        </w:rPr>
        <w:t> </w:t>
      </w:r>
      <w:r>
        <w:rPr>
          <w:rFonts w:ascii="Arial" w:hAnsi="Arial"/>
          <w:i/>
          <w:sz w:val="20"/>
        </w:rPr>
        <w:t>[2017]</w:t>
      </w:r>
      <w:r>
        <w:rPr>
          <w:rFonts w:ascii="Arial" w:hAnsi="Arial"/>
          <w:i/>
          <w:spacing w:val="31"/>
          <w:sz w:val="20"/>
        </w:rPr>
        <w:t> </w:t>
      </w:r>
      <w:r>
        <w:rPr>
          <w:rFonts w:ascii="Arial" w:hAnsi="Arial"/>
          <w:i/>
          <w:sz w:val="20"/>
        </w:rPr>
        <w:t>EWHC</w:t>
      </w:r>
      <w:r>
        <w:rPr>
          <w:rFonts w:ascii="Arial" w:hAnsi="Arial"/>
          <w:i/>
          <w:spacing w:val="31"/>
          <w:sz w:val="20"/>
        </w:rPr>
        <w:t> </w:t>
      </w:r>
      <w:r>
        <w:rPr>
          <w:rFonts w:ascii="Arial" w:hAnsi="Arial"/>
          <w:i/>
          <w:sz w:val="20"/>
        </w:rPr>
        <w:t>891</w:t>
      </w:r>
      <w:r>
        <w:rPr>
          <w:rFonts w:ascii="Arial" w:hAnsi="Arial"/>
          <w:i/>
          <w:spacing w:val="31"/>
          <w:sz w:val="20"/>
        </w:rPr>
        <w:t> </w:t>
      </w:r>
      <w:r>
        <w:rPr>
          <w:rFonts w:ascii="Arial" w:hAnsi="Arial"/>
          <w:i/>
          <w:sz w:val="20"/>
        </w:rPr>
        <w:t>(Ch),</w:t>
      </w:r>
      <w:r>
        <w:rPr>
          <w:rFonts w:ascii="Arial" w:hAnsi="Arial"/>
          <w:i/>
          <w:spacing w:val="31"/>
          <w:sz w:val="20"/>
        </w:rPr>
        <w:t> </w:t>
      </w:r>
      <w:r>
        <w:rPr>
          <w:rFonts w:ascii="Arial" w:hAnsi="Arial"/>
          <w:i/>
          <w:sz w:val="20"/>
        </w:rPr>
        <w:t>[2017]</w:t>
      </w:r>
      <w:r>
        <w:rPr>
          <w:rFonts w:ascii="Arial" w:hAnsi="Arial"/>
          <w:i/>
          <w:spacing w:val="31"/>
          <w:sz w:val="20"/>
        </w:rPr>
        <w:t> </w:t>
      </w:r>
      <w:r>
        <w:rPr>
          <w:rFonts w:ascii="Arial" w:hAnsi="Arial"/>
          <w:i/>
          <w:spacing w:val="-10"/>
          <w:sz w:val="20"/>
        </w:rPr>
        <w:t>4</w:t>
      </w:r>
    </w:p>
    <w:p>
      <w:pPr>
        <w:pStyle w:val="BodyText"/>
        <w:spacing w:line="235" w:lineRule="auto"/>
        <w:ind w:left="165" w:right="167"/>
        <w:jc w:val="both"/>
      </w:pPr>
      <w:r>
        <w:rPr>
          <w:rFonts w:ascii="Arial" w:hAnsi="Arial"/>
          <w:i/>
        </w:rPr>
        <w:t>W.L.R. 73 </w:t>
      </w:r>
      <w:r>
        <w:rPr/>
        <w:t>at [36]–[38] (“not a reasonable clause to put into the lease, even if the parties are of equal bargaining power and act on legal advice, because its effect would render the </w:t>
      </w:r>
      <w:r>
        <w:rPr/>
        <w:t>whole exercise</w:t>
      </w:r>
      <w:r>
        <w:rPr>
          <w:spacing w:val="-3"/>
        </w:rPr>
        <w:t> </w:t>
      </w:r>
      <w:r>
        <w:rPr/>
        <w:t>of</w:t>
      </w:r>
      <w:r>
        <w:rPr>
          <w:spacing w:val="-3"/>
        </w:rPr>
        <w:t> </w:t>
      </w:r>
      <w:r>
        <w:rPr/>
        <w:t>making</w:t>
      </w:r>
      <w:r>
        <w:rPr>
          <w:spacing w:val="-3"/>
        </w:rPr>
        <w:t> </w:t>
      </w:r>
      <w:r>
        <w:rPr/>
        <w:t>inquiries</w:t>
      </w:r>
      <w:r>
        <w:rPr>
          <w:spacing w:val="-3"/>
        </w:rPr>
        <w:t> </w:t>
      </w:r>
      <w:r>
        <w:rPr/>
        <w:t>and</w:t>
      </w:r>
      <w:r>
        <w:rPr>
          <w:spacing w:val="-3"/>
        </w:rPr>
        <w:t> </w:t>
      </w:r>
      <w:r>
        <w:rPr/>
        <w:t>relying</w:t>
      </w:r>
      <w:r>
        <w:rPr>
          <w:spacing w:val="-3"/>
        </w:rPr>
        <w:t> </w:t>
      </w:r>
      <w:r>
        <w:rPr/>
        <w:t>on</w:t>
      </w:r>
      <w:r>
        <w:rPr>
          <w:spacing w:val="-3"/>
        </w:rPr>
        <w:t> </w:t>
      </w:r>
      <w:r>
        <w:rPr/>
        <w:t>answers</w:t>
      </w:r>
      <w:r>
        <w:rPr>
          <w:spacing w:val="-3"/>
        </w:rPr>
        <w:t> </w:t>
      </w:r>
      <w:r>
        <w:rPr/>
        <w:t>thereto</w:t>
      </w:r>
      <w:r>
        <w:rPr>
          <w:spacing w:val="-3"/>
        </w:rPr>
        <w:t> </w:t>
      </w:r>
      <w:r>
        <w:rPr/>
        <w:t>all</w:t>
      </w:r>
      <w:r>
        <w:rPr>
          <w:spacing w:val="-3"/>
        </w:rPr>
        <w:t> </w:t>
      </w:r>
      <w:r>
        <w:rPr/>
        <w:t>but</w:t>
      </w:r>
      <w:r>
        <w:rPr>
          <w:spacing w:val="-3"/>
        </w:rPr>
        <w:t> </w:t>
      </w:r>
      <w:r>
        <w:rPr/>
        <w:t>nugatory”</w:t>
      </w:r>
      <w:r>
        <w:rPr>
          <w:spacing w:val="-3"/>
        </w:rPr>
        <w:t> </w:t>
      </w:r>
      <w:r>
        <w:rPr/>
        <w:t>(at</w:t>
      </w:r>
      <w:r>
        <w:rPr>
          <w:spacing w:val="-3"/>
        </w:rPr>
        <w:t> </w:t>
      </w:r>
      <w:r>
        <w:rPr/>
        <w:t>[39]–[40])).</w:t>
      </w:r>
      <w:r>
        <w:rPr>
          <w:spacing w:val="-3"/>
        </w:rPr>
        <w:t> </w:t>
      </w:r>
      <w:r>
        <w:rPr/>
        <w:t>See below, para.15-104.</w:t>
      </w:r>
    </w:p>
    <w:p>
      <w:pPr>
        <w:pStyle w:val="BodyText"/>
        <w:spacing w:after="0" w:line="235" w:lineRule="auto"/>
        <w:jc w:val="both"/>
        <w:sectPr>
          <w:type w:val="continuous"/>
          <w:pgSz w:w="11900" w:h="16840"/>
          <w:pgMar w:header="971" w:footer="0" w:top="1160" w:bottom="280" w:left="1275" w:right="1275"/>
          <w:cols w:num="2" w:equalWidth="0">
            <w:col w:w="478" w:space="63"/>
            <w:col w:w="8809"/>
          </w:cols>
        </w:sectPr>
      </w:pPr>
    </w:p>
    <w:p>
      <w:pPr>
        <w:pStyle w:val="BodyText"/>
        <w:tabs>
          <w:tab w:pos="705" w:val="left" w:leader="none"/>
        </w:tabs>
        <w:spacing w:before="228"/>
        <w:ind w:left="165"/>
      </w:pPr>
      <w:bookmarkStart w:name="_bookmark1334" w:id="1336"/>
      <w:bookmarkEnd w:id="1336"/>
      <w:r>
        <w:rPr/>
      </w:r>
      <w:hyperlink w:history="true" w:anchor="_bookmark1278">
        <w:r>
          <w:rPr>
            <w:color w:val="005DA1"/>
            <w:spacing w:val="-4"/>
            <w:position w:val="5"/>
            <w:sz w:val="14"/>
            <w:u w:val="single" w:color="005DA1"/>
          </w:rPr>
          <w:t>697</w:t>
        </w:r>
      </w:hyperlink>
      <w:r>
        <w:rPr>
          <w:spacing w:val="-4"/>
          <w:position w:val="5"/>
          <w:sz w:val="14"/>
        </w:rPr>
        <w:t>.</w:t>
      </w:r>
      <w:r>
        <w:rPr>
          <w:position w:val="5"/>
          <w:sz w:val="14"/>
        </w:rPr>
        <w:tab/>
      </w:r>
      <w:r>
        <w:rPr/>
        <w:t>See</w:t>
      </w:r>
      <w:r>
        <w:rPr>
          <w:spacing w:val="-2"/>
        </w:rPr>
        <w:t> </w:t>
      </w:r>
      <w:r>
        <w:rPr/>
        <w:t>below, para.15-</w:t>
      </w:r>
      <w:r>
        <w:rPr>
          <w:spacing w:val="-4"/>
        </w:rPr>
        <w:t>112.</w:t>
      </w:r>
    </w:p>
    <w:p>
      <w:pPr>
        <w:pStyle w:val="BodyText"/>
        <w:spacing w:before="8"/>
      </w:pPr>
    </w:p>
    <w:p>
      <w:pPr>
        <w:spacing w:line="235" w:lineRule="auto" w:before="0"/>
        <w:ind w:left="705" w:right="167" w:hanging="541"/>
        <w:jc w:val="both"/>
        <w:rPr>
          <w:sz w:val="20"/>
        </w:rPr>
      </w:pPr>
      <w:bookmarkStart w:name="_bookmark1335" w:id="1337"/>
      <w:bookmarkEnd w:id="1337"/>
      <w:r>
        <w:rPr/>
      </w:r>
      <w:hyperlink w:history="true" w:anchor="_bookmark1279">
        <w:r>
          <w:rPr>
            <w:color w:val="005DA1"/>
            <w:position w:val="5"/>
            <w:sz w:val="14"/>
            <w:u w:val="single" w:color="005DA1"/>
          </w:rPr>
          <w:t>698</w:t>
        </w:r>
      </w:hyperlink>
      <w:r>
        <w:rPr>
          <w:position w:val="5"/>
          <w:sz w:val="14"/>
        </w:rPr>
        <w:t>.</w:t>
      </w:r>
      <w:r>
        <w:rPr>
          <w:spacing w:val="80"/>
          <w:position w:val="5"/>
          <w:sz w:val="14"/>
        </w:rPr>
        <w:t>  </w:t>
      </w:r>
      <w:r>
        <w:rPr>
          <w:rFonts w:ascii="Arial" w:hAnsi="Arial"/>
          <w:i/>
          <w:sz w:val="20"/>
        </w:rPr>
        <w:t>Thomas Witter Ltd v TBP Industries Ltd [1992] All E.R. 573</w:t>
      </w:r>
      <w:r>
        <w:rPr>
          <w:sz w:val="20"/>
        </w:rPr>
        <w:t>. cf. </w:t>
      </w:r>
      <w:r>
        <w:rPr>
          <w:rFonts w:ascii="Arial" w:hAnsi="Arial"/>
          <w:i/>
          <w:sz w:val="20"/>
        </w:rPr>
        <w:t>Stewart Gill Ltd v Horatio </w:t>
      </w:r>
      <w:r>
        <w:rPr>
          <w:rFonts w:ascii="Arial" w:hAnsi="Arial"/>
          <w:i/>
          <w:sz w:val="20"/>
        </w:rPr>
        <w:t>Myer</w:t>
      </w:r>
      <w:r>
        <w:rPr>
          <w:rFonts w:ascii="Arial" w:hAnsi="Arial"/>
          <w:i/>
          <w:spacing w:val="80"/>
          <w:sz w:val="20"/>
        </w:rPr>
        <w:t> </w:t>
      </w:r>
      <w:r>
        <w:rPr>
          <w:rFonts w:ascii="Arial" w:hAnsi="Arial"/>
          <w:i/>
          <w:sz w:val="20"/>
        </w:rPr>
        <w:t>&amp; Co Ltd [1992] Q.B. 600</w:t>
      </w:r>
      <w:r>
        <w:rPr>
          <w:sz w:val="20"/>
        </w:rPr>
        <w:t>; below, para.15-112. In </w:t>
      </w:r>
      <w:r>
        <w:rPr>
          <w:rFonts w:ascii="Arial" w:hAnsi="Arial"/>
          <w:i/>
          <w:sz w:val="20"/>
        </w:rPr>
        <w:t>Skipskredittforeningen v Emperor Navigation [1998] 1 Lloyd’s Rep. 66 </w:t>
      </w:r>
      <w:r>
        <w:rPr>
          <w:sz w:val="20"/>
        </w:rPr>
        <w:t>it was held not to be unreasonable to include in a loan agreement a</w:t>
      </w:r>
      <w:r>
        <w:rPr>
          <w:spacing w:val="40"/>
          <w:sz w:val="20"/>
        </w:rPr>
        <w:t> </w:t>
      </w:r>
      <w:r>
        <w:rPr>
          <w:sz w:val="20"/>
        </w:rPr>
        <w:t>no-set off clause which might apply even in cases of fraud.</w:t>
      </w:r>
    </w:p>
    <w:p>
      <w:pPr>
        <w:pStyle w:val="BodyText"/>
        <w:spacing w:before="5"/>
      </w:pPr>
    </w:p>
    <w:p>
      <w:pPr>
        <w:tabs>
          <w:tab w:pos="705" w:val="left" w:leader="none"/>
        </w:tabs>
        <w:spacing w:before="0"/>
        <w:ind w:left="165" w:right="0" w:firstLine="0"/>
        <w:jc w:val="left"/>
        <w:rPr>
          <w:sz w:val="20"/>
        </w:rPr>
      </w:pPr>
      <w:bookmarkStart w:name="_bookmark1336" w:id="1338"/>
      <w:bookmarkEnd w:id="1338"/>
      <w:r>
        <w:rPr/>
      </w:r>
      <w:hyperlink w:history="true" w:anchor="_bookmark1280">
        <w:r>
          <w:rPr>
            <w:color w:val="005DA1"/>
            <w:spacing w:val="-4"/>
            <w:position w:val="5"/>
            <w:sz w:val="14"/>
            <w:u w:val="single" w:color="005DA1"/>
          </w:rPr>
          <w:t>699</w:t>
        </w:r>
      </w:hyperlink>
      <w:r>
        <w:rPr>
          <w:spacing w:val="-4"/>
          <w:position w:val="5"/>
          <w:sz w:val="14"/>
        </w:rPr>
        <w:t>.</w:t>
      </w:r>
      <w:r>
        <w:rPr>
          <w:position w:val="5"/>
          <w:sz w:val="14"/>
        </w:rPr>
        <w:tab/>
      </w:r>
      <w:r>
        <w:rPr>
          <w:rFonts w:ascii="Arial" w:hAnsi="Arial"/>
          <w:i/>
          <w:sz w:val="20"/>
        </w:rPr>
        <w:t>Skipskredittforeningen v Emperor Navigation [1998] 1 Lloyd’s Rep. 66, </w:t>
      </w:r>
      <w:r>
        <w:rPr>
          <w:rFonts w:ascii="Arial" w:hAnsi="Arial"/>
          <w:i/>
          <w:spacing w:val="-2"/>
          <w:sz w:val="20"/>
        </w:rPr>
        <w:t>75–76</w:t>
      </w:r>
      <w:r>
        <w:rPr>
          <w:spacing w:val="-2"/>
          <w:sz w:val="20"/>
        </w:rPr>
        <w:t>.</w:t>
      </w:r>
    </w:p>
    <w:p>
      <w:pPr>
        <w:pStyle w:val="BodyText"/>
        <w:spacing w:before="9"/>
      </w:pPr>
    </w:p>
    <w:p>
      <w:pPr>
        <w:spacing w:line="235" w:lineRule="auto" w:before="0"/>
        <w:ind w:left="705" w:right="167" w:hanging="541"/>
        <w:jc w:val="both"/>
        <w:rPr>
          <w:sz w:val="20"/>
        </w:rPr>
      </w:pPr>
      <w:bookmarkStart w:name="_bookmark1337" w:id="1339"/>
      <w:bookmarkEnd w:id="1339"/>
      <w:r>
        <w:rPr/>
      </w:r>
      <w:hyperlink w:history="true" w:anchor="_bookmark1281">
        <w:r>
          <w:rPr>
            <w:color w:val="005DA1"/>
            <w:position w:val="5"/>
            <w:sz w:val="14"/>
            <w:u w:val="single" w:color="005DA1"/>
          </w:rPr>
          <w:t>700</w:t>
        </w:r>
      </w:hyperlink>
      <w:r>
        <w:rPr>
          <w:position w:val="5"/>
          <w:sz w:val="14"/>
        </w:rPr>
        <w:t>.</w:t>
      </w:r>
      <w:r>
        <w:rPr>
          <w:spacing w:val="80"/>
          <w:position w:val="5"/>
          <w:sz w:val="14"/>
        </w:rPr>
        <w:t>  </w:t>
      </w:r>
      <w:r>
        <w:rPr>
          <w:sz w:val="20"/>
        </w:rPr>
        <w:t>Compare</w:t>
      </w:r>
      <w:r>
        <w:rPr>
          <w:spacing w:val="-2"/>
          <w:sz w:val="20"/>
        </w:rPr>
        <w:t> </w:t>
      </w:r>
      <w:r>
        <w:rPr>
          <w:sz w:val="20"/>
        </w:rPr>
        <w:t>the</w:t>
      </w:r>
      <w:r>
        <w:rPr>
          <w:spacing w:val="-2"/>
          <w:sz w:val="20"/>
        </w:rPr>
        <w:t> </w:t>
      </w:r>
      <w:r>
        <w:rPr>
          <w:sz w:val="20"/>
        </w:rPr>
        <w:t>formulation</w:t>
      </w:r>
      <w:r>
        <w:rPr>
          <w:spacing w:val="-2"/>
          <w:sz w:val="20"/>
        </w:rPr>
        <w:t> </w:t>
      </w:r>
      <w:r>
        <w:rPr>
          <w:sz w:val="20"/>
        </w:rPr>
        <w:t>used</w:t>
      </w:r>
      <w:r>
        <w:rPr>
          <w:spacing w:val="-2"/>
          <w:sz w:val="20"/>
        </w:rPr>
        <w:t> </w:t>
      </w:r>
      <w:r>
        <w:rPr>
          <w:sz w:val="20"/>
        </w:rPr>
        <w:t>by</w:t>
      </w:r>
      <w:r>
        <w:rPr>
          <w:spacing w:val="-2"/>
          <w:sz w:val="20"/>
        </w:rPr>
        <w:t> </w:t>
      </w:r>
      <w:r>
        <w:rPr>
          <w:sz w:val="20"/>
        </w:rPr>
        <w:t>the</w:t>
      </w:r>
      <w:r>
        <w:rPr>
          <w:spacing w:val="-2"/>
          <w:sz w:val="20"/>
        </w:rPr>
        <w:t> </w:t>
      </w:r>
      <w:r>
        <w:rPr>
          <w:sz w:val="20"/>
        </w:rPr>
        <w:t>original</w:t>
      </w:r>
      <w:r>
        <w:rPr>
          <w:spacing w:val="-2"/>
          <w:sz w:val="20"/>
        </w:rPr>
        <w:t> </w:t>
      </w:r>
      <w:r>
        <w:rPr>
          <w:sz w:val="20"/>
        </w:rPr>
        <w:t>version</w:t>
      </w:r>
      <w:r>
        <w:rPr>
          <w:spacing w:val="-2"/>
          <w:sz w:val="20"/>
        </w:rPr>
        <w:t> </w:t>
      </w:r>
      <w:r>
        <w:rPr>
          <w:sz w:val="20"/>
        </w:rPr>
        <w:t>of</w:t>
      </w:r>
      <w:r>
        <w:rPr>
          <w:spacing w:val="-2"/>
          <w:sz w:val="20"/>
        </w:rPr>
        <w:t> </w:t>
      </w:r>
      <w:r>
        <w:rPr>
          <w:sz w:val="20"/>
        </w:rPr>
        <w:t>s.3</w:t>
      </w:r>
      <w:r>
        <w:rPr>
          <w:spacing w:val="-2"/>
          <w:sz w:val="20"/>
        </w:rPr>
        <w:t> </w:t>
      </w:r>
      <w:r>
        <w:rPr>
          <w:sz w:val="20"/>
        </w:rPr>
        <w:t>before</w:t>
      </w:r>
      <w:r>
        <w:rPr>
          <w:spacing w:val="-2"/>
          <w:sz w:val="20"/>
        </w:rPr>
        <w:t> </w:t>
      </w:r>
      <w:r>
        <w:rPr>
          <w:sz w:val="20"/>
        </w:rPr>
        <w:t>amendment</w:t>
      </w:r>
      <w:r>
        <w:rPr>
          <w:spacing w:val="-2"/>
          <w:sz w:val="20"/>
        </w:rPr>
        <w:t> </w:t>
      </w:r>
      <w:r>
        <w:rPr>
          <w:sz w:val="20"/>
        </w:rPr>
        <w:t>by</w:t>
      </w:r>
      <w:r>
        <w:rPr>
          <w:spacing w:val="-2"/>
          <w:sz w:val="20"/>
        </w:rPr>
        <w:t> </w:t>
      </w:r>
      <w:r>
        <w:rPr>
          <w:sz w:val="20"/>
        </w:rPr>
        <w:t>the</w:t>
      </w:r>
      <w:r>
        <w:rPr>
          <w:spacing w:val="-2"/>
          <w:sz w:val="20"/>
        </w:rPr>
        <w:t> </w:t>
      </w:r>
      <w:r>
        <w:rPr>
          <w:sz w:val="20"/>
        </w:rPr>
        <w:t>1977</w:t>
      </w:r>
      <w:r>
        <w:rPr>
          <w:spacing w:val="-2"/>
          <w:sz w:val="20"/>
        </w:rPr>
        <w:t> </w:t>
      </w:r>
      <w:r>
        <w:rPr>
          <w:sz w:val="20"/>
        </w:rPr>
        <w:t>Act: “[T]hat provision shall be of no effect except to the extent that … the court or arbitrator may allow reliance on it as being fair and reasonable in the circumstances of the case”. But see the doubts expressed by Mance J. in </w:t>
      </w:r>
      <w:r>
        <w:rPr>
          <w:rFonts w:ascii="Arial" w:hAnsi="Arial"/>
          <w:i/>
          <w:sz w:val="20"/>
        </w:rPr>
        <w:t>Skipskredittforeningen v Emperor Navigation [1998] 1 Lloyd’s Rep. 66, 75</w:t>
      </w:r>
      <w:r>
        <w:rPr>
          <w:sz w:val="20"/>
        </w:rPr>
        <w:t>; and also </w:t>
      </w:r>
      <w:r>
        <w:rPr>
          <w:rFonts w:ascii="Arial" w:hAnsi="Arial"/>
          <w:i/>
          <w:sz w:val="20"/>
        </w:rPr>
        <w:t>Bacardi-Martini Beverages Ltd v Thomas Hardy Packaging Ltd [2002] EWCA Civ 549, [2002] 2 Lloyd’s Rep. 379 </w:t>
      </w:r>
      <w:r>
        <w:rPr>
          <w:sz w:val="20"/>
        </w:rPr>
        <w:t>at [26].</w:t>
      </w:r>
    </w:p>
    <w:p>
      <w:pPr>
        <w:pStyle w:val="BodyText"/>
        <w:spacing w:before="8"/>
      </w:pPr>
    </w:p>
    <w:p>
      <w:pPr>
        <w:spacing w:line="235" w:lineRule="auto" w:before="0"/>
        <w:ind w:left="705" w:right="167" w:hanging="541"/>
        <w:jc w:val="both"/>
        <w:rPr>
          <w:sz w:val="20"/>
        </w:rPr>
      </w:pPr>
      <w:bookmarkStart w:name="_bookmark1338" w:id="1340"/>
      <w:bookmarkEnd w:id="1340"/>
      <w:r>
        <w:rPr/>
      </w:r>
      <w:hyperlink w:history="true" w:anchor="_bookmark1282">
        <w:r>
          <w:rPr>
            <w:color w:val="005DA1"/>
            <w:position w:val="5"/>
            <w:sz w:val="14"/>
            <w:u w:val="single" w:color="005DA1"/>
          </w:rPr>
          <w:t>701</w:t>
        </w:r>
      </w:hyperlink>
      <w:r>
        <w:rPr>
          <w:position w:val="5"/>
          <w:sz w:val="14"/>
        </w:rPr>
        <w:t>.</w:t>
      </w:r>
      <w:r>
        <w:rPr>
          <w:spacing w:val="40"/>
          <w:position w:val="5"/>
          <w:sz w:val="14"/>
        </w:rPr>
        <w:t>  </w:t>
      </w:r>
      <w:r>
        <w:rPr>
          <w:sz w:val="20"/>
        </w:rPr>
        <w:t>See </w:t>
      </w:r>
      <w:r>
        <w:rPr>
          <w:rFonts w:ascii="Arial" w:hAnsi="Arial"/>
          <w:i/>
          <w:sz w:val="20"/>
        </w:rPr>
        <w:t>National Westminster Bank Plc v Utrecht-America Finance Co [2001] EWCA Civ </w:t>
      </w:r>
      <w:r>
        <w:rPr>
          <w:rFonts w:ascii="Arial" w:hAnsi="Arial"/>
          <w:i/>
          <w:sz w:val="20"/>
        </w:rPr>
        <w:t>658,</w:t>
      </w:r>
      <w:r>
        <w:rPr>
          <w:rFonts w:ascii="Arial" w:hAnsi="Arial"/>
          <w:i/>
          <w:spacing w:val="80"/>
          <w:sz w:val="20"/>
        </w:rPr>
        <w:t> </w:t>
      </w:r>
      <w:r>
        <w:rPr>
          <w:rFonts w:ascii="Arial" w:hAnsi="Arial"/>
          <w:i/>
          <w:sz w:val="20"/>
        </w:rPr>
        <w:t>[2001] 3 All E.R. 733 </w:t>
      </w:r>
      <w:r>
        <w:rPr>
          <w:sz w:val="20"/>
        </w:rPr>
        <w:t>at [60]–[61], citing an unreported judgment of Chadwick L.J. in </w:t>
      </w:r>
      <w:r>
        <w:rPr>
          <w:rFonts w:ascii="Arial" w:hAnsi="Arial"/>
          <w:i/>
          <w:sz w:val="20"/>
        </w:rPr>
        <w:t>E A Grimstead &amp; Son Ltd v McGarrigan Unreported October 27, 1999</w:t>
      </w:r>
      <w:r>
        <w:rPr>
          <w:sz w:val="20"/>
        </w:rPr>
        <w:t>; </w:t>
      </w:r>
      <w:r>
        <w:rPr>
          <w:rFonts w:ascii="Arial" w:hAnsi="Arial"/>
          <w:i/>
          <w:sz w:val="20"/>
        </w:rPr>
        <w:t>Watford Electronics Ltd v Sanderson CFL Ltd [2001] EWCA Civ 317, [2001] Build. L.R. 143 </w:t>
      </w:r>
      <w:r>
        <w:rPr>
          <w:sz w:val="20"/>
        </w:rPr>
        <w:t>at [39]. See also </w:t>
      </w:r>
      <w:r>
        <w:rPr>
          <w:rFonts w:ascii="Arial" w:hAnsi="Arial"/>
          <w:i/>
          <w:sz w:val="20"/>
        </w:rPr>
        <w:t>FoodCo UK LLP (t/a Muffin Break) v Henry Boot Developments Ltd [2010] EWHC 358 (Ch)</w:t>
      </w:r>
      <w:r>
        <w:rPr>
          <w:sz w:val="20"/>
        </w:rPr>
        <w:t>, at [177]; </w:t>
      </w:r>
      <w:r>
        <w:rPr>
          <w:rFonts w:ascii="Arial" w:hAnsi="Arial"/>
          <w:i/>
          <w:sz w:val="20"/>
        </w:rPr>
        <w:t>Raiffeisen Zentralbank Osterreich AG v Royal Bank of Scotland Plc [2010] EWHC 1392 (Comm), [2011] 1 Lloyd’s Rep. 123 </w:t>
      </w:r>
      <w:r>
        <w:rPr>
          <w:sz w:val="20"/>
        </w:rPr>
        <w:t>at [319]–[327]. In </w:t>
      </w:r>
      <w:r>
        <w:rPr>
          <w:rFonts w:ascii="Arial" w:hAnsi="Arial"/>
          <w:i/>
          <w:sz w:val="20"/>
        </w:rPr>
        <w:t>Springwell Navigation Corp v JP Morgan Chase Bank [2010] EWCA Civ 1221, [2010] 2 C.L.C. 705</w:t>
      </w:r>
      <w:r>
        <w:rPr>
          <w:sz w:val="20"/>
        </w:rPr>
        <w:t>, at [183]–[184] the Court of Appeal agreed with the trial judge (see </w:t>
      </w:r>
      <w:r>
        <w:rPr>
          <w:rFonts w:ascii="Arial" w:hAnsi="Arial"/>
          <w:i/>
          <w:sz w:val="20"/>
        </w:rPr>
        <w:t>[2008] EWHC 1186 (Comm)</w:t>
      </w:r>
      <w:r>
        <w:rPr>
          <w:sz w:val="20"/>
        </w:rPr>
        <w:t>) that clauses restricting liability towards a sophisticated investor who was aware of the risks were reasonable. See also </w:t>
      </w:r>
      <w:r>
        <w:rPr>
          <w:rFonts w:ascii="Arial" w:hAnsi="Arial"/>
          <w:i/>
          <w:sz w:val="20"/>
        </w:rPr>
        <w:t>Camerata Property Inc v Credit Suisse Securities (Europe) Ltd [2011] EWHC 479 (Comm) </w:t>
      </w:r>
      <w:r>
        <w:rPr>
          <w:sz w:val="20"/>
        </w:rPr>
        <w:t>at [187]; </w:t>
      </w:r>
      <w:r>
        <w:rPr>
          <w:rFonts w:ascii="Arial" w:hAnsi="Arial"/>
          <w:i/>
          <w:sz w:val="20"/>
        </w:rPr>
        <w:t>AXA Sun Life Services Plc v Campbell Martin Ltd [2011] EWCA Civ 133, [2011] 2 Lloyd’s Rep. 1 </w:t>
      </w:r>
      <w:r>
        <w:rPr>
          <w:sz w:val="20"/>
        </w:rPr>
        <w:t>at [48]–[75]; </w:t>
      </w:r>
      <w:r>
        <w:rPr>
          <w:rFonts w:ascii="Arial" w:hAnsi="Arial"/>
          <w:i/>
          <w:sz w:val="20"/>
        </w:rPr>
        <w:t>Standard Chartered Bank v Ceylon Petroleum Corp [2011] EWHC 1785 (Comm) </w:t>
      </w:r>
      <w:r>
        <w:rPr>
          <w:sz w:val="20"/>
        </w:rPr>
        <w:t>at [569]–[572]; </w:t>
      </w:r>
      <w:r>
        <w:rPr>
          <w:rFonts w:ascii="Arial" w:hAnsi="Arial"/>
          <w:i/>
          <w:sz w:val="20"/>
        </w:rPr>
        <w:t>Welven Ltd v Soar Group [2011] EWHC 3240 (Comm) </w:t>
      </w:r>
      <w:r>
        <w:rPr>
          <w:sz w:val="20"/>
        </w:rPr>
        <w:t>at [115].</w:t>
      </w:r>
    </w:p>
    <w:p>
      <w:pPr>
        <w:pStyle w:val="BodyText"/>
        <w:spacing w:before="4"/>
      </w:pPr>
    </w:p>
    <w:p>
      <w:pPr>
        <w:pStyle w:val="BodyText"/>
        <w:spacing w:line="235" w:lineRule="auto"/>
        <w:ind w:left="705" w:right="167" w:hanging="541"/>
        <w:jc w:val="both"/>
      </w:pPr>
      <w:bookmarkStart w:name="_bookmark1339" w:id="1341"/>
      <w:bookmarkEnd w:id="1341"/>
      <w:r>
        <w:rPr/>
      </w:r>
      <w:hyperlink w:history="true" w:anchor="_bookmark1283">
        <w:r>
          <w:rPr>
            <w:color w:val="005DA1"/>
            <w:position w:val="5"/>
            <w:sz w:val="14"/>
            <w:u w:val="single" w:color="005DA1"/>
          </w:rPr>
          <w:t>702</w:t>
        </w:r>
      </w:hyperlink>
      <w:r>
        <w:rPr>
          <w:position w:val="5"/>
          <w:sz w:val="14"/>
        </w:rPr>
        <w:t>.</w:t>
      </w:r>
      <w:r>
        <w:rPr>
          <w:spacing w:val="80"/>
          <w:w w:val="150"/>
          <w:position w:val="5"/>
          <w:sz w:val="14"/>
        </w:rPr>
        <w:t> </w:t>
      </w:r>
      <w:r>
        <w:rPr/>
        <w:t>As already seen (above, para.7-113) s.1(a) of the 1967 Act provides that a </w:t>
      </w:r>
      <w:r>
        <w:rPr/>
        <w:t>misrepresentation continues to be effective as such even if it becomes a term of the contract. See also below, </w:t>
      </w:r>
      <w:r>
        <w:rPr>
          <w:spacing w:val="-2"/>
        </w:rPr>
        <w:t>para.15-130.</w:t>
      </w: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7520">
            <wp:simplePos x="0" y="0"/>
            <wp:positionH relativeFrom="page">
              <wp:posOffset>1257846</wp:posOffset>
            </wp:positionH>
            <wp:positionV relativeFrom="paragraph">
              <wp:posOffset>160551</wp:posOffset>
            </wp:positionV>
            <wp:extent cx="107988" cy="107988"/>
            <wp:effectExtent l="0" t="0" r="0" b="0"/>
            <wp:wrapNone/>
            <wp:docPr id="245" name="Image 245"/>
            <wp:cNvGraphicFramePr>
              <a:graphicFrameLocks/>
            </wp:cNvGraphicFramePr>
            <a:graphic>
              <a:graphicData uri="http://schemas.openxmlformats.org/drawingml/2006/picture">
                <pic:pic>
                  <pic:nvPicPr>
                    <pic:cNvPr id="245" name="Image 24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40" w:id="1342"/>
      <w:bookmarkEnd w:id="1342"/>
      <w:r>
        <w:rPr/>
      </w:r>
      <w:hyperlink w:history="true" w:anchor="_bookmark1284">
        <w:r>
          <w:rPr>
            <w:color w:val="005DA1"/>
            <w:spacing w:val="-4"/>
            <w:sz w:val="14"/>
            <w:u w:val="single" w:color="005DA1"/>
          </w:rPr>
          <w:t>703</w:t>
        </w:r>
      </w:hyperlink>
      <w:r>
        <w:rPr>
          <w:spacing w:val="-4"/>
          <w:sz w:val="14"/>
        </w:rPr>
        <w:t>.</w:t>
      </w:r>
    </w:p>
    <w:p>
      <w:pPr>
        <w:spacing w:before="209"/>
        <w:ind w:left="335" w:right="0" w:firstLine="0"/>
        <w:jc w:val="left"/>
        <w:rPr>
          <w:sz w:val="20"/>
        </w:rPr>
      </w:pPr>
      <w:r>
        <w:rPr/>
        <w:br w:type="column"/>
      </w:r>
      <w:r>
        <w:rPr>
          <w:sz w:val="20"/>
        </w:rPr>
        <w:t>Peel,</w:t>
      </w:r>
      <w:r>
        <w:rPr>
          <w:spacing w:val="-2"/>
          <w:sz w:val="20"/>
        </w:rPr>
        <w:t> </w:t>
      </w:r>
      <w:r>
        <w:rPr>
          <w:rFonts w:ascii="Arial"/>
          <w:i/>
          <w:sz w:val="20"/>
        </w:rPr>
        <w:t>Treitel on The Law of Contract</w:t>
      </w:r>
      <w:r>
        <w:rPr>
          <w:sz w:val="20"/>
        </w:rPr>
        <w:t>, 14th edn (2015), para.9-</w:t>
      </w:r>
      <w:r>
        <w:rPr>
          <w:spacing w:val="-4"/>
          <w:sz w:val="20"/>
        </w:rPr>
        <w:t>130.</w:t>
      </w:r>
    </w:p>
    <w:p>
      <w:pPr>
        <w:spacing w:after="0"/>
        <w:jc w:val="left"/>
        <w:rPr>
          <w:sz w:val="20"/>
        </w:rPr>
        <w:sectPr>
          <w:type w:val="continuous"/>
          <w:pgSz w:w="11900" w:h="16840"/>
          <w:pgMar w:header="971" w:footer="0" w:top="1160" w:bottom="280" w:left="1275" w:right="1275"/>
          <w:cols w:num="2" w:equalWidth="0">
            <w:col w:w="478" w:space="63"/>
            <w:col w:w="8809"/>
          </w:cols>
        </w:sectPr>
      </w:pPr>
    </w:p>
    <w:p>
      <w:pPr>
        <w:pStyle w:val="BodyText"/>
        <w:spacing w:before="4"/>
        <w:rPr>
          <w:sz w:val="19"/>
        </w:rPr>
      </w:pPr>
    </w:p>
    <w:p>
      <w:pPr>
        <w:pStyle w:val="BodyText"/>
        <w:spacing w:after="0"/>
        <w:rPr>
          <w:sz w:val="19"/>
        </w:rPr>
        <w:sectPr>
          <w:headerReference w:type="default" r:id="rId18"/>
          <w:pgSz w:w="11900" w:h="16840"/>
          <w:pgMar w:header="971" w:footer="0" w:top="1160" w:bottom="280" w:left="1275" w:right="1275"/>
        </w:sectPr>
      </w:pPr>
    </w:p>
    <w:p>
      <w:pPr>
        <w:spacing w:before="96"/>
        <w:ind w:left="165" w:right="0" w:firstLine="0"/>
        <w:jc w:val="left"/>
        <w:rPr>
          <w:sz w:val="14"/>
        </w:rPr>
      </w:pPr>
      <w:hyperlink w:history="true" w:anchor="_bookmark1285">
        <w:r>
          <w:rPr>
            <w:color w:val="005DA1"/>
            <w:spacing w:val="-4"/>
            <w:sz w:val="14"/>
            <w:u w:val="single" w:color="005DA1"/>
          </w:rPr>
          <w:t>704</w:t>
        </w:r>
      </w:hyperlink>
      <w:r>
        <w:rPr>
          <w:spacing w:val="-4"/>
          <w:sz w:val="14"/>
        </w:rPr>
        <w:t>.</w:t>
      </w:r>
    </w:p>
    <w:p>
      <w:pPr>
        <w:spacing w:before="208"/>
        <w:ind w:left="335" w:right="0" w:firstLine="0"/>
        <w:jc w:val="left"/>
        <w:rPr>
          <w:sz w:val="20"/>
        </w:rPr>
      </w:pPr>
      <w:r>
        <w:rPr/>
        <w:br w:type="column"/>
      </w:r>
      <w:r>
        <w:rPr>
          <w:sz w:val="20"/>
        </w:rPr>
        <w:t>Peel,</w:t>
      </w:r>
      <w:r>
        <w:rPr>
          <w:spacing w:val="-2"/>
          <w:sz w:val="20"/>
        </w:rPr>
        <w:t> </w:t>
      </w:r>
      <w:r>
        <w:rPr>
          <w:rFonts w:ascii="Arial"/>
          <w:i/>
          <w:sz w:val="20"/>
        </w:rPr>
        <w:t>Treitel on The Law of Contract</w:t>
      </w:r>
      <w:r>
        <w:rPr>
          <w:sz w:val="20"/>
        </w:rPr>
        <w:t>, 14th edn (2015), para.9-</w:t>
      </w:r>
      <w:r>
        <w:rPr>
          <w:spacing w:val="-4"/>
          <w:sz w:val="20"/>
        </w:rPr>
        <w:t>131.</w:t>
      </w:r>
    </w:p>
    <w:p>
      <w:pPr>
        <w:spacing w:after="0"/>
        <w:jc w:val="left"/>
        <w:rPr>
          <w:sz w:val="20"/>
        </w:rPr>
        <w:sectPr>
          <w:type w:val="continuous"/>
          <w:pgSz w:w="11900" w:h="16840"/>
          <w:pgMar w:header="971" w:footer="0" w:top="116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r>
        <w:rPr>
          <w:sz w:val="20"/>
        </w:rPr>
        <w:drawing>
          <wp:anchor distT="0" distB="0" distL="0" distR="0" allowOverlap="1" layoutInCell="1" locked="0" behindDoc="0" simplePos="0" relativeHeight="15788032">
            <wp:simplePos x="0" y="0"/>
            <wp:positionH relativeFrom="page">
              <wp:posOffset>1257846</wp:posOffset>
            </wp:positionH>
            <wp:positionV relativeFrom="paragraph">
              <wp:posOffset>-266845</wp:posOffset>
            </wp:positionV>
            <wp:extent cx="107988" cy="107988"/>
            <wp:effectExtent l="0" t="0" r="0" b="0"/>
            <wp:wrapNone/>
            <wp:docPr id="247" name="Image 247"/>
            <wp:cNvGraphicFramePr>
              <a:graphicFrameLocks/>
            </wp:cNvGraphicFramePr>
            <a:graphic>
              <a:graphicData uri="http://schemas.openxmlformats.org/drawingml/2006/picture">
                <pic:pic>
                  <pic:nvPicPr>
                    <pic:cNvPr id="247" name="Image 24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41" w:id="1343"/>
      <w:bookmarkEnd w:id="1343"/>
      <w:r>
        <w:rPr/>
      </w:r>
      <w:hyperlink w:history="true" w:anchor="_bookmark1286">
        <w:r>
          <w:rPr>
            <w:color w:val="005DA1"/>
            <w:spacing w:val="-4"/>
            <w:position w:val="5"/>
            <w:sz w:val="14"/>
            <w:u w:val="single" w:color="005DA1"/>
          </w:rPr>
          <w:t>705</w:t>
        </w:r>
      </w:hyperlink>
      <w:r>
        <w:rPr>
          <w:spacing w:val="-4"/>
          <w:position w:val="5"/>
          <w:sz w:val="14"/>
        </w:rPr>
        <w:t>.</w:t>
      </w:r>
      <w:r>
        <w:rPr>
          <w:position w:val="5"/>
          <w:sz w:val="14"/>
        </w:rPr>
        <w:tab/>
      </w:r>
      <w:r>
        <w:rPr>
          <w:rFonts w:ascii="Arial"/>
          <w:i/>
          <w:sz w:val="20"/>
        </w:rPr>
        <w:t>[1964]</w:t>
      </w:r>
      <w:r>
        <w:rPr>
          <w:rFonts w:ascii="Arial"/>
          <w:i/>
          <w:spacing w:val="-1"/>
          <w:sz w:val="20"/>
        </w:rPr>
        <w:t> </w:t>
      </w:r>
      <w:r>
        <w:rPr>
          <w:rFonts w:ascii="Arial"/>
          <w:i/>
          <w:sz w:val="20"/>
        </w:rPr>
        <w:t>A.C. 465</w:t>
      </w:r>
      <w:r>
        <w:rPr>
          <w:sz w:val="20"/>
        </w:rPr>
        <w:t>; above, para.7-</w:t>
      </w:r>
      <w:r>
        <w:rPr>
          <w:spacing w:val="-4"/>
          <w:sz w:val="20"/>
        </w:rPr>
        <w:t>089.</w:t>
      </w:r>
    </w:p>
    <w:p>
      <w:pPr>
        <w:pStyle w:val="BodyText"/>
        <w:spacing w:before="5"/>
      </w:pPr>
    </w:p>
    <w:p>
      <w:pPr>
        <w:tabs>
          <w:tab w:pos="705" w:val="left" w:leader="none"/>
        </w:tabs>
        <w:spacing w:before="1"/>
        <w:ind w:left="165" w:right="0" w:firstLine="0"/>
        <w:jc w:val="left"/>
        <w:rPr>
          <w:sz w:val="20"/>
        </w:rPr>
      </w:pPr>
      <w:bookmarkStart w:name="_bookmark1342" w:id="1344"/>
      <w:bookmarkEnd w:id="1344"/>
      <w:r>
        <w:rPr/>
      </w:r>
      <w:hyperlink w:history="true" w:anchor="_bookmark1287">
        <w:r>
          <w:rPr>
            <w:color w:val="005DA1"/>
            <w:spacing w:val="-4"/>
            <w:position w:val="5"/>
            <w:sz w:val="14"/>
            <w:u w:val="single" w:color="005DA1"/>
          </w:rPr>
          <w:t>706</w:t>
        </w:r>
      </w:hyperlink>
      <w:r>
        <w:rPr>
          <w:spacing w:val="-4"/>
          <w:position w:val="5"/>
          <w:sz w:val="14"/>
        </w:rPr>
        <w:t>.</w:t>
      </w:r>
      <w:r>
        <w:rPr>
          <w:position w:val="5"/>
          <w:sz w:val="14"/>
        </w:rPr>
        <w:tab/>
      </w:r>
      <w:r>
        <w:rPr>
          <w:rFonts w:ascii="Arial"/>
          <w:i/>
          <w:sz w:val="20"/>
        </w:rPr>
        <w:t>Smith</w:t>
      </w:r>
      <w:r>
        <w:rPr>
          <w:rFonts w:ascii="Arial"/>
          <w:i/>
          <w:spacing w:val="-1"/>
          <w:sz w:val="20"/>
        </w:rPr>
        <w:t> </w:t>
      </w:r>
      <w:r>
        <w:rPr>
          <w:rFonts w:ascii="Arial"/>
          <w:i/>
          <w:sz w:val="20"/>
        </w:rPr>
        <w:t>v Eric S. Bush [1990] 1 A.C. 831</w:t>
      </w:r>
      <w:r>
        <w:rPr>
          <w:sz w:val="20"/>
        </w:rPr>
        <w:t>; see above, para.7-091 and below, para.15-</w:t>
      </w:r>
      <w:r>
        <w:rPr>
          <w:spacing w:val="-4"/>
          <w:sz w:val="20"/>
        </w:rPr>
        <w:t>104.</w:t>
      </w:r>
    </w:p>
    <w:p>
      <w:pPr>
        <w:pStyle w:val="BodyText"/>
        <w:spacing w:before="8"/>
      </w:pPr>
    </w:p>
    <w:p>
      <w:pPr>
        <w:pStyle w:val="BodyText"/>
        <w:spacing w:line="235" w:lineRule="auto"/>
        <w:ind w:left="705" w:right="167" w:hanging="541"/>
        <w:jc w:val="both"/>
      </w:pPr>
      <w:bookmarkStart w:name="_bookmark1343" w:id="1345"/>
      <w:bookmarkEnd w:id="1345"/>
      <w:r>
        <w:rPr/>
      </w:r>
      <w:hyperlink w:history="true" w:anchor="_bookmark1288">
        <w:r>
          <w:rPr>
            <w:color w:val="005DA1"/>
            <w:position w:val="5"/>
            <w:sz w:val="14"/>
            <w:u w:val="single" w:color="005DA1"/>
          </w:rPr>
          <w:t>707</w:t>
        </w:r>
      </w:hyperlink>
      <w:r>
        <w:rPr>
          <w:position w:val="5"/>
          <w:sz w:val="14"/>
        </w:rPr>
        <w:t>.</w:t>
      </w:r>
      <w:r>
        <w:rPr>
          <w:spacing w:val="80"/>
          <w:position w:val="5"/>
          <w:sz w:val="14"/>
        </w:rPr>
        <w:t>  </w:t>
      </w:r>
      <w:r>
        <w:rPr/>
        <w:t>SI 1999/2083; see below, Vol.II, para.38-201. Note that under the Consumer Rights Act 2015, the Unfair Terms in Consumer Contracts Regulations 1999 are replaced by the provisions of Pt 2 of the Bill. See below, Vol.II, paras 38-201 et seq.</w:t>
      </w:r>
    </w:p>
    <w:p>
      <w:pPr>
        <w:pStyle w:val="BodyText"/>
        <w:spacing w:before="5"/>
      </w:pPr>
    </w:p>
    <w:p>
      <w:pPr>
        <w:pStyle w:val="BodyText"/>
        <w:tabs>
          <w:tab w:pos="705" w:val="left" w:leader="none"/>
        </w:tabs>
        <w:ind w:left="165"/>
      </w:pPr>
      <w:bookmarkStart w:name="_bookmark1344" w:id="1346"/>
      <w:bookmarkEnd w:id="1346"/>
      <w:r>
        <w:rPr/>
      </w:r>
      <w:hyperlink w:history="true" w:anchor="_bookmark1289">
        <w:r>
          <w:rPr>
            <w:color w:val="005DA1"/>
            <w:spacing w:val="-4"/>
            <w:position w:val="5"/>
            <w:sz w:val="14"/>
            <w:u w:val="single" w:color="005DA1"/>
          </w:rPr>
          <w:t>708</w:t>
        </w:r>
      </w:hyperlink>
      <w:r>
        <w:rPr>
          <w:spacing w:val="-4"/>
          <w:position w:val="5"/>
          <w:sz w:val="14"/>
        </w:rPr>
        <w:t>.</w:t>
      </w:r>
      <w:r>
        <w:rPr>
          <w:position w:val="5"/>
          <w:sz w:val="14"/>
        </w:rPr>
        <w:tab/>
      </w:r>
      <w:r>
        <w:rPr/>
        <w:t>Regulations 1999 </w:t>
      </w:r>
      <w:r>
        <w:rPr>
          <w:spacing w:val="-2"/>
        </w:rPr>
        <w:t>reg.5(1).</w:t>
      </w:r>
    </w:p>
    <w:p>
      <w:pPr>
        <w:pStyle w:val="BodyText"/>
        <w:spacing w:before="5"/>
      </w:pPr>
    </w:p>
    <w:p>
      <w:pPr>
        <w:pStyle w:val="BodyText"/>
        <w:tabs>
          <w:tab w:pos="705" w:val="left" w:leader="none"/>
        </w:tabs>
        <w:ind w:left="165"/>
      </w:pPr>
      <w:bookmarkStart w:name="_bookmark1345" w:id="1347"/>
      <w:bookmarkEnd w:id="1347"/>
      <w:r>
        <w:rPr/>
      </w:r>
      <w:hyperlink w:history="true" w:anchor="_bookmark1290">
        <w:r>
          <w:rPr>
            <w:color w:val="005DA1"/>
            <w:spacing w:val="-4"/>
            <w:position w:val="5"/>
            <w:sz w:val="14"/>
            <w:u w:val="single" w:color="005DA1"/>
          </w:rPr>
          <w:t>709</w:t>
        </w:r>
      </w:hyperlink>
      <w:r>
        <w:rPr>
          <w:spacing w:val="-4"/>
          <w:position w:val="5"/>
          <w:sz w:val="14"/>
        </w:rPr>
        <w:t>.</w:t>
      </w:r>
      <w:r>
        <w:rPr>
          <w:position w:val="5"/>
          <w:sz w:val="14"/>
        </w:rPr>
        <w:tab/>
      </w:r>
      <w:r>
        <w:rPr/>
        <w:t>See</w:t>
      </w:r>
      <w:r>
        <w:rPr>
          <w:spacing w:val="-2"/>
        </w:rPr>
        <w:t> </w:t>
      </w:r>
      <w:r>
        <w:rPr/>
        <w:t>above, para.7-</w:t>
      </w:r>
      <w:r>
        <w:rPr>
          <w:spacing w:val="-4"/>
        </w:rPr>
        <w:t>150.</w:t>
      </w:r>
    </w:p>
    <w:p>
      <w:pPr>
        <w:pStyle w:val="BodyText"/>
        <w:rPr>
          <w:sz w:val="14"/>
        </w:rPr>
      </w:pPr>
    </w:p>
    <w:p>
      <w:pPr>
        <w:pStyle w:val="BodyText"/>
        <w:spacing w:before="101"/>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539" w:right="2543"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3922432">
                <wp:simplePos x="0" y="0"/>
                <wp:positionH relativeFrom="page">
                  <wp:posOffset>4851958</wp:posOffset>
                </wp:positionH>
                <wp:positionV relativeFrom="paragraph">
                  <wp:posOffset>377436</wp:posOffset>
                </wp:positionV>
                <wp:extent cx="42545"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394048" from="382.044006pt,29.719406pt" to="385.380006pt,29.719406pt" stroked="true" strokeweight=".428pt" strokecolor="#005da1">
                <v:stroke dashstyle="solid"/>
                <w10:wrap type="none"/>
              </v:line>
            </w:pict>
          </mc:Fallback>
        </mc:AlternateContent>
      </w:r>
      <w:r>
        <w:rPr>
          <w:rFonts w:ascii="Arial"/>
          <w:b/>
          <w:sz w:val="24"/>
        </w:rPr>
        <w:t>Part 2 - Formation of Contract Chapter 7 - Misrepresentation</w:t>
      </w:r>
      <w:r>
        <w:rPr>
          <w:rFonts w:ascii="Arial"/>
          <w:b/>
          <w:spacing w:val="-1"/>
          <w:sz w:val="24"/>
        </w:rPr>
        <w:t> </w:t>
      </w:r>
      <w:r>
        <w:rPr>
          <w:rFonts w:ascii="Arial"/>
          <w:b/>
          <w:color w:val="005DA1"/>
          <w:spacing w:val="-10"/>
          <w:position w:val="11"/>
          <w:sz w:val="12"/>
        </w:rPr>
        <w:t>1</w:t>
      </w:r>
    </w:p>
    <w:p>
      <w:pPr>
        <w:spacing w:before="2"/>
        <w:ind w:left="940" w:right="943" w:firstLine="0"/>
        <w:jc w:val="center"/>
        <w:rPr>
          <w:rFonts w:ascii="Arial"/>
          <w:b/>
          <w:sz w:val="24"/>
        </w:rPr>
      </w:pPr>
      <w:r>
        <w:rPr>
          <w:rFonts w:ascii="Arial"/>
          <w:b/>
          <w:sz w:val="24"/>
        </w:rPr>
        <w:t>Section 6. - Contracts where a duty of </w:t>
      </w:r>
      <w:r>
        <w:rPr>
          <w:rFonts w:ascii="Arial"/>
          <w:b/>
          <w:spacing w:val="-2"/>
          <w:sz w:val="24"/>
        </w:rPr>
        <w:t>disclosure</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Non-</w:t>
      </w:r>
      <w:r>
        <w:rPr>
          <w:rFonts w:ascii="Arial"/>
          <w:b/>
          <w:spacing w:val="-2"/>
          <w:sz w:val="18"/>
        </w:rPr>
        <w:t>disclosure</w:t>
      </w:r>
    </w:p>
    <w:p>
      <w:pPr>
        <w:pStyle w:val="BodyText"/>
        <w:spacing w:before="41"/>
        <w:rPr>
          <w:rFonts w:ascii="Arial"/>
          <w:b/>
          <w:sz w:val="18"/>
        </w:rPr>
      </w:pPr>
    </w:p>
    <w:p>
      <w:pPr>
        <w:pStyle w:val="Heading2"/>
        <w:ind w:left="164"/>
      </w:pPr>
      <w:r>
        <w:rPr/>
        <w:t>7-</w:t>
      </w:r>
      <w:r>
        <w:rPr>
          <w:spacing w:val="-5"/>
        </w:rPr>
        <w:t>155</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250" name="Image 250"/>
            <wp:cNvGraphicFramePr>
              <a:graphicFrameLocks/>
            </wp:cNvGraphicFramePr>
            <a:graphic>
              <a:graphicData uri="http://schemas.openxmlformats.org/drawingml/2006/picture">
                <pic:pic>
                  <pic:nvPicPr>
                    <pic:cNvPr id="250" name="Image 25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346" w:id="1348"/>
      <w:bookmarkEnd w:id="1348"/>
      <w:r>
        <w:rPr>
          <w:rFonts w:ascii="Times New Roman"/>
          <w:spacing w:val="20"/>
        </w:rPr>
      </w:r>
      <w:r>
        <w:rPr/>
        <w:t>Mere non-disclosure of fact, material or not, does not ordinarily amount to misrepresentation, and </w:t>
      </w:r>
      <w:bookmarkStart w:name="_bookmark1347" w:id="1349"/>
      <w:bookmarkEnd w:id="1349"/>
      <w:r>
        <w:rPr/>
        <w:t>the</w:t>
      </w:r>
      <w:r>
        <w:rPr/>
        <w:t> general rule is that in order to be actionable a representation must take an active form. </w:t>
      </w:r>
      <w:r>
        <w:rPr>
          <w:color w:val="005DA1"/>
          <w:u w:val="single" w:color="005DA1"/>
          <w:vertAlign w:val="superscript"/>
        </w:rPr>
        <w:t>710</w:t>
      </w:r>
      <w:r>
        <w:rPr>
          <w:color w:val="005DA1"/>
          <w:vertAlign w:val="baseline"/>
        </w:rPr>
        <w:t> </w:t>
      </w:r>
      <w:r>
        <w:rPr>
          <w:vertAlign w:val="baseline"/>
        </w:rPr>
        <w:t>But in certain cases a stricter rule is enforced. The most important of these are the contracts uberrimae </w:t>
      </w:r>
      <w:r>
        <w:rPr>
          <w:vertAlign w:val="baseline"/>
        </w:rPr>
        <w:t>fidei </w:t>
      </w:r>
      <w:r>
        <w:rPr>
          <w:color w:val="005DA1"/>
          <w:u w:val="single" w:color="005DA1"/>
          <w:vertAlign w:val="superscript"/>
        </w:rPr>
        <w:t>711</w:t>
      </w:r>
      <w:r>
        <w:rPr>
          <w:color w:val="005DA1"/>
          <w:vertAlign w:val="baseline"/>
        </w:rPr>
        <w:t> </w:t>
      </w:r>
      <w:r>
        <w:rPr>
          <w:vertAlign w:val="baseline"/>
        </w:rPr>
        <w:t>in which knowledge of the material facts generally lies with one party alone; that party is under a duty to make a full disclosure of these facts, and failure to do so makes the contract voidable. However, it is doubtful whether any contract other than one for insurance is correctly described </w:t>
      </w:r>
      <w:bookmarkStart w:name="_bookmark1348" w:id="1350"/>
      <w:bookmarkEnd w:id="1350"/>
      <w:r>
        <w:rPr>
          <w:vertAlign w:val="baseline"/>
        </w:rPr>
        <w:t>uberrimae</w:t>
      </w:r>
      <w:r>
        <w:rPr>
          <w:vertAlign w:val="baseline"/>
        </w:rPr>
        <w:t> fidei, as the extent of the duty to disclose and the remedies available seem to vary from type of contract to type of contract; and when the Insurance Act 2015 comes into force </w:t>
      </w:r>
      <w:r>
        <w:rPr>
          <w:color w:val="005DA1"/>
          <w:u w:val="single" w:color="005DA1"/>
          <w:vertAlign w:val="superscript"/>
        </w:rPr>
        <w:t>712</w:t>
      </w:r>
      <w:r>
        <w:rPr>
          <w:color w:val="005DA1"/>
          <w:vertAlign w:val="baseline"/>
        </w:rPr>
        <w:t> </w:t>
      </w:r>
      <w:r>
        <w:rPr>
          <w:vertAlign w:val="baseline"/>
        </w:rPr>
        <w:t>it seems </w:t>
      </w:r>
      <w:bookmarkStart w:name="_bookmark1349" w:id="1351"/>
      <w:bookmarkEnd w:id="1351"/>
      <w:r>
        <w:rPr>
          <w:vertAlign w:val="baseline"/>
        </w:rPr>
        <w:t>that</w:t>
      </w:r>
      <w:r>
        <w:rPr>
          <w:vertAlign w:val="baseline"/>
        </w:rPr>
        <w:t> it will no longer be accurate to describe even contracts of insurance as uberrimae fidei, as any </w:t>
      </w:r>
      <w:bookmarkStart w:name="_bookmark1350" w:id="1352"/>
      <w:bookmarkEnd w:id="1352"/>
      <w:r>
        <w:rPr>
          <w:vertAlign w:val="baseline"/>
        </w:rPr>
        <w:t>duty</w:t>
      </w:r>
      <w:r>
        <w:rPr>
          <w:vertAlign w:val="baseline"/>
        </w:rPr>
        <w:t> to disclose will be statutory </w:t>
      </w:r>
      <w:r>
        <w:rPr>
          <w:color w:val="005DA1"/>
          <w:u w:val="single" w:color="005DA1"/>
          <w:vertAlign w:val="superscript"/>
        </w:rPr>
        <w:t>713</w:t>
      </w:r>
      <w:r>
        <w:rPr>
          <w:color w:val="005DA1"/>
          <w:vertAlign w:val="baseline"/>
        </w:rPr>
        <w:t> </w:t>
      </w:r>
      <w:r>
        <w:rPr>
          <w:vertAlign w:val="baseline"/>
        </w:rPr>
        <w:t>and any rule of law permitting a party to a contract to avoid it on the ground that utmost good faith has not been observed by the other party will be abolished. </w:t>
      </w:r>
      <w:r>
        <w:rPr>
          <w:color w:val="005DA1"/>
          <w:u w:val="single" w:color="005DA1"/>
          <w:vertAlign w:val="superscript"/>
        </w:rPr>
        <w:t>714</w:t>
      </w:r>
      <w:r>
        <w:rPr>
          <w:color w:val="005DA1"/>
          <w:vertAlign w:val="baseline"/>
        </w:rPr>
        <w:t> </w:t>
      </w:r>
      <w:bookmarkStart w:name="_bookmark1351" w:id="1353"/>
      <w:bookmarkEnd w:id="1353"/>
      <w:r>
        <w:rPr>
          <w:color w:val="005DA1"/>
          <w:w w:val="92"/>
          <w:vertAlign w:val="baseline"/>
        </w:rPr>
      </w:r>
      <w:r>
        <w:rPr>
          <w:vertAlign w:val="baseline"/>
        </w:rPr>
        <w:t>Therefore</w:t>
      </w:r>
      <w:r>
        <w:rPr>
          <w:spacing w:val="5"/>
          <w:vertAlign w:val="baseline"/>
        </w:rPr>
        <w:t> </w:t>
      </w:r>
      <w:r>
        <w:rPr>
          <w:vertAlign w:val="baseline"/>
        </w:rPr>
        <w:t>it</w:t>
      </w:r>
      <w:r>
        <w:rPr>
          <w:spacing w:val="5"/>
          <w:vertAlign w:val="baseline"/>
        </w:rPr>
        <w:t> </w:t>
      </w:r>
      <w:r>
        <w:rPr>
          <w:vertAlign w:val="baseline"/>
        </w:rPr>
        <w:t>is</w:t>
      </w:r>
      <w:r>
        <w:rPr>
          <w:spacing w:val="5"/>
          <w:vertAlign w:val="baseline"/>
        </w:rPr>
        <w:t> </w:t>
      </w:r>
      <w:r>
        <w:rPr>
          <w:vertAlign w:val="baseline"/>
        </w:rPr>
        <w:t>more</w:t>
      </w:r>
      <w:r>
        <w:rPr>
          <w:spacing w:val="5"/>
          <w:vertAlign w:val="baseline"/>
        </w:rPr>
        <w:t> </w:t>
      </w:r>
      <w:r>
        <w:rPr>
          <w:vertAlign w:val="baseline"/>
        </w:rPr>
        <w:t>helpful</w:t>
      </w:r>
      <w:r>
        <w:rPr>
          <w:spacing w:val="5"/>
          <w:vertAlign w:val="baseline"/>
        </w:rPr>
        <w:t> </w:t>
      </w:r>
      <w:r>
        <w:rPr>
          <w:vertAlign w:val="baseline"/>
        </w:rPr>
        <w:t>to</w:t>
      </w:r>
      <w:r>
        <w:rPr>
          <w:spacing w:val="5"/>
          <w:vertAlign w:val="baseline"/>
        </w:rPr>
        <w:t> </w:t>
      </w:r>
      <w:r>
        <w:rPr>
          <w:vertAlign w:val="baseline"/>
        </w:rPr>
        <w:t>consider</w:t>
      </w:r>
      <w:r>
        <w:rPr>
          <w:spacing w:val="5"/>
          <w:vertAlign w:val="baseline"/>
        </w:rPr>
        <w:t> </w:t>
      </w:r>
      <w:r>
        <w:rPr>
          <w:vertAlign w:val="baseline"/>
        </w:rPr>
        <w:t>the</w:t>
      </w:r>
      <w:r>
        <w:rPr>
          <w:spacing w:val="5"/>
          <w:vertAlign w:val="baseline"/>
        </w:rPr>
        <w:t> </w:t>
      </w:r>
      <w:r>
        <w:rPr>
          <w:vertAlign w:val="baseline"/>
        </w:rPr>
        <w:t>extent</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duty</w:t>
      </w:r>
      <w:r>
        <w:rPr>
          <w:spacing w:val="5"/>
          <w:vertAlign w:val="baseline"/>
        </w:rPr>
        <w:t> </w:t>
      </w:r>
      <w:r>
        <w:rPr>
          <w:vertAlign w:val="baseline"/>
        </w:rPr>
        <w:t>and</w:t>
      </w:r>
      <w:r>
        <w:rPr>
          <w:spacing w:val="5"/>
          <w:vertAlign w:val="baseline"/>
        </w:rPr>
        <w:t> </w:t>
      </w:r>
      <w:r>
        <w:rPr>
          <w:vertAlign w:val="baseline"/>
        </w:rPr>
        <w:t>the</w:t>
      </w:r>
      <w:r>
        <w:rPr>
          <w:spacing w:val="5"/>
          <w:vertAlign w:val="baseline"/>
        </w:rPr>
        <w:t> </w:t>
      </w:r>
      <w:r>
        <w:rPr>
          <w:vertAlign w:val="baseline"/>
        </w:rPr>
        <w:t>remedies</w:t>
      </w:r>
      <w:r>
        <w:rPr>
          <w:spacing w:val="5"/>
          <w:vertAlign w:val="baseline"/>
        </w:rPr>
        <w:t> </w:t>
      </w:r>
      <w:r>
        <w:rPr>
          <w:vertAlign w:val="baseline"/>
        </w:rPr>
        <w:t>available</w:t>
      </w:r>
      <w:r>
        <w:rPr>
          <w:spacing w:val="5"/>
          <w:vertAlign w:val="baseline"/>
        </w:rPr>
        <w:t> </w:t>
      </w:r>
      <w:r>
        <w:rPr>
          <w:vertAlign w:val="baseline"/>
        </w:rPr>
        <w:t>in</w:t>
      </w:r>
      <w:r>
        <w:rPr>
          <w:spacing w:val="5"/>
          <w:vertAlign w:val="baseline"/>
        </w:rPr>
        <w:t> </w:t>
      </w:r>
      <w:r>
        <w:rPr>
          <w:vertAlign w:val="baseline"/>
        </w:rPr>
        <w:t>each</w:t>
      </w:r>
      <w:r>
        <w:rPr>
          <w:spacing w:val="5"/>
          <w:vertAlign w:val="baseline"/>
        </w:rPr>
        <w:t> </w:t>
      </w:r>
      <w:r>
        <w:rPr>
          <w:spacing w:val="-4"/>
          <w:vertAlign w:val="baseline"/>
        </w:rPr>
        <w:t>type</w:t>
      </w:r>
    </w:p>
    <w:p>
      <w:pPr>
        <w:pStyle w:val="BodyText"/>
        <w:spacing w:line="235" w:lineRule="auto" w:before="115"/>
        <w:ind w:left="164" w:right="168"/>
        <w:jc w:val="both"/>
      </w:pPr>
      <w:bookmarkStart w:name="_bookmark1352" w:id="1354"/>
      <w:bookmarkEnd w:id="1354"/>
      <w:r>
        <w:rPr/>
      </w:r>
      <w:r>
        <w:rPr/>
        <w:t>of case in which it has been held that there is a some duty of disclosure. </w:t>
      </w:r>
      <w:r>
        <w:rPr>
          <w:color w:val="005DA1"/>
          <w:u w:val="single" w:color="005DA1"/>
          <w:vertAlign w:val="superscript"/>
        </w:rPr>
        <w:t>715</w:t>
      </w:r>
      <w:r>
        <w:rPr>
          <w:color w:val="005DA1"/>
          <w:spacing w:val="80"/>
          <w:w w:val="150"/>
          <w:vertAlign w:val="baseline"/>
        </w:rPr>
        <w:t> </w:t>
      </w:r>
      <w:r>
        <w:rPr>
          <w:color w:val="005DA1"/>
          <w:spacing w:val="-4"/>
          <w:position w:val="-2"/>
          <w:vertAlign w:val="baseline"/>
        </w:rPr>
        <w:drawing>
          <wp:inline distT="0" distB="0" distL="0" distR="0">
            <wp:extent cx="107988" cy="107988"/>
            <wp:effectExtent l="0" t="0" r="0" b="0"/>
            <wp:docPr id="251" name="Image 251"/>
            <wp:cNvGraphicFramePr>
              <a:graphicFrameLocks/>
            </wp:cNvGraphicFramePr>
            <a:graphic>
              <a:graphicData uri="http://schemas.openxmlformats.org/drawingml/2006/picture">
                <pic:pic>
                  <pic:nvPicPr>
                    <pic:cNvPr id="251" name="Image 25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color w:val="005DA1"/>
          <w:vertAlign w:val="baseline"/>
        </w:rPr>
        <w:t> </w:t>
      </w:r>
      <w:r>
        <w:rPr>
          <w:vertAlign w:val="baseline"/>
        </w:rPr>
        <w:t>These </w:t>
      </w:r>
      <w:r>
        <w:rPr>
          <w:vertAlign w:val="baseline"/>
        </w:rPr>
        <w:t>include </w:t>
      </w:r>
      <w:bookmarkStart w:name="_bookmark1353" w:id="1355"/>
      <w:bookmarkEnd w:id="1355"/>
      <w:r>
        <w:rPr>
          <w:vertAlign w:val="baseline"/>
        </w:rPr>
        <w:t>contracts</w:t>
      </w:r>
      <w:r>
        <w:rPr>
          <w:vertAlign w:val="baseline"/>
        </w:rPr>
        <w:t> to subscribe for shares in a company, </w:t>
      </w:r>
      <w:r>
        <w:rPr>
          <w:color w:val="005DA1"/>
          <w:u w:val="single" w:color="005DA1"/>
          <w:vertAlign w:val="superscript"/>
        </w:rPr>
        <w:t>716</w:t>
      </w:r>
      <w:r>
        <w:rPr>
          <w:color w:val="005DA1"/>
          <w:vertAlign w:val="baseline"/>
        </w:rPr>
        <w:t> </w:t>
      </w:r>
      <w:r>
        <w:rPr>
          <w:vertAlign w:val="baseline"/>
        </w:rPr>
        <w:t>family settlements, </w:t>
      </w:r>
      <w:r>
        <w:rPr>
          <w:color w:val="005DA1"/>
          <w:u w:val="single" w:color="005DA1"/>
          <w:vertAlign w:val="superscript"/>
        </w:rPr>
        <w:t>717</w:t>
      </w:r>
      <w:r>
        <w:rPr>
          <w:color w:val="005DA1"/>
          <w:vertAlign w:val="baseline"/>
        </w:rPr>
        <w:t> </w:t>
      </w:r>
      <w:r>
        <w:rPr>
          <w:vertAlign w:val="baseline"/>
        </w:rPr>
        <w:t>contracts for the sale of </w:t>
      </w:r>
      <w:bookmarkStart w:name="_bookmark1354" w:id="1356"/>
      <w:bookmarkEnd w:id="1356"/>
      <w:r>
        <w:rPr>
          <w:vertAlign w:val="baseline"/>
        </w:rPr>
        <w:t>land,</w:t>
      </w:r>
      <w:r>
        <w:rPr>
          <w:spacing w:val="-5"/>
          <w:vertAlign w:val="baseline"/>
        </w:rPr>
        <w:t> </w:t>
      </w:r>
      <w:r>
        <w:rPr>
          <w:color w:val="005DA1"/>
          <w:u w:val="single" w:color="005DA1"/>
          <w:vertAlign w:val="superscript"/>
        </w:rPr>
        <w:t>718</w:t>
      </w:r>
      <w:r>
        <w:rPr>
          <w:color w:val="005DA1"/>
          <w:spacing w:val="-5"/>
          <w:vertAlign w:val="baseline"/>
        </w:rPr>
        <w:t> </w:t>
      </w:r>
      <w:r>
        <w:rPr>
          <w:vertAlign w:val="baseline"/>
        </w:rPr>
        <w:t>contracts</w:t>
      </w:r>
      <w:r>
        <w:rPr>
          <w:spacing w:val="-5"/>
          <w:vertAlign w:val="baseline"/>
        </w:rPr>
        <w:t> </w:t>
      </w:r>
      <w:r>
        <w:rPr>
          <w:vertAlign w:val="baseline"/>
        </w:rPr>
        <w:t>for</w:t>
      </w:r>
      <w:r>
        <w:rPr>
          <w:spacing w:val="-5"/>
          <w:vertAlign w:val="baseline"/>
        </w:rPr>
        <w:t> </w:t>
      </w:r>
      <w:r>
        <w:rPr>
          <w:vertAlign w:val="baseline"/>
        </w:rPr>
        <w:t>suretyship</w:t>
      </w:r>
      <w:r>
        <w:rPr>
          <w:spacing w:val="-5"/>
          <w:vertAlign w:val="baseline"/>
        </w:rPr>
        <w:t> </w:t>
      </w:r>
      <w:r>
        <w:rPr>
          <w:color w:val="005DA1"/>
          <w:u w:val="single" w:color="005DA1"/>
          <w:vertAlign w:val="superscript"/>
        </w:rPr>
        <w:t>719</w:t>
      </w:r>
      <w:r>
        <w:rPr>
          <w:color w:val="005DA1"/>
          <w:spacing w:val="-5"/>
          <w:vertAlign w:val="baseline"/>
        </w:rPr>
        <w:t> </w:t>
      </w:r>
      <w:r>
        <w:rPr>
          <w:vertAlign w:val="baseline"/>
        </w:rPr>
        <w:t>and</w:t>
      </w:r>
      <w:r>
        <w:rPr>
          <w:spacing w:val="-5"/>
          <w:vertAlign w:val="baseline"/>
        </w:rPr>
        <w:t> </w:t>
      </w:r>
      <w:r>
        <w:rPr>
          <w:vertAlign w:val="baseline"/>
        </w:rPr>
        <w:t>partnerships.</w:t>
      </w:r>
      <w:r>
        <w:rPr>
          <w:spacing w:val="-5"/>
          <w:vertAlign w:val="baseline"/>
        </w:rPr>
        <w:t> </w:t>
      </w:r>
      <w:r>
        <w:rPr>
          <w:color w:val="005DA1"/>
          <w:u w:val="single" w:color="005DA1"/>
          <w:vertAlign w:val="superscript"/>
        </w:rPr>
        <w:t>720</w:t>
      </w:r>
      <w:r>
        <w:rPr>
          <w:color w:val="005DA1"/>
          <w:spacing w:val="-5"/>
          <w:vertAlign w:val="baseline"/>
        </w:rPr>
        <w:t> </w:t>
      </w:r>
      <w:r>
        <w:rPr>
          <w:vertAlign w:val="baseline"/>
        </w:rPr>
        <w:t>To</w:t>
      </w:r>
      <w:r>
        <w:rPr>
          <w:spacing w:val="-5"/>
          <w:vertAlign w:val="baseline"/>
        </w:rPr>
        <w:t> </w:t>
      </w:r>
      <w:r>
        <w:rPr>
          <w:vertAlign w:val="baseline"/>
        </w:rPr>
        <w:t>this</w:t>
      </w:r>
      <w:r>
        <w:rPr>
          <w:spacing w:val="-5"/>
          <w:vertAlign w:val="baseline"/>
        </w:rPr>
        <w:t> </w:t>
      </w:r>
      <w:r>
        <w:rPr>
          <w:vertAlign w:val="baseline"/>
        </w:rPr>
        <w:t>list</w:t>
      </w:r>
      <w:r>
        <w:rPr>
          <w:spacing w:val="-5"/>
          <w:vertAlign w:val="baseline"/>
        </w:rPr>
        <w:t> </w:t>
      </w:r>
      <w:r>
        <w:rPr>
          <w:vertAlign w:val="baseline"/>
        </w:rPr>
        <w:t>may</w:t>
      </w:r>
      <w:r>
        <w:rPr>
          <w:spacing w:val="-5"/>
          <w:vertAlign w:val="baseline"/>
        </w:rPr>
        <w:t> </w:t>
      </w:r>
      <w:r>
        <w:rPr>
          <w:vertAlign w:val="baseline"/>
        </w:rPr>
        <w:t>be</w:t>
      </w:r>
      <w:r>
        <w:rPr>
          <w:spacing w:val="-5"/>
          <w:vertAlign w:val="baseline"/>
        </w:rPr>
        <w:t> </w:t>
      </w:r>
      <w:r>
        <w:rPr>
          <w:vertAlign w:val="baseline"/>
        </w:rPr>
        <w:t>added</w:t>
      </w:r>
      <w:r>
        <w:rPr>
          <w:spacing w:val="-5"/>
          <w:vertAlign w:val="baseline"/>
        </w:rPr>
        <w:t> </w:t>
      </w:r>
      <w:r>
        <w:rPr>
          <w:vertAlign w:val="baseline"/>
        </w:rPr>
        <w:t>general</w:t>
      </w:r>
      <w:r>
        <w:rPr>
          <w:spacing w:val="-5"/>
          <w:vertAlign w:val="baseline"/>
        </w:rPr>
        <w:t> </w:t>
      </w:r>
      <w:r>
        <w:rPr>
          <w:vertAlign w:val="baseline"/>
        </w:rPr>
        <w:t>releases</w:t>
      </w:r>
      <w:r>
        <w:rPr>
          <w:spacing w:val="-6"/>
          <w:vertAlign w:val="baseline"/>
        </w:rPr>
        <w:t> </w:t>
      </w:r>
      <w:r>
        <w:rPr>
          <w:color w:val="005DA1"/>
          <w:u w:val="single" w:color="005DA1"/>
          <w:vertAlign w:val="superscript"/>
        </w:rPr>
        <w:t>721</w:t>
      </w:r>
      <w:r>
        <w:rPr>
          <w:color w:val="005DA1"/>
          <w:vertAlign w:val="baseline"/>
        </w:rPr>
        <w:t> </w:t>
      </w:r>
      <w:bookmarkStart w:name="_bookmark1355" w:id="1357"/>
      <w:bookmarkEnd w:id="1357"/>
      <w:r>
        <w:rPr>
          <w:color w:val="005DA1"/>
          <w:w w:val="92"/>
          <w:vertAlign w:val="baseline"/>
        </w:rPr>
      </w:r>
      <w:r>
        <w:rPr>
          <w:vertAlign w:val="baseline"/>
        </w:rPr>
        <w:t>and contracts where the parties are in a relationship of trust and confidence. </w:t>
      </w:r>
      <w:r>
        <w:rPr>
          <w:color w:val="005DA1"/>
          <w:u w:val="single" w:color="005DA1"/>
          <w:vertAlign w:val="superscript"/>
        </w:rPr>
        <w:t>722</w:t>
      </w:r>
      <w:r>
        <w:rPr>
          <w:color w:val="005DA1"/>
          <w:vertAlign w:val="baseline"/>
        </w:rPr>
        <w:t> </w:t>
      </w:r>
      <w:r>
        <w:rPr>
          <w:vertAlign w:val="baseline"/>
        </w:rPr>
        <w:t>Contracts of service, </w:t>
      </w:r>
      <w:r>
        <w:rPr>
          <w:color w:val="005DA1"/>
          <w:u w:val="single" w:color="005DA1"/>
          <w:vertAlign w:val="superscript"/>
        </w:rPr>
        <w:t>723</w:t>
      </w:r>
      <w:r>
        <w:rPr>
          <w:color w:val="005DA1"/>
          <w:vertAlign w:val="baseline"/>
        </w:rPr>
        <w:t> </w:t>
      </w:r>
      <w:r>
        <w:rPr>
          <w:vertAlign w:val="baseline"/>
        </w:rPr>
        <w:t>contracts of sale of goods </w:t>
      </w:r>
      <w:r>
        <w:rPr>
          <w:color w:val="005DA1"/>
          <w:u w:val="single" w:color="005DA1"/>
          <w:vertAlign w:val="superscript"/>
        </w:rPr>
        <w:t>724</w:t>
      </w:r>
      <w:r>
        <w:rPr>
          <w:color w:val="005DA1"/>
          <w:vertAlign w:val="baseline"/>
        </w:rPr>
        <w:t> </w:t>
      </w:r>
      <w:r>
        <w:rPr>
          <w:vertAlign w:val="baseline"/>
        </w:rPr>
        <w:t>and interest rate swap agreements </w:t>
      </w:r>
      <w:r>
        <w:rPr>
          <w:color w:val="005DA1"/>
          <w:u w:val="single" w:color="005DA1"/>
          <w:vertAlign w:val="superscript"/>
        </w:rPr>
        <w:t>725</w:t>
      </w:r>
      <w:r>
        <w:rPr>
          <w:color w:val="005DA1"/>
          <w:vertAlign w:val="baseline"/>
        </w:rPr>
        <w:t> </w:t>
      </w:r>
      <w:r>
        <w:rPr>
          <w:vertAlign w:val="baseline"/>
        </w:rPr>
        <w:t>have been held not to be uberrimae fidei, so that there is no duty of disclosure.</w:t>
      </w:r>
    </w:p>
    <w:p>
      <w:pPr>
        <w:pStyle w:val="BodyText"/>
      </w:pPr>
    </w:p>
    <w:p>
      <w:pPr>
        <w:pStyle w:val="BodyText"/>
        <w:spacing w:before="36"/>
      </w:pPr>
    </w:p>
    <w:p>
      <w:pPr>
        <w:spacing w:before="1"/>
        <w:ind w:left="164" w:right="0" w:firstLine="0"/>
        <w:jc w:val="both"/>
        <w:rPr>
          <w:rFonts w:ascii="Arial"/>
          <w:b/>
          <w:sz w:val="18"/>
        </w:rPr>
      </w:pPr>
      <w:r>
        <w:rPr>
          <w:rFonts w:ascii="Arial"/>
          <w:b/>
          <w:sz w:val="18"/>
        </w:rPr>
        <w:t>Rescission but not </w:t>
      </w:r>
      <w:r>
        <w:rPr>
          <w:rFonts w:ascii="Arial"/>
          <w:b/>
          <w:spacing w:val="-2"/>
          <w:sz w:val="18"/>
        </w:rPr>
        <w:t>damages</w:t>
      </w:r>
    </w:p>
    <w:p>
      <w:pPr>
        <w:pStyle w:val="BodyText"/>
        <w:spacing w:before="41"/>
        <w:rPr>
          <w:rFonts w:ascii="Arial"/>
          <w:b/>
          <w:sz w:val="18"/>
        </w:rPr>
      </w:pPr>
    </w:p>
    <w:p>
      <w:pPr>
        <w:pStyle w:val="Heading2"/>
        <w:ind w:left="164"/>
      </w:pPr>
      <w:r>
        <w:rPr/>
        <w:t>7-</w:t>
      </w:r>
      <w:r>
        <w:rPr>
          <w:spacing w:val="-5"/>
        </w:rPr>
        <w:t>156</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252" name="Image 252"/>
            <wp:cNvGraphicFramePr>
              <a:graphicFrameLocks/>
            </wp:cNvGraphicFramePr>
            <a:graphic>
              <a:graphicData uri="http://schemas.openxmlformats.org/drawingml/2006/picture">
                <pic:pic>
                  <pic:nvPicPr>
                    <pic:cNvPr id="252" name="Image 25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A breach of the duty to disclose will give rise to the right to rescind the contract but, it is submitted, </w:t>
      </w:r>
      <w:bookmarkStart w:name="_bookmark1356" w:id="1358"/>
      <w:bookmarkEnd w:id="1358"/>
      <w:r>
        <w:rPr/>
        <w:t>not</w:t>
      </w:r>
      <w:r>
        <w:rPr/>
        <w:t> to a right to damages even if the other party kept quiet “fraudulently” in the sense of </w:t>
      </w:r>
      <w:r>
        <w:rPr/>
        <w:t>intended deliberately to mislead the claimant. </w:t>
      </w:r>
      <w:r>
        <w:rPr>
          <w:color w:val="005DA1"/>
          <w:u w:val="single" w:color="005DA1"/>
          <w:vertAlign w:val="superscript"/>
        </w:rPr>
        <w:t>726</w:t>
      </w:r>
      <w:r>
        <w:rPr>
          <w:color w:val="005DA1"/>
          <w:vertAlign w:val="baseline"/>
        </w:rPr>
        <w:t> </w:t>
      </w:r>
      <w:r>
        <w:rPr>
          <w:vertAlign w:val="baseline"/>
        </w:rPr>
        <w:t>In </w:t>
      </w:r>
      <w:r>
        <w:rPr>
          <w:rFonts w:ascii="Arial" w:hAnsi="Arial"/>
          <w:i/>
          <w:vertAlign w:val="baseline"/>
        </w:rPr>
        <w:t>Conlon v Simms </w:t>
      </w:r>
      <w:r>
        <w:rPr>
          <w:vertAlign w:val="baseline"/>
        </w:rPr>
        <w:t>it was said that:</w:t>
      </w:r>
    </w:p>
    <w:p>
      <w:pPr>
        <w:pStyle w:val="BodyText"/>
      </w:pPr>
    </w:p>
    <w:p>
      <w:pPr>
        <w:pStyle w:val="BodyText"/>
        <w:spacing w:before="126"/>
      </w:pPr>
    </w:p>
    <w:p>
      <w:pPr>
        <w:pStyle w:val="BodyText"/>
        <w:spacing w:line="235" w:lineRule="auto"/>
        <w:ind w:left="1244" w:right="167"/>
        <w:jc w:val="both"/>
      </w:pPr>
      <w:r>
        <w:rPr/>
        <w:t>“… where the breach of the duty of disclosure is fraudulent, a party to whom the duty is owed who suffers loss by reason of the breach may recover damages for that loss in the </w:t>
      </w:r>
      <w:bookmarkStart w:name="_bookmark1357" w:id="1359"/>
      <w:bookmarkEnd w:id="1359"/>
      <w:r>
        <w:rPr/>
        <w:t>tort</w:t>
      </w:r>
      <w:r>
        <w:rPr/>
        <w:t> of deceit … Non-disclosure where there is a duty to disclose is tantamount to </w:t>
      </w:r>
      <w:r>
        <w:rPr/>
        <w:t>an implied representation that there is nothing relevant to disclose.” </w:t>
      </w:r>
      <w:r>
        <w:rPr>
          <w:color w:val="005DA1"/>
          <w:u w:val="single" w:color="005DA1"/>
          <w:vertAlign w:val="superscript"/>
        </w:rPr>
        <w:t>727</w:t>
      </w:r>
    </w:p>
    <w:p>
      <w:pPr>
        <w:pStyle w:val="BodyText"/>
        <w:spacing w:before="115"/>
      </w:pPr>
    </w:p>
    <w:p>
      <w:pPr>
        <w:pStyle w:val="BodyText"/>
        <w:spacing w:line="235" w:lineRule="auto"/>
        <w:ind w:left="164" w:right="167"/>
        <w:jc w:val="both"/>
      </w:pPr>
      <w:r>
        <w:rPr/>
        <w:t>This, with respect, is very doubtful, and cannot be supported on the ground given. It is well</w:t>
      </w:r>
      <w:r>
        <w:rPr>
          <w:spacing w:val="40"/>
        </w:rPr>
        <w:t> </w:t>
      </w:r>
      <w:bookmarkStart w:name="_bookmark1358" w:id="1360"/>
      <w:bookmarkEnd w:id="1360"/>
      <w:r>
        <w:rPr/>
        <w:t>established</w:t>
      </w:r>
      <w:r>
        <w:rPr/>
        <w:t> that breach of the duty of disclosure in insurance does not of itself give rise to an action </w:t>
      </w:r>
      <w:bookmarkStart w:name="_bookmark1359" w:id="1361"/>
      <w:bookmarkEnd w:id="1361"/>
      <w:r>
        <w:rPr/>
        <w:t>for</w:t>
      </w:r>
      <w:r>
        <w:rPr/>
        <w:t> damages. </w:t>
      </w:r>
      <w:r>
        <w:rPr>
          <w:color w:val="005DA1"/>
          <w:u w:val="single" w:color="005DA1"/>
          <w:vertAlign w:val="superscript"/>
        </w:rPr>
        <w:t>728</w:t>
      </w:r>
      <w:r>
        <w:rPr>
          <w:color w:val="005DA1"/>
          <w:vertAlign w:val="baseline"/>
        </w:rPr>
        <w:t> </w:t>
      </w:r>
      <w:r>
        <w:rPr>
          <w:vertAlign w:val="baseline"/>
        </w:rPr>
        <w:t>A negligent failure to speak may give rise to liability in damages but only if there is a “voluntary assumption of responsibility”. </w:t>
      </w:r>
      <w:r>
        <w:rPr>
          <w:color w:val="005DA1"/>
          <w:u w:val="single" w:color="005DA1"/>
          <w:vertAlign w:val="superscript"/>
        </w:rPr>
        <w:t>729</w:t>
      </w:r>
      <w:r>
        <w:rPr>
          <w:color w:val="005DA1"/>
          <w:vertAlign w:val="baseline"/>
        </w:rPr>
        <w:t> </w:t>
      </w:r>
      <w:r>
        <w:rPr>
          <w:vertAlign w:val="baseline"/>
        </w:rPr>
        <w:t>If silence when there is a duty to disclose amounted to an implied</w:t>
      </w:r>
      <w:r>
        <w:rPr>
          <w:spacing w:val="32"/>
          <w:vertAlign w:val="baseline"/>
        </w:rPr>
        <w:t> </w:t>
      </w:r>
      <w:r>
        <w:rPr>
          <w:vertAlign w:val="baseline"/>
        </w:rPr>
        <w:t>representation</w:t>
      </w:r>
      <w:r>
        <w:rPr>
          <w:spacing w:val="34"/>
          <w:vertAlign w:val="baseline"/>
        </w:rPr>
        <w:t> </w:t>
      </w:r>
      <w:r>
        <w:rPr>
          <w:vertAlign w:val="baseline"/>
        </w:rPr>
        <w:t>that</w:t>
      </w:r>
      <w:r>
        <w:rPr>
          <w:spacing w:val="34"/>
          <w:vertAlign w:val="baseline"/>
        </w:rPr>
        <w:t> </w:t>
      </w:r>
      <w:r>
        <w:rPr>
          <w:vertAlign w:val="baseline"/>
        </w:rPr>
        <w:t>there</w:t>
      </w:r>
      <w:r>
        <w:rPr>
          <w:spacing w:val="34"/>
          <w:vertAlign w:val="baseline"/>
        </w:rPr>
        <w:t> </w:t>
      </w:r>
      <w:r>
        <w:rPr>
          <w:vertAlign w:val="baseline"/>
        </w:rPr>
        <w:t>was</w:t>
      </w:r>
      <w:r>
        <w:rPr>
          <w:spacing w:val="34"/>
          <w:vertAlign w:val="baseline"/>
        </w:rPr>
        <w:t> </w:t>
      </w:r>
      <w:r>
        <w:rPr>
          <w:vertAlign w:val="baseline"/>
        </w:rPr>
        <w:t>nothing</w:t>
      </w:r>
      <w:r>
        <w:rPr>
          <w:spacing w:val="34"/>
          <w:vertAlign w:val="baseline"/>
        </w:rPr>
        <w:t> </w:t>
      </w:r>
      <w:r>
        <w:rPr>
          <w:vertAlign w:val="baseline"/>
        </w:rPr>
        <w:t>to</w:t>
      </w:r>
      <w:r>
        <w:rPr>
          <w:spacing w:val="34"/>
          <w:vertAlign w:val="baseline"/>
        </w:rPr>
        <w:t> </w:t>
      </w:r>
      <w:r>
        <w:rPr>
          <w:vertAlign w:val="baseline"/>
        </w:rPr>
        <w:t>disclose,</w:t>
      </w:r>
      <w:r>
        <w:rPr>
          <w:spacing w:val="34"/>
          <w:vertAlign w:val="baseline"/>
        </w:rPr>
        <w:t> </w:t>
      </w:r>
      <w:r>
        <w:rPr>
          <w:vertAlign w:val="baseline"/>
        </w:rPr>
        <w:t>that</w:t>
      </w:r>
      <w:r>
        <w:rPr>
          <w:spacing w:val="34"/>
          <w:vertAlign w:val="baseline"/>
        </w:rPr>
        <w:t> </w:t>
      </w:r>
      <w:r>
        <w:rPr>
          <w:vertAlign w:val="baseline"/>
        </w:rPr>
        <w:t>would</w:t>
      </w:r>
      <w:r>
        <w:rPr>
          <w:spacing w:val="34"/>
          <w:vertAlign w:val="baseline"/>
        </w:rPr>
        <w:t> </w:t>
      </w:r>
      <w:r>
        <w:rPr>
          <w:vertAlign w:val="baseline"/>
        </w:rPr>
        <w:t>make</w:t>
      </w:r>
      <w:r>
        <w:rPr>
          <w:spacing w:val="34"/>
          <w:vertAlign w:val="baseline"/>
        </w:rPr>
        <w:t> </w:t>
      </w:r>
      <w:r>
        <w:rPr>
          <w:vertAlign w:val="baseline"/>
        </w:rPr>
        <w:t>even</w:t>
      </w:r>
      <w:r>
        <w:rPr>
          <w:spacing w:val="34"/>
          <w:vertAlign w:val="baseline"/>
        </w:rPr>
        <w:t> </w:t>
      </w:r>
      <w:r>
        <w:rPr>
          <w:vertAlign w:val="baseline"/>
        </w:rPr>
        <w:t>a</w:t>
      </w:r>
      <w:r>
        <w:rPr>
          <w:spacing w:val="34"/>
          <w:vertAlign w:val="baseline"/>
        </w:rPr>
        <w:t> </w:t>
      </w:r>
      <w:r>
        <w:rPr>
          <w:vertAlign w:val="baseline"/>
        </w:rPr>
        <w:t>non-</w:t>
      </w:r>
      <w:r>
        <w:rPr>
          <w:spacing w:val="-2"/>
          <w:vertAlign w:val="baseline"/>
        </w:rPr>
        <w:t>fraudulent</w:t>
      </w:r>
    </w:p>
    <w:p>
      <w:pPr>
        <w:pStyle w:val="BodyText"/>
        <w:spacing w:after="0" w:line="235" w:lineRule="auto"/>
        <w:jc w:val="both"/>
        <w:sectPr>
          <w:headerReference w:type="default" r:id="rId19"/>
          <w:pgSz w:w="11900" w:h="16840"/>
          <w:pgMar w:header="971" w:footer="0" w:top="1160" w:bottom="280" w:left="1275" w:right="1275"/>
          <w:pgNumType w:start="1"/>
        </w:sectPr>
      </w:pPr>
    </w:p>
    <w:p>
      <w:pPr>
        <w:pStyle w:val="BodyText"/>
        <w:spacing w:before="24"/>
      </w:pPr>
    </w:p>
    <w:p>
      <w:pPr>
        <w:pStyle w:val="BodyText"/>
        <w:spacing w:line="235" w:lineRule="auto" w:before="1"/>
        <w:ind w:left="165" w:right="167"/>
        <w:jc w:val="both"/>
      </w:pPr>
      <w:r>
        <w:rPr/>
        <w:t>non-disclosure into a positive misrepresentation for which damages could be recovered </w:t>
      </w:r>
      <w:r>
        <w:rPr/>
        <w:t>under Misrepresentation Act 1967 s.2(1), unless the non-disclosing party could show that he had</w:t>
      </w:r>
      <w:r>
        <w:rPr>
          <w:spacing w:val="80"/>
        </w:rPr>
        <w:t> </w:t>
      </w:r>
      <w:r>
        <w:rPr/>
        <w:t>reasonable grounds for believing that there was nothing to disclose, whereas it has been held that if </w:t>
      </w:r>
      <w:bookmarkStart w:name="_bookmark1360" w:id="1362"/>
      <w:bookmarkEnd w:id="1362"/>
      <w:r>
        <w:rPr/>
        <w:t>the</w:t>
      </w:r>
      <w:r>
        <w:rPr/>
        <w:t> non-disclosure is negligent, it does not give rise to liability in damages under Misrepresentation Act 1967 s.2(1) or, without more, at common law. </w:t>
      </w:r>
      <w:r>
        <w:rPr>
          <w:color w:val="005DA1"/>
          <w:u w:val="single" w:color="005DA1"/>
          <w:vertAlign w:val="superscript"/>
        </w:rPr>
        <w:t>730</w:t>
      </w:r>
      <w:r>
        <w:rPr>
          <w:color w:val="005DA1"/>
          <w:vertAlign w:val="baseline"/>
        </w:rPr>
        <w:t> </w:t>
      </w:r>
      <w:r>
        <w:rPr>
          <w:vertAlign w:val="baseline"/>
        </w:rPr>
        <w:t>It is almost certain that without a voluntary </w:t>
      </w:r>
      <w:bookmarkStart w:name="_bookmark1361" w:id="1363"/>
      <w:bookmarkEnd w:id="1363"/>
      <w:r>
        <w:rPr>
          <w:vertAlign w:val="baseline"/>
        </w:rPr>
        <w:t>assumption</w:t>
      </w:r>
      <w:r>
        <w:rPr>
          <w:spacing w:val="52"/>
          <w:vertAlign w:val="baseline"/>
        </w:rPr>
        <w:t> </w:t>
      </w:r>
      <w:r>
        <w:rPr>
          <w:vertAlign w:val="baseline"/>
        </w:rPr>
        <w:t>of</w:t>
      </w:r>
      <w:r>
        <w:rPr>
          <w:spacing w:val="52"/>
          <w:vertAlign w:val="baseline"/>
        </w:rPr>
        <w:t> </w:t>
      </w:r>
      <w:r>
        <w:rPr>
          <w:vertAlign w:val="baseline"/>
        </w:rPr>
        <w:t>responsibility</w:t>
      </w:r>
      <w:r>
        <w:rPr>
          <w:spacing w:val="52"/>
          <w:vertAlign w:val="baseline"/>
        </w:rPr>
        <w:t> </w:t>
      </w:r>
      <w:r>
        <w:rPr>
          <w:vertAlign w:val="baseline"/>
        </w:rPr>
        <w:t>there</w:t>
      </w:r>
      <w:r>
        <w:rPr>
          <w:spacing w:val="52"/>
          <w:vertAlign w:val="baseline"/>
        </w:rPr>
        <w:t> </w:t>
      </w:r>
      <w:r>
        <w:rPr>
          <w:vertAlign w:val="baseline"/>
        </w:rPr>
        <w:t>is</w:t>
      </w:r>
      <w:r>
        <w:rPr>
          <w:spacing w:val="52"/>
          <w:vertAlign w:val="baseline"/>
        </w:rPr>
        <w:t> </w:t>
      </w:r>
      <w:r>
        <w:rPr>
          <w:vertAlign w:val="baseline"/>
        </w:rPr>
        <w:t>no</w:t>
      </w:r>
      <w:r>
        <w:rPr>
          <w:spacing w:val="52"/>
          <w:vertAlign w:val="baseline"/>
        </w:rPr>
        <w:t> </w:t>
      </w:r>
      <w:r>
        <w:rPr>
          <w:vertAlign w:val="baseline"/>
        </w:rPr>
        <w:t>liability</w:t>
      </w:r>
      <w:r>
        <w:rPr>
          <w:spacing w:val="52"/>
          <w:vertAlign w:val="baseline"/>
        </w:rPr>
        <w:t> </w:t>
      </w:r>
      <w:r>
        <w:rPr>
          <w:vertAlign w:val="baseline"/>
        </w:rPr>
        <w:t>in</w:t>
      </w:r>
      <w:r>
        <w:rPr>
          <w:spacing w:val="52"/>
          <w:vertAlign w:val="baseline"/>
        </w:rPr>
        <w:t> </w:t>
      </w:r>
      <w:r>
        <w:rPr>
          <w:vertAlign w:val="baseline"/>
        </w:rPr>
        <w:t>damages</w:t>
      </w:r>
      <w:r>
        <w:rPr>
          <w:spacing w:val="52"/>
          <w:vertAlign w:val="baseline"/>
        </w:rPr>
        <w:t> </w:t>
      </w:r>
      <w:r>
        <w:rPr>
          <w:vertAlign w:val="baseline"/>
        </w:rPr>
        <w:t>for</w:t>
      </w:r>
      <w:r>
        <w:rPr>
          <w:spacing w:val="52"/>
          <w:vertAlign w:val="baseline"/>
        </w:rPr>
        <w:t> </w:t>
      </w:r>
      <w:r>
        <w:rPr>
          <w:vertAlign w:val="baseline"/>
        </w:rPr>
        <w:t>merely</w:t>
      </w:r>
      <w:r>
        <w:rPr>
          <w:spacing w:val="52"/>
          <w:vertAlign w:val="baseline"/>
        </w:rPr>
        <w:t> </w:t>
      </w:r>
      <w:r>
        <w:rPr>
          <w:vertAlign w:val="baseline"/>
        </w:rPr>
        <w:t>keeping</w:t>
      </w:r>
      <w:r>
        <w:rPr>
          <w:spacing w:val="52"/>
          <w:vertAlign w:val="baseline"/>
        </w:rPr>
        <w:t> </w:t>
      </w:r>
      <w:r>
        <w:rPr>
          <w:vertAlign w:val="baseline"/>
        </w:rPr>
        <w:t>silent,</w:t>
      </w:r>
      <w:r>
        <w:rPr>
          <w:spacing w:val="52"/>
          <w:vertAlign w:val="baseline"/>
        </w:rPr>
        <w:t> </w:t>
      </w:r>
      <w:r>
        <w:rPr>
          <w:vertAlign w:val="baseline"/>
        </w:rPr>
        <w:t>and</w:t>
      </w:r>
      <w:r>
        <w:rPr>
          <w:spacing w:val="52"/>
          <w:vertAlign w:val="baseline"/>
        </w:rPr>
        <w:t> </w:t>
      </w:r>
      <w:r>
        <w:rPr>
          <w:vertAlign w:val="baseline"/>
        </w:rPr>
        <w:t>it</w:t>
      </w:r>
      <w:r>
        <w:rPr>
          <w:spacing w:val="52"/>
          <w:vertAlign w:val="baseline"/>
        </w:rPr>
        <w:t> </w:t>
      </w:r>
      <w:r>
        <w:rPr>
          <w:spacing w:val="-5"/>
          <w:vertAlign w:val="baseline"/>
        </w:rPr>
        <w:t>is</w:t>
      </w:r>
    </w:p>
    <w:p>
      <w:pPr>
        <w:pStyle w:val="BodyText"/>
        <w:spacing w:before="114"/>
        <w:ind w:left="165"/>
        <w:jc w:val="both"/>
        <w:rPr>
          <w:position w:val="-2"/>
        </w:rPr>
      </w:pPr>
      <w:r>
        <w:rPr/>
        <w:t>submitted that this is so even if there was an intention to deceive. </w:t>
      </w:r>
      <w:r>
        <w:rPr>
          <w:color w:val="005DA1"/>
          <w:u w:val="single" w:color="005DA1"/>
          <w:vertAlign w:val="superscript"/>
        </w:rPr>
        <w:t>731</w:t>
      </w:r>
      <w:r>
        <w:rPr>
          <w:color w:val="005DA1"/>
          <w:spacing w:val="80"/>
          <w:w w:val="150"/>
          <w:vertAlign w:val="baseline"/>
        </w:rPr>
        <w:t> </w:t>
      </w:r>
      <w:r>
        <w:rPr>
          <w:color w:val="005DA1"/>
          <w:position w:val="-2"/>
          <w:vertAlign w:val="baseline"/>
        </w:rPr>
        <w:drawing>
          <wp:inline distT="0" distB="0" distL="0" distR="0">
            <wp:extent cx="107988" cy="107988"/>
            <wp:effectExtent l="0" t="0" r="0" b="0"/>
            <wp:docPr id="253" name="Image 253"/>
            <wp:cNvGraphicFramePr>
              <a:graphicFrameLocks/>
            </wp:cNvGraphicFramePr>
            <a:graphic>
              <a:graphicData uri="http://schemas.openxmlformats.org/drawingml/2006/picture">
                <pic:pic>
                  <pic:nvPicPr>
                    <pic:cNvPr id="253" name="Image 25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pPr>
    </w:p>
    <w:p>
      <w:pPr>
        <w:pStyle w:val="BodyText"/>
        <w:spacing w:before="38"/>
      </w:pPr>
      <w:r>
        <w:rPr/>
        <mc:AlternateContent>
          <mc:Choice Requires="wps">
            <w:drawing>
              <wp:anchor distT="0" distB="0" distL="0" distR="0" allowOverlap="1" layoutInCell="1" locked="0" behindDoc="1" simplePos="0" relativeHeight="487648256">
                <wp:simplePos x="0" y="0"/>
                <wp:positionH relativeFrom="page">
                  <wp:posOffset>914400</wp:posOffset>
                </wp:positionH>
                <wp:positionV relativeFrom="paragraph">
                  <wp:posOffset>185792</wp:posOffset>
                </wp:positionV>
                <wp:extent cx="5724525" cy="1270"/>
                <wp:effectExtent l="0" t="0" r="0" b="0"/>
                <wp:wrapTopAndBottom/>
                <wp:docPr id="254" name="Graphic 254"/>
                <wp:cNvGraphicFramePr>
                  <a:graphicFrameLocks/>
                </wp:cNvGraphicFramePr>
                <a:graphic>
                  <a:graphicData uri="http://schemas.microsoft.com/office/word/2010/wordprocessingShape">
                    <wps:wsp>
                      <wps:cNvPr id="254" name="Graphic 25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29359pt;width:450.75pt;height:.1pt;mso-position-horizontal-relative:page;mso-position-vertical-relative:paragraph;z-index:-15668224;mso-wrap-distance-left:0;mso-wrap-distance-right:0" id="docshape27"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3923456">
                <wp:simplePos x="0" y="0"/>
                <wp:positionH relativeFrom="page">
                  <wp:posOffset>914400</wp:posOffset>
                </wp:positionH>
                <wp:positionV relativeFrom="paragraph">
                  <wp:posOffset>94576</wp:posOffset>
                </wp:positionV>
                <wp:extent cx="49530" cy="127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393024" from="72pt,7.446977pt" to="75.892pt,7.446977pt" stroked="true" strokeweight=".5pt" strokecolor="#005da1">
                <v:stroke dashstyle="solid"/>
                <w10:wrap type="none"/>
              </v:line>
            </w:pict>
          </mc:Fallback>
        </mc:AlternateContent>
      </w:r>
      <w:hyperlink w:history="true" w:anchor="_bookmark1576">
        <w:r>
          <w:rPr>
            <w:color w:val="005DA1"/>
            <w:spacing w:val="-6"/>
            <w:position w:val="5"/>
            <w:sz w:val="14"/>
          </w:rPr>
          <w:t>1</w:t>
        </w:r>
      </w:hyperlink>
      <w:r>
        <w:rPr>
          <w:spacing w:val="-6"/>
          <w:position w:val="5"/>
          <w:sz w:val="14"/>
        </w:rPr>
        <w:t>.</w:t>
      </w:r>
      <w:r>
        <w:rPr>
          <w:position w:val="5"/>
          <w:sz w:val="14"/>
        </w:rPr>
        <w:tab/>
      </w:r>
      <w:r>
        <w:rPr>
          <w:sz w:val="20"/>
        </w:rPr>
        <w:t>See Allen, </w:t>
      </w:r>
      <w:r>
        <w:rPr>
          <w:rFonts w:ascii="Arial"/>
          <w:i/>
          <w:sz w:val="20"/>
        </w:rPr>
        <w:t>Misrepresentation </w:t>
      </w:r>
      <w:r>
        <w:rPr>
          <w:sz w:val="20"/>
        </w:rPr>
        <w:t>(1988); Cartwright, </w:t>
      </w:r>
      <w:r>
        <w:rPr>
          <w:rFonts w:ascii="Arial"/>
          <w:i/>
          <w:sz w:val="20"/>
        </w:rPr>
        <w:t>Unequal Bargaining </w:t>
      </w:r>
      <w:r>
        <w:rPr>
          <w:sz w:val="20"/>
        </w:rPr>
        <w:t>(1991), Ch.3; </w:t>
      </w:r>
      <w:r>
        <w:rPr>
          <w:sz w:val="20"/>
        </w:rPr>
        <w:t>Cartwright, Misrepresentation, Mistake and Non-disclosure, 4th edn (2016); Spencer Bower and Handley, </w:t>
      </w:r>
      <w:r>
        <w:rPr>
          <w:rFonts w:ascii="Arial"/>
          <w:i/>
          <w:sz w:val="20"/>
        </w:rPr>
        <w:t>Actionable Misrepresentation</w:t>
      </w:r>
      <w:r>
        <w:rPr>
          <w:sz w:val="20"/>
        </w:rPr>
        <w:t>, 5th edn (2014).</w:t>
      </w:r>
    </w:p>
    <w:p>
      <w:pPr>
        <w:pStyle w:val="BodyText"/>
        <w:spacing w:before="5"/>
      </w:pPr>
    </w:p>
    <w:p>
      <w:pPr>
        <w:pStyle w:val="BodyText"/>
        <w:tabs>
          <w:tab w:pos="705" w:val="left" w:leader="none"/>
        </w:tabs>
        <w:ind w:left="165"/>
      </w:pPr>
      <w:bookmarkStart w:name="_bookmark1362" w:id="1364"/>
      <w:bookmarkEnd w:id="1364"/>
      <w:r>
        <w:rPr/>
      </w:r>
      <w:hyperlink w:history="true" w:anchor="_bookmark1346">
        <w:r>
          <w:rPr>
            <w:color w:val="005DA1"/>
            <w:spacing w:val="-4"/>
            <w:position w:val="5"/>
            <w:sz w:val="14"/>
            <w:u w:val="single" w:color="005DA1"/>
          </w:rPr>
          <w:t>710</w:t>
        </w:r>
      </w:hyperlink>
      <w:r>
        <w:rPr>
          <w:spacing w:val="-4"/>
          <w:position w:val="5"/>
          <w:sz w:val="14"/>
        </w:rPr>
        <w:t>.</w:t>
      </w:r>
      <w:r>
        <w:rPr>
          <w:position w:val="5"/>
          <w:sz w:val="14"/>
        </w:rPr>
        <w:tab/>
      </w:r>
      <w:r>
        <w:rPr/>
        <w:t>See</w:t>
      </w:r>
      <w:r>
        <w:rPr>
          <w:spacing w:val="-2"/>
        </w:rPr>
        <w:t> </w:t>
      </w:r>
      <w:r>
        <w:rPr/>
        <w:t>above, para.7-</w:t>
      </w:r>
      <w:r>
        <w:rPr>
          <w:spacing w:val="-4"/>
        </w:rPr>
        <w:t>017.</w:t>
      </w:r>
    </w:p>
    <w:p>
      <w:pPr>
        <w:pStyle w:val="BodyText"/>
        <w:spacing w:before="5"/>
      </w:pPr>
    </w:p>
    <w:p>
      <w:pPr>
        <w:pStyle w:val="BodyText"/>
        <w:tabs>
          <w:tab w:pos="705" w:val="left" w:leader="none"/>
        </w:tabs>
        <w:ind w:left="165"/>
      </w:pPr>
      <w:bookmarkStart w:name="_bookmark1363" w:id="1365"/>
      <w:bookmarkEnd w:id="1365"/>
      <w:r>
        <w:rPr/>
      </w:r>
      <w:hyperlink w:history="true" w:anchor="_bookmark1347">
        <w:r>
          <w:rPr>
            <w:color w:val="005DA1"/>
            <w:spacing w:val="-4"/>
            <w:position w:val="5"/>
            <w:sz w:val="14"/>
            <w:u w:val="single" w:color="005DA1"/>
          </w:rPr>
          <w:t>711</w:t>
        </w:r>
      </w:hyperlink>
      <w:r>
        <w:rPr>
          <w:spacing w:val="-4"/>
          <w:position w:val="5"/>
          <w:sz w:val="14"/>
        </w:rPr>
        <w:t>.</w:t>
      </w:r>
      <w:r>
        <w:rPr>
          <w:position w:val="5"/>
          <w:sz w:val="14"/>
        </w:rPr>
        <w:tab/>
      </w:r>
      <w:r>
        <w:rPr/>
        <w:t>For the others, see above, paras 7-017—7-</w:t>
      </w:r>
      <w:r>
        <w:rPr>
          <w:spacing w:val="-4"/>
        </w:rPr>
        <w:t>021.</w:t>
      </w:r>
    </w:p>
    <w:p>
      <w:pPr>
        <w:pStyle w:val="BodyText"/>
        <w:spacing w:before="5"/>
      </w:pPr>
    </w:p>
    <w:p>
      <w:pPr>
        <w:pStyle w:val="BodyText"/>
        <w:tabs>
          <w:tab w:pos="705" w:val="left" w:leader="none"/>
        </w:tabs>
        <w:ind w:left="165"/>
      </w:pPr>
      <w:bookmarkStart w:name="_bookmark1364" w:id="1366"/>
      <w:bookmarkEnd w:id="1366"/>
      <w:r>
        <w:rPr/>
      </w:r>
      <w:hyperlink w:history="true" w:anchor="_bookmark1348">
        <w:r>
          <w:rPr>
            <w:color w:val="005DA1"/>
            <w:spacing w:val="-4"/>
            <w:position w:val="5"/>
            <w:sz w:val="14"/>
            <w:u w:val="single" w:color="005DA1"/>
          </w:rPr>
          <w:t>712</w:t>
        </w:r>
      </w:hyperlink>
      <w:r>
        <w:rPr>
          <w:spacing w:val="-4"/>
          <w:position w:val="5"/>
          <w:sz w:val="14"/>
        </w:rPr>
        <w:t>.</w:t>
      </w:r>
      <w:r>
        <w:rPr>
          <w:position w:val="5"/>
          <w:sz w:val="14"/>
        </w:rPr>
        <w:tab/>
      </w:r>
      <w:r>
        <w:rPr/>
        <w:t>The relevant parts of the Act are due to come into force in August </w:t>
      </w:r>
      <w:r>
        <w:rPr>
          <w:spacing w:val="-2"/>
        </w:rPr>
        <w:t>2016.</w:t>
      </w:r>
    </w:p>
    <w:p>
      <w:pPr>
        <w:pStyle w:val="BodyText"/>
        <w:spacing w:before="5"/>
      </w:pPr>
    </w:p>
    <w:p>
      <w:pPr>
        <w:pStyle w:val="BodyText"/>
        <w:tabs>
          <w:tab w:pos="705" w:val="left" w:leader="none"/>
        </w:tabs>
        <w:ind w:left="165"/>
      </w:pPr>
      <w:bookmarkStart w:name="_bookmark1365" w:id="1367"/>
      <w:bookmarkEnd w:id="1367"/>
      <w:r>
        <w:rPr/>
      </w:r>
      <w:hyperlink w:history="true" w:anchor="_bookmark1349">
        <w:r>
          <w:rPr>
            <w:color w:val="005DA1"/>
            <w:spacing w:val="-4"/>
            <w:position w:val="5"/>
            <w:sz w:val="14"/>
            <w:u w:val="single" w:color="005DA1"/>
          </w:rPr>
          <w:t>713</w:t>
        </w:r>
      </w:hyperlink>
      <w:r>
        <w:rPr>
          <w:spacing w:val="-4"/>
          <w:position w:val="5"/>
          <w:sz w:val="14"/>
        </w:rPr>
        <w:t>.</w:t>
      </w:r>
      <w:r>
        <w:rPr>
          <w:position w:val="5"/>
          <w:sz w:val="14"/>
        </w:rPr>
        <w:tab/>
      </w:r>
      <w:r>
        <w:rPr/>
        <w:t>Insurance Act 2015 s.3 imposes a duty of fair presentation: see below, para.7-</w:t>
      </w:r>
      <w:r>
        <w:rPr>
          <w:spacing w:val="-4"/>
        </w:rPr>
        <w:t>159.</w:t>
      </w:r>
    </w:p>
    <w:p>
      <w:pPr>
        <w:pStyle w:val="BodyText"/>
        <w:spacing w:before="9"/>
      </w:pPr>
    </w:p>
    <w:p>
      <w:pPr>
        <w:pStyle w:val="BodyText"/>
        <w:spacing w:line="235" w:lineRule="auto"/>
        <w:ind w:left="705" w:right="167" w:hanging="541"/>
        <w:jc w:val="both"/>
      </w:pPr>
      <w:bookmarkStart w:name="_bookmark1366" w:id="1368"/>
      <w:bookmarkEnd w:id="1368"/>
      <w:r>
        <w:rPr/>
      </w:r>
      <w:hyperlink w:history="true" w:anchor="_bookmark1350">
        <w:r>
          <w:rPr>
            <w:color w:val="005DA1"/>
            <w:position w:val="5"/>
            <w:sz w:val="14"/>
            <w:u w:val="single" w:color="005DA1"/>
          </w:rPr>
          <w:t>714</w:t>
        </w:r>
      </w:hyperlink>
      <w:r>
        <w:rPr>
          <w:position w:val="5"/>
          <w:sz w:val="14"/>
        </w:rPr>
        <w:t>.</w:t>
      </w:r>
      <w:r>
        <w:rPr>
          <w:spacing w:val="40"/>
          <w:position w:val="5"/>
          <w:sz w:val="14"/>
        </w:rPr>
        <w:t>  </w:t>
      </w:r>
      <w:r>
        <w:rPr/>
        <w:t>Insurance</w:t>
      </w:r>
      <w:r>
        <w:rPr>
          <w:spacing w:val="40"/>
        </w:rPr>
        <w:t> </w:t>
      </w:r>
      <w:r>
        <w:rPr/>
        <w:t>Act</w:t>
      </w:r>
      <w:r>
        <w:rPr>
          <w:spacing w:val="40"/>
        </w:rPr>
        <w:t> </w:t>
      </w:r>
      <w:r>
        <w:rPr/>
        <w:t>2015</w:t>
      </w:r>
      <w:r>
        <w:rPr>
          <w:spacing w:val="40"/>
        </w:rPr>
        <w:t> </w:t>
      </w:r>
      <w:r>
        <w:rPr/>
        <w:t>s.14(1).</w:t>
      </w:r>
      <w:r>
        <w:rPr>
          <w:spacing w:val="40"/>
        </w:rPr>
        <w:t> </w:t>
      </w:r>
      <w:r>
        <w:rPr/>
        <w:t>Any</w:t>
      </w:r>
      <w:r>
        <w:rPr>
          <w:spacing w:val="40"/>
        </w:rPr>
        <w:t> </w:t>
      </w:r>
      <w:r>
        <w:rPr/>
        <w:t>rule</w:t>
      </w:r>
      <w:r>
        <w:rPr>
          <w:spacing w:val="40"/>
        </w:rPr>
        <w:t> </w:t>
      </w:r>
      <w:r>
        <w:rPr/>
        <w:t>of</w:t>
      </w:r>
      <w:r>
        <w:rPr>
          <w:spacing w:val="40"/>
        </w:rPr>
        <w:t> </w:t>
      </w:r>
      <w:r>
        <w:rPr/>
        <w:t>law</w:t>
      </w:r>
      <w:r>
        <w:rPr>
          <w:spacing w:val="40"/>
        </w:rPr>
        <w:t> </w:t>
      </w:r>
      <w:r>
        <w:rPr/>
        <w:t>to</w:t>
      </w:r>
      <w:r>
        <w:rPr>
          <w:spacing w:val="40"/>
        </w:rPr>
        <w:t> </w:t>
      </w:r>
      <w:r>
        <w:rPr/>
        <w:t>the</w:t>
      </w:r>
      <w:r>
        <w:rPr>
          <w:spacing w:val="40"/>
        </w:rPr>
        <w:t> </w:t>
      </w:r>
      <w:r>
        <w:rPr/>
        <w:t>effect</w:t>
      </w:r>
      <w:r>
        <w:rPr>
          <w:spacing w:val="40"/>
        </w:rPr>
        <w:t> </w:t>
      </w:r>
      <w:r>
        <w:rPr/>
        <w:t>that</w:t>
      </w:r>
      <w:r>
        <w:rPr>
          <w:spacing w:val="40"/>
        </w:rPr>
        <w:t> </w:t>
      </w:r>
      <w:r>
        <w:rPr/>
        <w:t>a</w:t>
      </w:r>
      <w:r>
        <w:rPr>
          <w:spacing w:val="40"/>
        </w:rPr>
        <w:t> </w:t>
      </w:r>
      <w:r>
        <w:rPr/>
        <w:t>contract</w:t>
      </w:r>
      <w:r>
        <w:rPr>
          <w:spacing w:val="40"/>
        </w:rPr>
        <w:t> </w:t>
      </w:r>
      <w:r>
        <w:rPr/>
        <w:t>of</w:t>
      </w:r>
      <w:r>
        <w:rPr>
          <w:spacing w:val="40"/>
        </w:rPr>
        <w:t> </w:t>
      </w:r>
      <w:r>
        <w:rPr/>
        <w:t>insurance</w:t>
      </w:r>
      <w:r>
        <w:rPr>
          <w:spacing w:val="40"/>
        </w:rPr>
        <w:t> </w:t>
      </w:r>
      <w:r>
        <w:rPr/>
        <w:t>is</w:t>
      </w:r>
      <w:r>
        <w:rPr>
          <w:spacing w:val="40"/>
        </w:rPr>
        <w:t> </w:t>
      </w:r>
      <w:r>
        <w:rPr/>
        <w:t>a contract based on the utmost good faith is modified to the extent required by the provisions </w:t>
      </w:r>
      <w:r>
        <w:rPr/>
        <w:t>of the Act and the Consumer Insurance (Disclosure and Representations) Act 2012: 2015 Act </w:t>
      </w:r>
      <w:r>
        <w:rPr>
          <w:spacing w:val="-2"/>
        </w:rPr>
        <w:t>s.14(2).</w:t>
      </w:r>
    </w:p>
    <w:p>
      <w:pPr>
        <w:pStyle w:val="BodyText"/>
        <w:spacing w:before="8"/>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90080">
            <wp:simplePos x="0" y="0"/>
            <wp:positionH relativeFrom="page">
              <wp:posOffset>1257846</wp:posOffset>
            </wp:positionH>
            <wp:positionV relativeFrom="paragraph">
              <wp:posOffset>160617</wp:posOffset>
            </wp:positionV>
            <wp:extent cx="107988" cy="107988"/>
            <wp:effectExtent l="0" t="0" r="0" b="0"/>
            <wp:wrapNone/>
            <wp:docPr id="256" name="Image 256"/>
            <wp:cNvGraphicFramePr>
              <a:graphicFrameLocks/>
            </wp:cNvGraphicFramePr>
            <a:graphic>
              <a:graphicData uri="http://schemas.openxmlformats.org/drawingml/2006/picture">
                <pic:pic>
                  <pic:nvPicPr>
                    <pic:cNvPr id="256" name="Image 25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67" w:id="1369"/>
      <w:bookmarkEnd w:id="1369"/>
      <w:r>
        <w:rPr/>
      </w:r>
      <w:hyperlink w:history="true" w:anchor="_bookmark1351">
        <w:r>
          <w:rPr>
            <w:color w:val="005DA1"/>
            <w:spacing w:val="-4"/>
            <w:sz w:val="14"/>
            <w:u w:val="single" w:color="005DA1"/>
          </w:rPr>
          <w:t>715</w:t>
        </w:r>
      </w:hyperlink>
      <w:r>
        <w:rPr>
          <w:spacing w:val="-4"/>
          <w:sz w:val="14"/>
        </w:rPr>
        <w:t>.</w:t>
      </w:r>
    </w:p>
    <w:p>
      <w:pPr>
        <w:spacing w:before="209"/>
        <w:ind w:left="335" w:right="0" w:firstLine="0"/>
        <w:jc w:val="left"/>
        <w:rPr>
          <w:sz w:val="20"/>
        </w:rPr>
      </w:pPr>
      <w:r>
        <w:rPr/>
        <w:br w:type="column"/>
      </w:r>
      <w:r>
        <w:rPr>
          <w:sz w:val="20"/>
        </w:rPr>
        <w:t>See</w:t>
      </w:r>
      <w:r>
        <w:rPr>
          <w:spacing w:val="62"/>
          <w:w w:val="150"/>
          <w:sz w:val="20"/>
        </w:rPr>
        <w:t> </w:t>
      </w:r>
      <w:r>
        <w:rPr>
          <w:sz w:val="20"/>
        </w:rPr>
        <w:t>also</w:t>
      </w:r>
      <w:r>
        <w:rPr>
          <w:spacing w:val="62"/>
          <w:w w:val="150"/>
          <w:sz w:val="20"/>
        </w:rPr>
        <w:t> </w:t>
      </w:r>
      <w:r>
        <w:rPr>
          <w:sz w:val="20"/>
        </w:rPr>
        <w:t>Cartwright,</w:t>
      </w:r>
      <w:r>
        <w:rPr>
          <w:spacing w:val="61"/>
          <w:w w:val="150"/>
          <w:sz w:val="20"/>
        </w:rPr>
        <w:t> </w:t>
      </w:r>
      <w:r>
        <w:rPr>
          <w:rFonts w:ascii="Arial"/>
          <w:i/>
          <w:sz w:val="20"/>
        </w:rPr>
        <w:t>Misrepresentation,</w:t>
      </w:r>
      <w:r>
        <w:rPr>
          <w:rFonts w:ascii="Arial"/>
          <w:i/>
          <w:spacing w:val="62"/>
          <w:w w:val="150"/>
          <w:sz w:val="20"/>
        </w:rPr>
        <w:t> </w:t>
      </w:r>
      <w:r>
        <w:rPr>
          <w:rFonts w:ascii="Arial"/>
          <w:i/>
          <w:sz w:val="20"/>
        </w:rPr>
        <w:t>Mistake</w:t>
      </w:r>
      <w:r>
        <w:rPr>
          <w:rFonts w:ascii="Arial"/>
          <w:i/>
          <w:spacing w:val="62"/>
          <w:w w:val="150"/>
          <w:sz w:val="20"/>
        </w:rPr>
        <w:t> </w:t>
      </w:r>
      <w:r>
        <w:rPr>
          <w:rFonts w:ascii="Arial"/>
          <w:i/>
          <w:sz w:val="20"/>
        </w:rPr>
        <w:t>and</w:t>
      </w:r>
      <w:r>
        <w:rPr>
          <w:rFonts w:ascii="Arial"/>
          <w:i/>
          <w:spacing w:val="62"/>
          <w:w w:val="150"/>
          <w:sz w:val="20"/>
        </w:rPr>
        <w:t> </w:t>
      </w:r>
      <w:r>
        <w:rPr>
          <w:rFonts w:ascii="Arial"/>
          <w:i/>
          <w:sz w:val="20"/>
        </w:rPr>
        <w:t>Non-disclosure</w:t>
      </w:r>
      <w:r>
        <w:rPr>
          <w:sz w:val="20"/>
        </w:rPr>
        <w:t>,</w:t>
      </w:r>
      <w:r>
        <w:rPr>
          <w:spacing w:val="62"/>
          <w:w w:val="150"/>
          <w:sz w:val="20"/>
        </w:rPr>
        <w:t> </w:t>
      </w:r>
      <w:r>
        <w:rPr>
          <w:sz w:val="20"/>
        </w:rPr>
        <w:t>4th</w:t>
      </w:r>
      <w:r>
        <w:rPr>
          <w:spacing w:val="62"/>
          <w:w w:val="150"/>
          <w:sz w:val="20"/>
        </w:rPr>
        <w:t> </w:t>
      </w:r>
      <w:r>
        <w:rPr>
          <w:sz w:val="20"/>
        </w:rPr>
        <w:t>edn</w:t>
      </w:r>
      <w:r>
        <w:rPr>
          <w:spacing w:val="62"/>
          <w:w w:val="150"/>
          <w:sz w:val="20"/>
        </w:rPr>
        <w:t> </w:t>
      </w:r>
      <w:r>
        <w:rPr>
          <w:spacing w:val="-2"/>
          <w:sz w:val="20"/>
        </w:rPr>
        <w:t>(2016),</w:t>
      </w:r>
    </w:p>
    <w:p>
      <w:pPr>
        <w:spacing w:after="0"/>
        <w:jc w:val="left"/>
        <w:rPr>
          <w:sz w:val="20"/>
        </w:rPr>
        <w:sectPr>
          <w:type w:val="continuous"/>
          <w:pgSz w:w="11900" w:h="16840"/>
          <w:pgMar w:header="971" w:footer="0" w:top="1160" w:bottom="280" w:left="1275" w:right="1275"/>
          <w:cols w:num="2" w:equalWidth="0">
            <w:col w:w="478" w:space="63"/>
            <w:col w:w="8809"/>
          </w:cols>
        </w:sect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8659"/>
      </w:tblGrid>
      <w:tr>
        <w:trPr>
          <w:trHeight w:val="344" w:hRule="atLeast"/>
        </w:trPr>
        <w:tc>
          <w:tcPr>
            <w:tcW w:w="457" w:type="dxa"/>
          </w:tcPr>
          <w:p>
            <w:pPr>
              <w:pStyle w:val="TableParagraph"/>
              <w:spacing w:before="0"/>
              <w:rPr>
                <w:rFonts w:ascii="Times New Roman"/>
                <w:sz w:val="18"/>
              </w:rPr>
            </w:pPr>
          </w:p>
        </w:tc>
        <w:tc>
          <w:tcPr>
            <w:tcW w:w="8659" w:type="dxa"/>
          </w:tcPr>
          <w:p>
            <w:pPr>
              <w:pStyle w:val="TableParagraph"/>
              <w:spacing w:line="223" w:lineRule="exact" w:before="0"/>
              <w:ind w:left="133"/>
              <w:rPr>
                <w:rFonts w:ascii="Arial MT"/>
                <w:sz w:val="20"/>
              </w:rPr>
            </w:pPr>
            <w:r>
              <w:rPr>
                <w:rFonts w:ascii="Arial MT"/>
                <w:sz w:val="20"/>
              </w:rPr>
              <w:t>para.17-</w:t>
            </w:r>
            <w:r>
              <w:rPr>
                <w:rFonts w:ascii="Arial MT"/>
                <w:spacing w:val="-5"/>
                <w:sz w:val="20"/>
              </w:rPr>
              <w:t>03.</w:t>
            </w:r>
          </w:p>
        </w:tc>
      </w:tr>
      <w:tr>
        <w:trPr>
          <w:trHeight w:val="465" w:hRule="atLeast"/>
        </w:trPr>
        <w:tc>
          <w:tcPr>
            <w:tcW w:w="457" w:type="dxa"/>
          </w:tcPr>
          <w:p>
            <w:pPr>
              <w:pStyle w:val="TableParagraph"/>
              <w:ind w:right="82"/>
              <w:jc w:val="center"/>
              <w:rPr>
                <w:rFonts w:ascii="Arial MT"/>
                <w:sz w:val="14"/>
              </w:rPr>
            </w:pPr>
            <w:bookmarkStart w:name="_bookmark1368" w:id="1370"/>
            <w:bookmarkEnd w:id="1370"/>
            <w:r>
              <w:rPr/>
            </w:r>
            <w:hyperlink w:history="true" w:anchor="_bookmark1352">
              <w:r>
                <w:rPr>
                  <w:rFonts w:ascii="Arial MT"/>
                  <w:color w:val="005DA1"/>
                  <w:spacing w:val="-4"/>
                  <w:sz w:val="14"/>
                  <w:u w:val="single" w:color="005DA1"/>
                </w:rPr>
                <w:t>716</w:t>
              </w:r>
            </w:hyperlink>
            <w:r>
              <w:rPr>
                <w:rFonts w:ascii="Arial MT"/>
                <w:spacing w:val="-4"/>
                <w:sz w:val="14"/>
              </w:rPr>
              <w:t>.</w:t>
            </w:r>
          </w:p>
        </w:tc>
        <w:tc>
          <w:tcPr>
            <w:tcW w:w="8659" w:type="dxa"/>
          </w:tcPr>
          <w:p>
            <w:pPr>
              <w:pStyle w:val="TableParagraph"/>
              <w:spacing w:before="114"/>
              <w:ind w:left="133"/>
              <w:rPr>
                <w:rFonts w:ascii="Arial MT"/>
                <w:sz w:val="20"/>
              </w:rPr>
            </w:pPr>
            <w:r>
              <w:rPr>
                <w:rFonts w:ascii="Arial MT"/>
                <w:sz w:val="20"/>
              </w:rPr>
              <w:t>Below, para.7-</w:t>
            </w:r>
            <w:r>
              <w:rPr>
                <w:rFonts w:ascii="Arial MT"/>
                <w:spacing w:val="-4"/>
                <w:sz w:val="20"/>
              </w:rPr>
              <w:t>169.</w:t>
            </w:r>
          </w:p>
        </w:tc>
      </w:tr>
      <w:tr>
        <w:trPr>
          <w:trHeight w:val="465" w:hRule="atLeast"/>
        </w:trPr>
        <w:tc>
          <w:tcPr>
            <w:tcW w:w="457" w:type="dxa"/>
          </w:tcPr>
          <w:p>
            <w:pPr>
              <w:pStyle w:val="TableParagraph"/>
              <w:ind w:right="82"/>
              <w:jc w:val="center"/>
              <w:rPr>
                <w:rFonts w:ascii="Arial MT"/>
                <w:sz w:val="14"/>
              </w:rPr>
            </w:pPr>
            <w:bookmarkStart w:name="_bookmark1369" w:id="1371"/>
            <w:bookmarkEnd w:id="1371"/>
            <w:r>
              <w:rPr/>
            </w:r>
            <w:hyperlink w:history="true" w:anchor="_bookmark1352">
              <w:r>
                <w:rPr>
                  <w:rFonts w:ascii="Arial MT"/>
                  <w:color w:val="005DA1"/>
                  <w:spacing w:val="-4"/>
                  <w:sz w:val="14"/>
                  <w:u w:val="single" w:color="005DA1"/>
                </w:rPr>
                <w:t>717</w:t>
              </w:r>
            </w:hyperlink>
            <w:r>
              <w:rPr>
                <w:rFonts w:ascii="Arial MT"/>
                <w:spacing w:val="-4"/>
                <w:sz w:val="14"/>
              </w:rPr>
              <w:t>.</w:t>
            </w:r>
          </w:p>
        </w:tc>
        <w:tc>
          <w:tcPr>
            <w:tcW w:w="8659" w:type="dxa"/>
          </w:tcPr>
          <w:p>
            <w:pPr>
              <w:pStyle w:val="TableParagraph"/>
              <w:spacing w:before="114"/>
              <w:ind w:left="133"/>
              <w:rPr>
                <w:rFonts w:ascii="Arial MT"/>
                <w:sz w:val="20"/>
              </w:rPr>
            </w:pPr>
            <w:r>
              <w:rPr>
                <w:rFonts w:ascii="Arial MT"/>
                <w:sz w:val="20"/>
              </w:rPr>
              <w:t>Below, para.7-</w:t>
            </w:r>
            <w:r>
              <w:rPr>
                <w:rFonts w:ascii="Arial MT"/>
                <w:spacing w:val="-4"/>
                <w:sz w:val="20"/>
              </w:rPr>
              <w:t>171.</w:t>
            </w:r>
          </w:p>
        </w:tc>
      </w:tr>
      <w:tr>
        <w:trPr>
          <w:trHeight w:val="465" w:hRule="atLeast"/>
        </w:trPr>
        <w:tc>
          <w:tcPr>
            <w:tcW w:w="457" w:type="dxa"/>
          </w:tcPr>
          <w:p>
            <w:pPr>
              <w:pStyle w:val="TableParagraph"/>
              <w:ind w:right="82"/>
              <w:jc w:val="center"/>
              <w:rPr>
                <w:rFonts w:ascii="Arial MT"/>
                <w:sz w:val="14"/>
              </w:rPr>
            </w:pPr>
            <w:bookmarkStart w:name="_bookmark1370" w:id="1372"/>
            <w:bookmarkEnd w:id="1372"/>
            <w:r>
              <w:rPr/>
            </w:r>
            <w:hyperlink w:history="true" w:anchor="_bookmark1353">
              <w:r>
                <w:rPr>
                  <w:rFonts w:ascii="Arial MT"/>
                  <w:color w:val="005DA1"/>
                  <w:spacing w:val="-4"/>
                  <w:sz w:val="14"/>
                  <w:u w:val="single" w:color="005DA1"/>
                </w:rPr>
                <w:t>718</w:t>
              </w:r>
            </w:hyperlink>
            <w:r>
              <w:rPr>
                <w:rFonts w:ascii="Arial MT"/>
                <w:spacing w:val="-4"/>
                <w:sz w:val="14"/>
              </w:rPr>
              <w:t>.</w:t>
            </w:r>
          </w:p>
        </w:tc>
        <w:tc>
          <w:tcPr>
            <w:tcW w:w="8659" w:type="dxa"/>
          </w:tcPr>
          <w:p>
            <w:pPr>
              <w:pStyle w:val="TableParagraph"/>
              <w:spacing w:before="114"/>
              <w:ind w:left="133"/>
              <w:rPr>
                <w:rFonts w:ascii="Arial MT"/>
                <w:sz w:val="20"/>
              </w:rPr>
            </w:pPr>
            <w:r>
              <w:rPr>
                <w:rFonts w:ascii="Arial MT"/>
                <w:sz w:val="20"/>
              </w:rPr>
              <w:t>Below, para.7-</w:t>
            </w:r>
            <w:r>
              <w:rPr>
                <w:rFonts w:ascii="Arial MT"/>
                <w:spacing w:val="-4"/>
                <w:sz w:val="20"/>
              </w:rPr>
              <w:t>172.</w:t>
            </w:r>
          </w:p>
        </w:tc>
      </w:tr>
      <w:tr>
        <w:trPr>
          <w:trHeight w:val="465" w:hRule="atLeast"/>
        </w:trPr>
        <w:tc>
          <w:tcPr>
            <w:tcW w:w="457" w:type="dxa"/>
          </w:tcPr>
          <w:p>
            <w:pPr>
              <w:pStyle w:val="TableParagraph"/>
              <w:ind w:right="82"/>
              <w:jc w:val="center"/>
              <w:rPr>
                <w:rFonts w:ascii="Arial MT"/>
                <w:sz w:val="14"/>
              </w:rPr>
            </w:pPr>
            <w:bookmarkStart w:name="_bookmark1371" w:id="1373"/>
            <w:bookmarkEnd w:id="1373"/>
            <w:r>
              <w:rPr/>
            </w:r>
            <w:hyperlink w:history="true" w:anchor="_bookmark1353">
              <w:r>
                <w:rPr>
                  <w:rFonts w:ascii="Arial MT"/>
                  <w:color w:val="005DA1"/>
                  <w:spacing w:val="-4"/>
                  <w:sz w:val="14"/>
                  <w:u w:val="single" w:color="005DA1"/>
                </w:rPr>
                <w:t>719</w:t>
              </w:r>
            </w:hyperlink>
            <w:r>
              <w:rPr>
                <w:rFonts w:ascii="Arial MT"/>
                <w:spacing w:val="-4"/>
                <w:sz w:val="14"/>
              </w:rPr>
              <w:t>.</w:t>
            </w:r>
          </w:p>
        </w:tc>
        <w:tc>
          <w:tcPr>
            <w:tcW w:w="8659" w:type="dxa"/>
          </w:tcPr>
          <w:p>
            <w:pPr>
              <w:pStyle w:val="TableParagraph"/>
              <w:spacing w:before="114"/>
              <w:ind w:left="133"/>
              <w:rPr>
                <w:rFonts w:ascii="Arial MT"/>
                <w:sz w:val="20"/>
              </w:rPr>
            </w:pPr>
            <w:r>
              <w:rPr>
                <w:rFonts w:ascii="Arial MT"/>
                <w:sz w:val="20"/>
              </w:rPr>
              <w:t>Below, para.7-</w:t>
            </w:r>
            <w:r>
              <w:rPr>
                <w:rFonts w:ascii="Arial MT"/>
                <w:spacing w:val="-4"/>
                <w:sz w:val="20"/>
              </w:rPr>
              <w:t>174.</w:t>
            </w:r>
          </w:p>
        </w:tc>
      </w:tr>
      <w:tr>
        <w:trPr>
          <w:trHeight w:val="465" w:hRule="atLeast"/>
        </w:trPr>
        <w:tc>
          <w:tcPr>
            <w:tcW w:w="457" w:type="dxa"/>
          </w:tcPr>
          <w:p>
            <w:pPr>
              <w:pStyle w:val="TableParagraph"/>
              <w:ind w:right="82"/>
              <w:jc w:val="center"/>
              <w:rPr>
                <w:rFonts w:ascii="Arial MT"/>
                <w:sz w:val="14"/>
              </w:rPr>
            </w:pPr>
            <w:bookmarkStart w:name="_bookmark1372" w:id="1374"/>
            <w:bookmarkEnd w:id="1374"/>
            <w:r>
              <w:rPr/>
            </w:r>
            <w:hyperlink w:history="true" w:anchor="_bookmark1353">
              <w:r>
                <w:rPr>
                  <w:rFonts w:ascii="Arial MT"/>
                  <w:color w:val="005DA1"/>
                  <w:spacing w:val="-4"/>
                  <w:sz w:val="14"/>
                  <w:u w:val="single" w:color="005DA1"/>
                </w:rPr>
                <w:t>720</w:t>
              </w:r>
            </w:hyperlink>
            <w:r>
              <w:rPr>
                <w:rFonts w:ascii="Arial MT"/>
                <w:spacing w:val="-4"/>
                <w:sz w:val="14"/>
              </w:rPr>
              <w:t>.</w:t>
            </w:r>
          </w:p>
        </w:tc>
        <w:tc>
          <w:tcPr>
            <w:tcW w:w="8659" w:type="dxa"/>
          </w:tcPr>
          <w:p>
            <w:pPr>
              <w:pStyle w:val="TableParagraph"/>
              <w:spacing w:before="114"/>
              <w:ind w:left="133"/>
              <w:rPr>
                <w:rFonts w:ascii="Arial MT"/>
                <w:sz w:val="20"/>
              </w:rPr>
            </w:pPr>
            <w:r>
              <w:rPr>
                <w:rFonts w:ascii="Arial MT"/>
                <w:sz w:val="20"/>
              </w:rPr>
              <w:t>Below, para.7-</w:t>
            </w:r>
            <w:r>
              <w:rPr>
                <w:rFonts w:ascii="Arial MT"/>
                <w:spacing w:val="-4"/>
                <w:sz w:val="20"/>
              </w:rPr>
              <w:t>178.</w:t>
            </w:r>
          </w:p>
        </w:tc>
      </w:tr>
      <w:tr>
        <w:trPr>
          <w:trHeight w:val="465" w:hRule="atLeast"/>
        </w:trPr>
        <w:tc>
          <w:tcPr>
            <w:tcW w:w="457" w:type="dxa"/>
          </w:tcPr>
          <w:p>
            <w:pPr>
              <w:pStyle w:val="TableParagraph"/>
              <w:ind w:right="82"/>
              <w:jc w:val="center"/>
              <w:rPr>
                <w:rFonts w:ascii="Arial MT"/>
                <w:sz w:val="14"/>
              </w:rPr>
            </w:pPr>
            <w:bookmarkStart w:name="_bookmark1373" w:id="1375"/>
            <w:bookmarkEnd w:id="1375"/>
            <w:r>
              <w:rPr/>
            </w:r>
            <w:hyperlink w:history="true" w:anchor="_bookmark1353">
              <w:r>
                <w:rPr>
                  <w:rFonts w:ascii="Arial MT"/>
                  <w:color w:val="005DA1"/>
                  <w:spacing w:val="-4"/>
                  <w:sz w:val="14"/>
                  <w:u w:val="single" w:color="005DA1"/>
                </w:rPr>
                <w:t>721</w:t>
              </w:r>
            </w:hyperlink>
            <w:r>
              <w:rPr>
                <w:rFonts w:ascii="Arial MT"/>
                <w:spacing w:val="-4"/>
                <w:sz w:val="14"/>
              </w:rPr>
              <w:t>.</w:t>
            </w:r>
          </w:p>
        </w:tc>
        <w:tc>
          <w:tcPr>
            <w:tcW w:w="8659" w:type="dxa"/>
          </w:tcPr>
          <w:p>
            <w:pPr>
              <w:pStyle w:val="TableParagraph"/>
              <w:spacing w:before="114"/>
              <w:ind w:left="133"/>
              <w:rPr>
                <w:rFonts w:ascii="Arial MT"/>
                <w:sz w:val="20"/>
              </w:rPr>
            </w:pPr>
            <w:r>
              <w:rPr>
                <w:rFonts w:ascii="Arial MT"/>
                <w:sz w:val="20"/>
              </w:rPr>
              <w:t>Below, para.7-</w:t>
            </w:r>
            <w:r>
              <w:rPr>
                <w:rFonts w:ascii="Arial MT"/>
                <w:spacing w:val="-4"/>
                <w:sz w:val="20"/>
              </w:rPr>
              <w:t>180.</w:t>
            </w:r>
          </w:p>
        </w:tc>
      </w:tr>
      <w:tr>
        <w:trPr>
          <w:trHeight w:val="465" w:hRule="atLeast"/>
        </w:trPr>
        <w:tc>
          <w:tcPr>
            <w:tcW w:w="457" w:type="dxa"/>
          </w:tcPr>
          <w:p>
            <w:pPr>
              <w:pStyle w:val="TableParagraph"/>
              <w:ind w:right="82"/>
              <w:jc w:val="center"/>
              <w:rPr>
                <w:rFonts w:ascii="Arial MT"/>
                <w:sz w:val="14"/>
              </w:rPr>
            </w:pPr>
            <w:bookmarkStart w:name="_bookmark1374" w:id="1376"/>
            <w:bookmarkEnd w:id="1376"/>
            <w:r>
              <w:rPr/>
            </w:r>
            <w:hyperlink w:history="true" w:anchor="_bookmark1354">
              <w:r>
                <w:rPr>
                  <w:rFonts w:ascii="Arial MT"/>
                  <w:color w:val="005DA1"/>
                  <w:spacing w:val="-4"/>
                  <w:sz w:val="14"/>
                  <w:u w:val="single" w:color="005DA1"/>
                </w:rPr>
                <w:t>722</w:t>
              </w:r>
            </w:hyperlink>
            <w:r>
              <w:rPr>
                <w:rFonts w:ascii="Arial MT"/>
                <w:spacing w:val="-4"/>
                <w:sz w:val="14"/>
              </w:rPr>
              <w:t>.</w:t>
            </w:r>
          </w:p>
        </w:tc>
        <w:tc>
          <w:tcPr>
            <w:tcW w:w="8659" w:type="dxa"/>
          </w:tcPr>
          <w:p>
            <w:pPr>
              <w:pStyle w:val="TableParagraph"/>
              <w:spacing w:before="114"/>
              <w:ind w:left="133"/>
              <w:rPr>
                <w:rFonts w:ascii="Arial MT"/>
                <w:sz w:val="20"/>
              </w:rPr>
            </w:pPr>
            <w:r>
              <w:rPr>
                <w:rFonts w:ascii="Arial MT"/>
                <w:sz w:val="20"/>
              </w:rPr>
              <w:t>Below, para.7-</w:t>
            </w:r>
            <w:r>
              <w:rPr>
                <w:rFonts w:ascii="Arial MT"/>
                <w:spacing w:val="-4"/>
                <w:sz w:val="20"/>
              </w:rPr>
              <w:t>181.</w:t>
            </w:r>
          </w:p>
        </w:tc>
      </w:tr>
      <w:tr>
        <w:trPr>
          <w:trHeight w:val="465" w:hRule="atLeast"/>
        </w:trPr>
        <w:tc>
          <w:tcPr>
            <w:tcW w:w="457" w:type="dxa"/>
          </w:tcPr>
          <w:p>
            <w:pPr>
              <w:pStyle w:val="TableParagraph"/>
              <w:ind w:right="82"/>
              <w:jc w:val="center"/>
              <w:rPr>
                <w:rFonts w:ascii="Arial MT"/>
                <w:sz w:val="14"/>
              </w:rPr>
            </w:pPr>
            <w:bookmarkStart w:name="_bookmark1375" w:id="1377"/>
            <w:bookmarkEnd w:id="1377"/>
            <w:r>
              <w:rPr/>
            </w:r>
            <w:hyperlink w:history="true" w:anchor="_bookmark1354">
              <w:r>
                <w:rPr>
                  <w:rFonts w:ascii="Arial MT"/>
                  <w:color w:val="005DA1"/>
                  <w:spacing w:val="-4"/>
                  <w:sz w:val="14"/>
                  <w:u w:val="single" w:color="005DA1"/>
                </w:rPr>
                <w:t>723</w:t>
              </w:r>
            </w:hyperlink>
            <w:r>
              <w:rPr>
                <w:rFonts w:ascii="Arial MT"/>
                <w:spacing w:val="-4"/>
                <w:sz w:val="14"/>
              </w:rPr>
              <w:t>.</w:t>
            </w:r>
          </w:p>
        </w:tc>
        <w:tc>
          <w:tcPr>
            <w:tcW w:w="8659" w:type="dxa"/>
          </w:tcPr>
          <w:p>
            <w:pPr>
              <w:pStyle w:val="TableParagraph"/>
              <w:spacing w:before="114"/>
              <w:ind w:left="133"/>
              <w:rPr>
                <w:rFonts w:ascii="Arial MT"/>
                <w:sz w:val="20"/>
              </w:rPr>
            </w:pPr>
            <w:r>
              <w:rPr>
                <w:i/>
                <w:sz w:val="20"/>
              </w:rPr>
              <w:t>Bell</w:t>
            </w:r>
            <w:r>
              <w:rPr>
                <w:i/>
                <w:spacing w:val="-3"/>
                <w:sz w:val="20"/>
              </w:rPr>
              <w:t> </w:t>
            </w:r>
            <w:r>
              <w:rPr>
                <w:i/>
                <w:sz w:val="20"/>
              </w:rPr>
              <w:t>v Lever Bros Ltd [1932] A.C. 161, 227</w:t>
            </w:r>
            <w:r>
              <w:rPr>
                <w:rFonts w:ascii="Arial MT"/>
                <w:sz w:val="20"/>
              </w:rPr>
              <w:t>; </w:t>
            </w:r>
            <w:r>
              <w:rPr>
                <w:i/>
                <w:sz w:val="20"/>
              </w:rPr>
              <w:t>Nottingham University v Fishel [2000] I.C.R. </w:t>
            </w:r>
            <w:r>
              <w:rPr>
                <w:i/>
                <w:spacing w:val="-2"/>
                <w:sz w:val="20"/>
              </w:rPr>
              <w:t>1462</w:t>
            </w:r>
            <w:r>
              <w:rPr>
                <w:rFonts w:ascii="Arial MT"/>
                <w:spacing w:val="-2"/>
                <w:sz w:val="20"/>
              </w:rPr>
              <w:t>.</w:t>
            </w:r>
          </w:p>
        </w:tc>
      </w:tr>
      <w:tr>
        <w:trPr>
          <w:trHeight w:val="465" w:hRule="atLeast"/>
        </w:trPr>
        <w:tc>
          <w:tcPr>
            <w:tcW w:w="457" w:type="dxa"/>
          </w:tcPr>
          <w:p>
            <w:pPr>
              <w:pStyle w:val="TableParagraph"/>
              <w:ind w:right="82"/>
              <w:jc w:val="center"/>
              <w:rPr>
                <w:rFonts w:ascii="Arial MT"/>
                <w:sz w:val="14"/>
              </w:rPr>
            </w:pPr>
            <w:bookmarkStart w:name="_bookmark1376" w:id="1378"/>
            <w:bookmarkEnd w:id="1378"/>
            <w:r>
              <w:rPr/>
            </w:r>
            <w:hyperlink w:history="true" w:anchor="_bookmark1355">
              <w:r>
                <w:rPr>
                  <w:rFonts w:ascii="Arial MT"/>
                  <w:color w:val="005DA1"/>
                  <w:spacing w:val="-4"/>
                  <w:sz w:val="14"/>
                  <w:u w:val="single" w:color="005DA1"/>
                </w:rPr>
                <w:t>724</w:t>
              </w:r>
            </w:hyperlink>
            <w:r>
              <w:rPr>
                <w:rFonts w:ascii="Arial MT"/>
                <w:spacing w:val="-4"/>
                <w:sz w:val="14"/>
              </w:rPr>
              <w:t>.</w:t>
            </w:r>
          </w:p>
        </w:tc>
        <w:tc>
          <w:tcPr>
            <w:tcW w:w="8659" w:type="dxa"/>
          </w:tcPr>
          <w:p>
            <w:pPr>
              <w:pStyle w:val="TableParagraph"/>
              <w:spacing w:before="114"/>
              <w:ind w:left="133"/>
              <w:rPr>
                <w:rFonts w:ascii="Arial MT"/>
                <w:sz w:val="20"/>
              </w:rPr>
            </w:pPr>
            <w:r>
              <w:rPr>
                <w:i/>
                <w:sz w:val="20"/>
              </w:rPr>
              <w:t>Jewson &amp; Sons Ltd v Arcos Ltd (1932) 39 Com. Cas. </w:t>
            </w:r>
            <w:r>
              <w:rPr>
                <w:i/>
                <w:spacing w:val="-5"/>
                <w:sz w:val="20"/>
              </w:rPr>
              <w:t>59</w:t>
            </w:r>
            <w:r>
              <w:rPr>
                <w:rFonts w:ascii="Arial MT"/>
                <w:spacing w:val="-5"/>
                <w:sz w:val="20"/>
              </w:rPr>
              <w:t>.</w:t>
            </w:r>
          </w:p>
        </w:tc>
      </w:tr>
      <w:tr>
        <w:trPr>
          <w:trHeight w:val="465" w:hRule="atLeast"/>
        </w:trPr>
        <w:tc>
          <w:tcPr>
            <w:tcW w:w="457" w:type="dxa"/>
          </w:tcPr>
          <w:p>
            <w:pPr>
              <w:pStyle w:val="TableParagraph"/>
              <w:ind w:right="82"/>
              <w:jc w:val="center"/>
              <w:rPr>
                <w:rFonts w:ascii="Arial MT"/>
                <w:sz w:val="14"/>
              </w:rPr>
            </w:pPr>
            <w:bookmarkStart w:name="_bookmark1377" w:id="1379"/>
            <w:bookmarkEnd w:id="1379"/>
            <w:r>
              <w:rPr/>
            </w:r>
            <w:hyperlink w:history="true" w:anchor="_bookmark1355">
              <w:r>
                <w:rPr>
                  <w:rFonts w:ascii="Arial MT"/>
                  <w:color w:val="005DA1"/>
                  <w:spacing w:val="-4"/>
                  <w:sz w:val="14"/>
                  <w:u w:val="single" w:color="005DA1"/>
                </w:rPr>
                <w:t>725</w:t>
              </w:r>
            </w:hyperlink>
            <w:r>
              <w:rPr>
                <w:rFonts w:ascii="Arial MT"/>
                <w:spacing w:val="-4"/>
                <w:sz w:val="14"/>
              </w:rPr>
              <w:t>.</w:t>
            </w:r>
          </w:p>
        </w:tc>
        <w:tc>
          <w:tcPr>
            <w:tcW w:w="8659" w:type="dxa"/>
          </w:tcPr>
          <w:p>
            <w:pPr>
              <w:pStyle w:val="TableParagraph"/>
              <w:spacing w:before="114"/>
              <w:ind w:left="133"/>
              <w:rPr>
                <w:rFonts w:ascii="Arial MT"/>
                <w:sz w:val="20"/>
              </w:rPr>
            </w:pPr>
            <w:r>
              <w:rPr>
                <w:i/>
                <w:sz w:val="20"/>
              </w:rPr>
              <w:t>Nextia</w:t>
            </w:r>
            <w:r>
              <w:rPr>
                <w:i/>
                <w:spacing w:val="-2"/>
                <w:sz w:val="20"/>
              </w:rPr>
              <w:t> </w:t>
            </w:r>
            <w:r>
              <w:rPr>
                <w:i/>
                <w:sz w:val="20"/>
              </w:rPr>
              <w:t>Properties Ltd v Royal Bank of Scotland [2013] EWHC 3167 </w:t>
            </w:r>
            <w:r>
              <w:rPr>
                <w:i/>
                <w:spacing w:val="-2"/>
                <w:sz w:val="20"/>
              </w:rPr>
              <w:t>(QB)</w:t>
            </w:r>
            <w:r>
              <w:rPr>
                <w:rFonts w:ascii="Arial MT"/>
                <w:spacing w:val="-2"/>
                <w:sz w:val="20"/>
              </w:rPr>
              <w:t>.</w:t>
            </w:r>
          </w:p>
        </w:tc>
      </w:tr>
      <w:tr>
        <w:trPr>
          <w:trHeight w:val="465" w:hRule="atLeast"/>
        </w:trPr>
        <w:tc>
          <w:tcPr>
            <w:tcW w:w="457" w:type="dxa"/>
          </w:tcPr>
          <w:p>
            <w:pPr>
              <w:pStyle w:val="TableParagraph"/>
              <w:ind w:right="82"/>
              <w:jc w:val="center"/>
              <w:rPr>
                <w:rFonts w:ascii="Arial MT"/>
                <w:sz w:val="14"/>
              </w:rPr>
            </w:pPr>
            <w:bookmarkStart w:name="_bookmark1378" w:id="1380"/>
            <w:bookmarkEnd w:id="1380"/>
            <w:r>
              <w:rPr/>
            </w:r>
            <w:hyperlink w:history="true" w:anchor="_bookmark1356">
              <w:r>
                <w:rPr>
                  <w:rFonts w:ascii="Arial MT"/>
                  <w:color w:val="005DA1"/>
                  <w:spacing w:val="-4"/>
                  <w:sz w:val="14"/>
                  <w:u w:val="single" w:color="005DA1"/>
                </w:rPr>
                <w:t>726</w:t>
              </w:r>
            </w:hyperlink>
            <w:r>
              <w:rPr>
                <w:rFonts w:ascii="Arial MT"/>
                <w:spacing w:val="-4"/>
                <w:sz w:val="14"/>
              </w:rPr>
              <w:t>.</w:t>
            </w:r>
          </w:p>
        </w:tc>
        <w:tc>
          <w:tcPr>
            <w:tcW w:w="8659" w:type="dxa"/>
          </w:tcPr>
          <w:p>
            <w:pPr>
              <w:pStyle w:val="TableParagraph"/>
              <w:spacing w:before="114"/>
              <w:ind w:left="133"/>
              <w:rPr>
                <w:rFonts w:ascii="Arial MT" w:hAnsi="Arial MT"/>
                <w:sz w:val="20"/>
              </w:rPr>
            </w:pPr>
            <w:r>
              <w:rPr>
                <w:rFonts w:ascii="Arial MT" w:hAnsi="Arial MT"/>
                <w:sz w:val="20"/>
              </w:rPr>
              <w:t>See also Cartwright,</w:t>
            </w:r>
            <w:r>
              <w:rPr>
                <w:rFonts w:ascii="Arial MT" w:hAnsi="Arial MT"/>
                <w:spacing w:val="-1"/>
                <w:sz w:val="20"/>
              </w:rPr>
              <w:t> </w:t>
            </w:r>
            <w:r>
              <w:rPr>
                <w:i/>
                <w:sz w:val="20"/>
              </w:rPr>
              <w:t>Contract Formation and Parties</w:t>
            </w:r>
            <w:r>
              <w:rPr>
                <w:i/>
                <w:spacing w:val="-1"/>
                <w:sz w:val="20"/>
              </w:rPr>
              <w:t> </w:t>
            </w:r>
            <w:r>
              <w:rPr>
                <w:rFonts w:ascii="Arial MT" w:hAnsi="Arial MT"/>
                <w:sz w:val="20"/>
              </w:rPr>
              <w:t>(2010), pp.137, </w:t>
            </w:r>
            <w:r>
              <w:rPr>
                <w:rFonts w:ascii="Arial MT" w:hAnsi="Arial MT"/>
                <w:spacing w:val="-2"/>
                <w:sz w:val="20"/>
              </w:rPr>
              <w:t>146–149.</w:t>
            </w:r>
          </w:p>
        </w:tc>
      </w:tr>
      <w:tr>
        <w:trPr>
          <w:trHeight w:val="1140" w:hRule="atLeast"/>
        </w:trPr>
        <w:tc>
          <w:tcPr>
            <w:tcW w:w="457" w:type="dxa"/>
          </w:tcPr>
          <w:p>
            <w:pPr>
              <w:pStyle w:val="TableParagraph"/>
              <w:ind w:right="82"/>
              <w:jc w:val="center"/>
              <w:rPr>
                <w:rFonts w:ascii="Arial MT"/>
                <w:sz w:val="14"/>
              </w:rPr>
            </w:pPr>
            <w:bookmarkStart w:name="_bookmark1379" w:id="1381"/>
            <w:bookmarkEnd w:id="1381"/>
            <w:r>
              <w:rPr/>
            </w:r>
            <w:hyperlink w:history="true" w:anchor="_bookmark1357">
              <w:r>
                <w:rPr>
                  <w:rFonts w:ascii="Arial MT"/>
                  <w:color w:val="005DA1"/>
                  <w:spacing w:val="-4"/>
                  <w:sz w:val="14"/>
                  <w:u w:val="single" w:color="005DA1"/>
                </w:rPr>
                <w:t>727</w:t>
              </w:r>
            </w:hyperlink>
            <w:r>
              <w:rPr>
                <w:rFonts w:ascii="Arial MT"/>
                <w:spacing w:val="-4"/>
                <w:sz w:val="14"/>
              </w:rPr>
              <w:t>.</w:t>
            </w:r>
          </w:p>
        </w:tc>
        <w:tc>
          <w:tcPr>
            <w:tcW w:w="8659" w:type="dxa"/>
          </w:tcPr>
          <w:p>
            <w:pPr>
              <w:pStyle w:val="TableParagraph"/>
              <w:spacing w:line="235" w:lineRule="auto" w:before="118"/>
              <w:ind w:left="133" w:right="49"/>
              <w:jc w:val="both"/>
              <w:rPr>
                <w:rFonts w:ascii="Arial MT" w:hAnsi="Arial MT"/>
                <w:sz w:val="20"/>
              </w:rPr>
            </w:pPr>
            <w:r>
              <w:rPr>
                <w:i/>
                <w:sz w:val="20"/>
              </w:rPr>
              <w:t>[2006] EWCA Civ 1749, [2008] 1 W.L.R. 484 </w:t>
            </w:r>
            <w:r>
              <w:rPr>
                <w:rFonts w:ascii="Arial MT" w:hAnsi="Arial MT"/>
                <w:sz w:val="20"/>
              </w:rPr>
              <w:t>at [130]; see also at first instance </w:t>
            </w:r>
            <w:r>
              <w:rPr>
                <w:i/>
                <w:sz w:val="20"/>
              </w:rPr>
              <w:t>[2006] EWHC 401 (Ch), [2006] 2 All E.R. 1024</w:t>
            </w:r>
            <w:r>
              <w:rPr>
                <w:rFonts w:ascii="Arial MT" w:hAnsi="Arial MT"/>
                <w:sz w:val="20"/>
              </w:rPr>
              <w:t>; </w:t>
            </w:r>
            <w:r>
              <w:rPr>
                <w:i/>
                <w:sz w:val="20"/>
              </w:rPr>
              <w:t>JD Wetherspoon Plc v Ven de Berg &amp; Co Ltd [2007] </w:t>
            </w:r>
            <w:r>
              <w:rPr>
                <w:i/>
                <w:sz w:val="20"/>
              </w:rPr>
              <w:t>EWHC 1044</w:t>
            </w:r>
            <w:r>
              <w:rPr>
                <w:i/>
                <w:spacing w:val="-1"/>
                <w:sz w:val="20"/>
              </w:rPr>
              <w:t> </w:t>
            </w:r>
            <w:r>
              <w:rPr>
                <w:i/>
                <w:sz w:val="20"/>
              </w:rPr>
              <w:t>(Ch),</w:t>
            </w:r>
            <w:r>
              <w:rPr>
                <w:i/>
                <w:spacing w:val="-1"/>
                <w:sz w:val="20"/>
              </w:rPr>
              <w:t> </w:t>
            </w:r>
            <w:r>
              <w:rPr>
                <w:i/>
                <w:sz w:val="20"/>
              </w:rPr>
              <w:t>[2007]</w:t>
            </w:r>
            <w:r>
              <w:rPr>
                <w:i/>
                <w:spacing w:val="-1"/>
                <w:sz w:val="20"/>
              </w:rPr>
              <w:t> </w:t>
            </w:r>
            <w:r>
              <w:rPr>
                <w:i/>
                <w:sz w:val="20"/>
              </w:rPr>
              <w:t>P.N.L.R.</w:t>
            </w:r>
            <w:r>
              <w:rPr>
                <w:i/>
                <w:spacing w:val="-1"/>
                <w:sz w:val="20"/>
              </w:rPr>
              <w:t> </w:t>
            </w:r>
            <w:r>
              <w:rPr>
                <w:i/>
                <w:sz w:val="20"/>
              </w:rPr>
              <w:t>28</w:t>
            </w:r>
            <w:r>
              <w:rPr>
                <w:i/>
                <w:spacing w:val="-1"/>
                <w:sz w:val="20"/>
              </w:rPr>
              <w:t> </w:t>
            </w:r>
            <w:r>
              <w:rPr>
                <w:rFonts w:ascii="Arial MT" w:hAnsi="Arial MT"/>
                <w:sz w:val="20"/>
              </w:rPr>
              <w:t>at</w:t>
            </w:r>
            <w:r>
              <w:rPr>
                <w:rFonts w:ascii="Arial MT" w:hAnsi="Arial MT"/>
                <w:spacing w:val="-1"/>
                <w:sz w:val="20"/>
              </w:rPr>
              <w:t> </w:t>
            </w:r>
            <w:r>
              <w:rPr>
                <w:rFonts w:ascii="Arial MT" w:hAnsi="Arial MT"/>
                <w:sz w:val="20"/>
              </w:rPr>
              <w:t>[17]</w:t>
            </w:r>
            <w:r>
              <w:rPr>
                <w:rFonts w:ascii="Arial MT" w:hAnsi="Arial MT"/>
                <w:spacing w:val="-1"/>
                <w:sz w:val="20"/>
              </w:rPr>
              <w:t> </w:t>
            </w:r>
            <w:r>
              <w:rPr>
                <w:rFonts w:ascii="Arial MT" w:hAnsi="Arial MT"/>
                <w:sz w:val="20"/>
              </w:rPr>
              <w:t>(“may</w:t>
            </w:r>
            <w:r>
              <w:rPr>
                <w:rFonts w:ascii="Arial MT" w:hAnsi="Arial MT"/>
                <w:spacing w:val="-1"/>
                <w:sz w:val="20"/>
              </w:rPr>
              <w:t> </w:t>
            </w:r>
            <w:r>
              <w:rPr>
                <w:rFonts w:ascii="Arial MT" w:hAnsi="Arial MT"/>
                <w:sz w:val="20"/>
              </w:rPr>
              <w:t>be”</w:t>
            </w:r>
            <w:r>
              <w:rPr>
                <w:rFonts w:ascii="Arial MT" w:hAnsi="Arial MT"/>
                <w:spacing w:val="-1"/>
                <w:sz w:val="20"/>
              </w:rPr>
              <w:t> </w:t>
            </w:r>
            <w:r>
              <w:rPr>
                <w:rFonts w:ascii="Arial MT" w:hAnsi="Arial MT"/>
                <w:sz w:val="20"/>
              </w:rPr>
              <w:t>liability);</w:t>
            </w:r>
            <w:r>
              <w:rPr>
                <w:rFonts w:ascii="Arial MT" w:hAnsi="Arial MT"/>
                <w:spacing w:val="-1"/>
                <w:sz w:val="20"/>
              </w:rPr>
              <w:t> </w:t>
            </w:r>
            <w:r>
              <w:rPr>
                <w:i/>
                <w:sz w:val="20"/>
              </w:rPr>
              <w:t>Cavell</w:t>
            </w:r>
            <w:r>
              <w:rPr>
                <w:i/>
                <w:spacing w:val="-1"/>
                <w:sz w:val="20"/>
              </w:rPr>
              <w:t> </w:t>
            </w:r>
            <w:r>
              <w:rPr>
                <w:i/>
                <w:sz w:val="20"/>
              </w:rPr>
              <w:t>USA</w:t>
            </w:r>
            <w:r>
              <w:rPr>
                <w:i/>
                <w:spacing w:val="-1"/>
                <w:sz w:val="20"/>
              </w:rPr>
              <w:t> </w:t>
            </w:r>
            <w:r>
              <w:rPr>
                <w:i/>
                <w:sz w:val="20"/>
              </w:rPr>
              <w:t>Inc</w:t>
            </w:r>
            <w:r>
              <w:rPr>
                <w:i/>
                <w:spacing w:val="-1"/>
                <w:sz w:val="20"/>
              </w:rPr>
              <w:t> </w:t>
            </w:r>
            <w:r>
              <w:rPr>
                <w:i/>
                <w:sz w:val="20"/>
              </w:rPr>
              <w:t>v</w:t>
            </w:r>
            <w:r>
              <w:rPr>
                <w:i/>
                <w:spacing w:val="-1"/>
                <w:sz w:val="20"/>
              </w:rPr>
              <w:t> </w:t>
            </w:r>
            <w:r>
              <w:rPr>
                <w:i/>
                <w:sz w:val="20"/>
              </w:rPr>
              <w:t>Seaton</w:t>
            </w:r>
            <w:r>
              <w:rPr>
                <w:i/>
                <w:spacing w:val="-1"/>
                <w:sz w:val="20"/>
              </w:rPr>
              <w:t> </w:t>
            </w:r>
            <w:r>
              <w:rPr>
                <w:i/>
                <w:sz w:val="20"/>
              </w:rPr>
              <w:t>Insurance</w:t>
            </w:r>
            <w:r>
              <w:rPr>
                <w:i/>
                <w:spacing w:val="-1"/>
                <w:sz w:val="20"/>
              </w:rPr>
              <w:t> </w:t>
            </w:r>
            <w:r>
              <w:rPr>
                <w:i/>
                <w:sz w:val="20"/>
              </w:rPr>
              <w:t>Co [2008] EWHC 3043 (Comm), [2008] 2 C.L.C. 898 </w:t>
            </w:r>
            <w:r>
              <w:rPr>
                <w:rFonts w:ascii="Arial MT" w:hAnsi="Arial MT"/>
                <w:sz w:val="20"/>
              </w:rPr>
              <w:t>at [84].</w:t>
            </w:r>
          </w:p>
        </w:tc>
      </w:tr>
      <w:tr>
        <w:trPr>
          <w:trHeight w:val="344" w:hRule="atLeast"/>
        </w:trPr>
        <w:tc>
          <w:tcPr>
            <w:tcW w:w="457" w:type="dxa"/>
          </w:tcPr>
          <w:p>
            <w:pPr>
              <w:pStyle w:val="TableParagraph"/>
              <w:ind w:right="82"/>
              <w:jc w:val="center"/>
              <w:rPr>
                <w:rFonts w:ascii="Arial MT"/>
                <w:sz w:val="14"/>
              </w:rPr>
            </w:pPr>
            <w:bookmarkStart w:name="_bookmark1380" w:id="1382"/>
            <w:bookmarkEnd w:id="1382"/>
            <w:r>
              <w:rPr/>
            </w:r>
            <w:hyperlink w:history="true" w:anchor="_bookmark1358">
              <w:r>
                <w:rPr>
                  <w:rFonts w:ascii="Arial MT"/>
                  <w:color w:val="005DA1"/>
                  <w:spacing w:val="-4"/>
                  <w:sz w:val="14"/>
                  <w:u w:val="single" w:color="005DA1"/>
                </w:rPr>
                <w:t>728</w:t>
              </w:r>
            </w:hyperlink>
            <w:r>
              <w:rPr>
                <w:rFonts w:ascii="Arial MT"/>
                <w:spacing w:val="-4"/>
                <w:sz w:val="14"/>
              </w:rPr>
              <w:t>.</w:t>
            </w:r>
          </w:p>
        </w:tc>
        <w:tc>
          <w:tcPr>
            <w:tcW w:w="8659" w:type="dxa"/>
          </w:tcPr>
          <w:p>
            <w:pPr>
              <w:pStyle w:val="TableParagraph"/>
              <w:spacing w:line="210" w:lineRule="exact" w:before="114"/>
              <w:ind w:left="133"/>
              <w:rPr>
                <w:i/>
                <w:sz w:val="20"/>
              </w:rPr>
            </w:pPr>
            <w:r>
              <w:rPr>
                <w:i/>
                <w:sz w:val="20"/>
              </w:rPr>
              <w:t>Banque</w:t>
            </w:r>
            <w:r>
              <w:rPr>
                <w:i/>
                <w:spacing w:val="31"/>
                <w:sz w:val="20"/>
              </w:rPr>
              <w:t> </w:t>
            </w:r>
            <w:r>
              <w:rPr>
                <w:i/>
                <w:sz w:val="20"/>
              </w:rPr>
              <w:t>Keyser</w:t>
            </w:r>
            <w:r>
              <w:rPr>
                <w:i/>
                <w:spacing w:val="31"/>
                <w:sz w:val="20"/>
              </w:rPr>
              <w:t> </w:t>
            </w:r>
            <w:r>
              <w:rPr>
                <w:i/>
                <w:sz w:val="20"/>
              </w:rPr>
              <w:t>Ullmann</w:t>
            </w:r>
            <w:r>
              <w:rPr>
                <w:i/>
                <w:spacing w:val="31"/>
                <w:sz w:val="20"/>
              </w:rPr>
              <w:t> </w:t>
            </w:r>
            <w:r>
              <w:rPr>
                <w:i/>
                <w:sz w:val="20"/>
              </w:rPr>
              <w:t>SA</w:t>
            </w:r>
            <w:r>
              <w:rPr>
                <w:i/>
                <w:spacing w:val="31"/>
                <w:sz w:val="20"/>
              </w:rPr>
              <w:t> </w:t>
            </w:r>
            <w:r>
              <w:rPr>
                <w:i/>
                <w:sz w:val="20"/>
              </w:rPr>
              <w:t>v</w:t>
            </w:r>
            <w:r>
              <w:rPr>
                <w:i/>
                <w:spacing w:val="31"/>
                <w:sz w:val="20"/>
              </w:rPr>
              <w:t> </w:t>
            </w:r>
            <w:r>
              <w:rPr>
                <w:i/>
                <w:sz w:val="20"/>
              </w:rPr>
              <w:t>Skandia</w:t>
            </w:r>
            <w:r>
              <w:rPr>
                <w:i/>
                <w:spacing w:val="31"/>
                <w:sz w:val="20"/>
              </w:rPr>
              <w:t> </w:t>
            </w:r>
            <w:r>
              <w:rPr>
                <w:i/>
                <w:sz w:val="20"/>
              </w:rPr>
              <w:t>(UK)</w:t>
            </w:r>
            <w:r>
              <w:rPr>
                <w:i/>
                <w:spacing w:val="31"/>
                <w:sz w:val="20"/>
              </w:rPr>
              <w:t> </w:t>
            </w:r>
            <w:r>
              <w:rPr>
                <w:i/>
                <w:sz w:val="20"/>
              </w:rPr>
              <w:t>Insurance</w:t>
            </w:r>
            <w:r>
              <w:rPr>
                <w:i/>
                <w:spacing w:val="31"/>
                <w:sz w:val="20"/>
              </w:rPr>
              <w:t> </w:t>
            </w:r>
            <w:r>
              <w:rPr>
                <w:i/>
                <w:sz w:val="20"/>
              </w:rPr>
              <w:t>Co</w:t>
            </w:r>
            <w:r>
              <w:rPr>
                <w:i/>
                <w:spacing w:val="31"/>
                <w:sz w:val="20"/>
              </w:rPr>
              <w:t> </w:t>
            </w:r>
            <w:r>
              <w:rPr>
                <w:i/>
                <w:sz w:val="20"/>
              </w:rPr>
              <w:t>Ltd</w:t>
            </w:r>
            <w:r>
              <w:rPr>
                <w:i/>
                <w:spacing w:val="31"/>
                <w:sz w:val="20"/>
              </w:rPr>
              <w:t> </w:t>
            </w:r>
            <w:r>
              <w:rPr>
                <w:i/>
                <w:sz w:val="20"/>
              </w:rPr>
              <w:t>[1990]</w:t>
            </w:r>
            <w:r>
              <w:rPr>
                <w:i/>
                <w:spacing w:val="31"/>
                <w:sz w:val="20"/>
              </w:rPr>
              <w:t> </w:t>
            </w:r>
            <w:r>
              <w:rPr>
                <w:i/>
                <w:sz w:val="20"/>
              </w:rPr>
              <w:t>1</w:t>
            </w:r>
            <w:r>
              <w:rPr>
                <w:i/>
                <w:spacing w:val="31"/>
                <w:sz w:val="20"/>
              </w:rPr>
              <w:t> </w:t>
            </w:r>
            <w:r>
              <w:rPr>
                <w:i/>
                <w:sz w:val="20"/>
              </w:rPr>
              <w:t>Q.B.</w:t>
            </w:r>
            <w:r>
              <w:rPr>
                <w:i/>
                <w:spacing w:val="31"/>
                <w:sz w:val="20"/>
              </w:rPr>
              <w:t> </w:t>
            </w:r>
            <w:r>
              <w:rPr>
                <w:i/>
                <w:sz w:val="20"/>
              </w:rPr>
              <w:t>665,</w:t>
            </w:r>
            <w:r>
              <w:rPr>
                <w:i/>
                <w:spacing w:val="31"/>
                <w:sz w:val="20"/>
              </w:rPr>
              <w:t> </w:t>
            </w:r>
            <w:r>
              <w:rPr>
                <w:i/>
                <w:spacing w:val="-2"/>
                <w:sz w:val="20"/>
              </w:rPr>
              <w:t>787–789,</w:t>
            </w:r>
          </w:p>
        </w:tc>
      </w:tr>
    </w:tbl>
    <w:p>
      <w:pPr>
        <w:pStyle w:val="TableParagraph"/>
        <w:spacing w:after="0" w:line="210" w:lineRule="exact"/>
        <w:rPr>
          <w:i/>
          <w:sz w:val="20"/>
        </w:rPr>
        <w:sectPr>
          <w:type w:val="continuous"/>
          <w:pgSz w:w="11900" w:h="16840"/>
          <w:pgMar w:header="971" w:footer="0" w:top="1160" w:bottom="280" w:left="1275" w:right="1275"/>
        </w:sectPr>
      </w:pPr>
    </w:p>
    <w:p>
      <w:pPr>
        <w:pStyle w:val="BodyText"/>
        <w:spacing w:before="81"/>
      </w:pPr>
    </w:p>
    <w:p>
      <w:pPr>
        <w:spacing w:before="0"/>
        <w:ind w:left="705" w:right="0" w:firstLine="0"/>
        <w:jc w:val="left"/>
        <w:rPr>
          <w:sz w:val="20"/>
        </w:rPr>
      </w:pPr>
      <w:r>
        <w:rPr>
          <w:rFonts w:ascii="Arial" w:hAnsi="Arial"/>
          <w:i/>
          <w:sz w:val="20"/>
        </w:rPr>
        <w:t>790–805,</w:t>
      </w:r>
      <w:r>
        <w:rPr>
          <w:rFonts w:ascii="Arial" w:hAnsi="Arial"/>
          <w:i/>
          <w:spacing w:val="-1"/>
          <w:sz w:val="20"/>
        </w:rPr>
        <w:t> </w:t>
      </w:r>
      <w:r>
        <w:rPr>
          <w:rFonts w:ascii="Arial" w:hAnsi="Arial"/>
          <w:i/>
          <w:sz w:val="20"/>
        </w:rPr>
        <w:t>affirmed on other grounds [1991] 2 A.C. 249</w:t>
      </w:r>
      <w:r>
        <w:rPr>
          <w:sz w:val="20"/>
        </w:rPr>
        <w:t>. See above, para.1-</w:t>
      </w:r>
      <w:r>
        <w:rPr>
          <w:spacing w:val="-4"/>
          <w:sz w:val="20"/>
        </w:rPr>
        <w:t>162.</w:t>
      </w:r>
    </w:p>
    <w:p>
      <w:pPr>
        <w:pStyle w:val="BodyText"/>
        <w:spacing w:before="5"/>
      </w:pPr>
    </w:p>
    <w:p>
      <w:pPr>
        <w:tabs>
          <w:tab w:pos="705" w:val="left" w:leader="none"/>
        </w:tabs>
        <w:spacing w:before="0"/>
        <w:ind w:left="165" w:right="0" w:firstLine="0"/>
        <w:jc w:val="left"/>
        <w:rPr>
          <w:sz w:val="20"/>
        </w:rPr>
      </w:pPr>
      <w:bookmarkStart w:name="_bookmark1381" w:id="1383"/>
      <w:bookmarkEnd w:id="1383"/>
      <w:r>
        <w:rPr/>
      </w:r>
      <w:hyperlink w:history="true" w:anchor="_bookmark1359">
        <w:r>
          <w:rPr>
            <w:color w:val="005DA1"/>
            <w:spacing w:val="-4"/>
            <w:position w:val="5"/>
            <w:sz w:val="14"/>
            <w:u w:val="single" w:color="005DA1"/>
          </w:rPr>
          <w:t>729</w:t>
        </w:r>
      </w:hyperlink>
      <w:r>
        <w:rPr>
          <w:spacing w:val="-4"/>
          <w:position w:val="5"/>
          <w:sz w:val="14"/>
        </w:rPr>
        <w:t>.</w:t>
      </w:r>
      <w:r>
        <w:rPr>
          <w:position w:val="5"/>
          <w:sz w:val="14"/>
        </w:rPr>
        <w:tab/>
      </w:r>
      <w:r>
        <w:rPr>
          <w:rFonts w:ascii="Arial"/>
          <w:i/>
          <w:sz w:val="20"/>
        </w:rPr>
        <w:t>Banque Keyser Ullmann SA v Skandia (UK) Insurance Co Ltd [1990] 1 Q.B. 665</w:t>
      </w:r>
      <w:r>
        <w:rPr>
          <w:rFonts w:ascii="Arial"/>
          <w:i/>
          <w:spacing w:val="-1"/>
          <w:sz w:val="20"/>
        </w:rPr>
        <w:t> </w:t>
      </w:r>
      <w:r>
        <w:rPr>
          <w:sz w:val="20"/>
        </w:rPr>
        <w:t>at </w:t>
      </w:r>
      <w:r>
        <w:rPr>
          <w:spacing w:val="-4"/>
          <w:sz w:val="20"/>
        </w:rPr>
        <w:t>794.</w:t>
      </w:r>
    </w:p>
    <w:p>
      <w:pPr>
        <w:pStyle w:val="BodyText"/>
        <w:spacing w:before="5"/>
      </w:pPr>
    </w:p>
    <w:p>
      <w:pPr>
        <w:tabs>
          <w:tab w:pos="705" w:val="left" w:leader="none"/>
        </w:tabs>
        <w:spacing w:before="0"/>
        <w:ind w:left="165" w:right="0" w:firstLine="0"/>
        <w:jc w:val="left"/>
        <w:rPr>
          <w:sz w:val="20"/>
        </w:rPr>
      </w:pPr>
      <w:bookmarkStart w:name="_bookmark1382" w:id="1384"/>
      <w:bookmarkEnd w:id="1384"/>
      <w:r>
        <w:rPr/>
      </w:r>
      <w:hyperlink w:history="true" w:anchor="_bookmark1360">
        <w:r>
          <w:rPr>
            <w:color w:val="005DA1"/>
            <w:spacing w:val="-4"/>
            <w:position w:val="5"/>
            <w:sz w:val="14"/>
            <w:u w:val="single" w:color="005DA1"/>
          </w:rPr>
          <w:t>730</w:t>
        </w:r>
      </w:hyperlink>
      <w:r>
        <w:rPr>
          <w:spacing w:val="-4"/>
          <w:position w:val="5"/>
          <w:sz w:val="14"/>
        </w:rPr>
        <w:t>.</w:t>
      </w:r>
      <w:r>
        <w:rPr>
          <w:position w:val="5"/>
          <w:sz w:val="14"/>
        </w:rPr>
        <w:tab/>
      </w:r>
      <w:r>
        <w:rPr>
          <w:sz w:val="20"/>
        </w:rPr>
        <w:t>See above, </w:t>
      </w:r>
      <w:r>
        <w:rPr>
          <w:spacing w:val="-2"/>
          <w:sz w:val="20"/>
        </w:rPr>
        <w:t>n.705.</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bookmarkStart w:name="_bookmark1383" w:id="1385"/>
      <w:bookmarkEnd w:id="1385"/>
      <w:r>
        <w:rPr/>
      </w:r>
      <w:hyperlink w:history="true" w:anchor="_bookmark1361">
        <w:r>
          <w:rPr>
            <w:color w:val="005DA1"/>
            <w:spacing w:val="-4"/>
            <w:sz w:val="14"/>
            <w:u w:val="single" w:color="005DA1"/>
          </w:rPr>
          <w:t>731</w:t>
        </w:r>
      </w:hyperlink>
      <w:r>
        <w:rPr>
          <w:spacing w:val="-4"/>
          <w:sz w:val="14"/>
        </w:rPr>
        <w:t>.</w:t>
      </w:r>
    </w:p>
    <w:p>
      <w:pPr>
        <w:pStyle w:val="BodyText"/>
        <w:spacing w:line="227" w:lineRule="exact" w:before="208"/>
        <w:ind w:left="335"/>
        <w:jc w:val="both"/>
      </w:pPr>
      <w:r>
        <w:rPr/>
        <w:br w:type="column"/>
      </w:r>
      <w:r>
        <w:rPr/>
        <w:t>Liability</w:t>
      </w:r>
      <w:r>
        <w:rPr>
          <w:spacing w:val="28"/>
        </w:rPr>
        <w:t> </w:t>
      </w:r>
      <w:r>
        <w:rPr/>
        <w:t>in</w:t>
      </w:r>
      <w:r>
        <w:rPr>
          <w:spacing w:val="28"/>
        </w:rPr>
        <w:t> </w:t>
      </w:r>
      <w:r>
        <w:rPr/>
        <w:t>damages</w:t>
      </w:r>
      <w:r>
        <w:rPr>
          <w:spacing w:val="28"/>
        </w:rPr>
        <w:t> </w:t>
      </w:r>
      <w:r>
        <w:rPr/>
        <w:t>for</w:t>
      </w:r>
      <w:r>
        <w:rPr>
          <w:spacing w:val="28"/>
        </w:rPr>
        <w:t> </w:t>
      </w:r>
      <w:r>
        <w:rPr/>
        <w:t>fraudulent</w:t>
      </w:r>
      <w:r>
        <w:rPr>
          <w:spacing w:val="28"/>
        </w:rPr>
        <w:t> </w:t>
      </w:r>
      <w:r>
        <w:rPr/>
        <w:t>non-disclosure</w:t>
      </w:r>
      <w:r>
        <w:rPr>
          <w:spacing w:val="28"/>
        </w:rPr>
        <w:t> </w:t>
      </w:r>
      <w:r>
        <w:rPr/>
        <w:t>had</w:t>
      </w:r>
      <w:r>
        <w:rPr>
          <w:spacing w:val="28"/>
        </w:rPr>
        <w:t> </w:t>
      </w:r>
      <w:r>
        <w:rPr/>
        <w:t>been</w:t>
      </w:r>
      <w:r>
        <w:rPr>
          <w:spacing w:val="28"/>
        </w:rPr>
        <w:t> </w:t>
      </w:r>
      <w:r>
        <w:rPr/>
        <w:t>mooted</w:t>
      </w:r>
      <w:r>
        <w:rPr>
          <w:spacing w:val="28"/>
        </w:rPr>
        <w:t> </w:t>
      </w:r>
      <w:r>
        <w:rPr/>
        <w:t>as</w:t>
      </w:r>
      <w:r>
        <w:rPr>
          <w:spacing w:val="28"/>
        </w:rPr>
        <w:t> </w:t>
      </w:r>
      <w:r>
        <w:rPr/>
        <w:t>a</w:t>
      </w:r>
      <w:r>
        <w:rPr>
          <w:spacing w:val="28"/>
        </w:rPr>
        <w:t> </w:t>
      </w:r>
      <w:r>
        <w:rPr/>
        <w:t>possibility</w:t>
      </w:r>
      <w:r>
        <w:rPr>
          <w:spacing w:val="28"/>
        </w:rPr>
        <w:t> </w:t>
      </w:r>
      <w:r>
        <w:rPr/>
        <w:t>by</w:t>
      </w:r>
      <w:r>
        <w:rPr>
          <w:spacing w:val="28"/>
        </w:rPr>
        <w:t> </w:t>
      </w:r>
      <w:r>
        <w:rPr>
          <w:spacing w:val="-5"/>
        </w:rPr>
        <w:t>Rix</w:t>
      </w:r>
    </w:p>
    <w:p>
      <w:pPr>
        <w:spacing w:line="235" w:lineRule="auto" w:before="1"/>
        <w:ind w:left="165" w:right="167" w:firstLine="0"/>
        <w:jc w:val="both"/>
        <w:rPr>
          <w:sz w:val="20"/>
        </w:rPr>
      </w:pPr>
      <w:r>
        <w:rPr>
          <w:sz w:val="20"/>
        </w:rPr>
        <w:drawing>
          <wp:anchor distT="0" distB="0" distL="0" distR="0" allowOverlap="1" layoutInCell="1" locked="0" behindDoc="0" simplePos="0" relativeHeight="15790592">
            <wp:simplePos x="0" y="0"/>
            <wp:positionH relativeFrom="page">
              <wp:posOffset>1257846</wp:posOffset>
            </wp:positionH>
            <wp:positionV relativeFrom="paragraph">
              <wp:posOffset>-116298</wp:posOffset>
            </wp:positionV>
            <wp:extent cx="107988" cy="107988"/>
            <wp:effectExtent l="0" t="0" r="0" b="0"/>
            <wp:wrapNone/>
            <wp:docPr id="257" name="Image 257"/>
            <wp:cNvGraphicFramePr>
              <a:graphicFrameLocks/>
            </wp:cNvGraphicFramePr>
            <a:graphic>
              <a:graphicData uri="http://schemas.openxmlformats.org/drawingml/2006/picture">
                <pic:pic>
                  <pic:nvPicPr>
                    <pic:cNvPr id="257" name="Image 257"/>
                    <pic:cNvPicPr/>
                  </pic:nvPicPr>
                  <pic:blipFill>
                    <a:blip r:embed="rId6" cstate="print"/>
                    <a:stretch>
                      <a:fillRect/>
                    </a:stretch>
                  </pic:blipFill>
                  <pic:spPr>
                    <a:xfrm>
                      <a:off x="0" y="0"/>
                      <a:ext cx="107988" cy="107988"/>
                    </a:xfrm>
                    <a:prstGeom prst="rect">
                      <a:avLst/>
                    </a:prstGeom>
                  </pic:spPr>
                </pic:pic>
              </a:graphicData>
            </a:graphic>
          </wp:anchor>
        </w:drawing>
      </w:r>
      <w:r>
        <w:rPr>
          <w:sz w:val="20"/>
        </w:rPr>
        <w:t>L.J.</w:t>
      </w:r>
      <w:r>
        <w:rPr>
          <w:spacing w:val="-2"/>
          <w:sz w:val="20"/>
        </w:rPr>
        <w:t> </w:t>
      </w:r>
      <w:r>
        <w:rPr>
          <w:sz w:val="20"/>
        </w:rPr>
        <w:t>in</w:t>
      </w:r>
      <w:r>
        <w:rPr>
          <w:spacing w:val="-2"/>
          <w:sz w:val="20"/>
        </w:rPr>
        <w:t> </w:t>
      </w:r>
      <w:r>
        <w:rPr>
          <w:rFonts w:ascii="Arial" w:hAnsi="Arial"/>
          <w:i/>
          <w:sz w:val="20"/>
        </w:rPr>
        <w:t>HIH</w:t>
      </w:r>
      <w:r>
        <w:rPr>
          <w:rFonts w:ascii="Arial" w:hAnsi="Arial"/>
          <w:i/>
          <w:spacing w:val="-2"/>
          <w:sz w:val="20"/>
        </w:rPr>
        <w:t> </w:t>
      </w:r>
      <w:r>
        <w:rPr>
          <w:rFonts w:ascii="Arial" w:hAnsi="Arial"/>
          <w:i/>
          <w:sz w:val="20"/>
        </w:rPr>
        <w:t>Casualty</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General</w:t>
      </w:r>
      <w:r>
        <w:rPr>
          <w:rFonts w:ascii="Arial" w:hAnsi="Arial"/>
          <w:i/>
          <w:spacing w:val="-2"/>
          <w:sz w:val="20"/>
        </w:rPr>
        <w:t> </w:t>
      </w:r>
      <w:r>
        <w:rPr>
          <w:rFonts w:ascii="Arial" w:hAnsi="Arial"/>
          <w:i/>
          <w:sz w:val="20"/>
        </w:rPr>
        <w:t>Insurance</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Chase</w:t>
      </w:r>
      <w:r>
        <w:rPr>
          <w:rFonts w:ascii="Arial" w:hAnsi="Arial"/>
          <w:i/>
          <w:spacing w:val="-2"/>
          <w:sz w:val="20"/>
        </w:rPr>
        <w:t> </w:t>
      </w:r>
      <w:r>
        <w:rPr>
          <w:rFonts w:ascii="Arial" w:hAnsi="Arial"/>
          <w:i/>
          <w:sz w:val="20"/>
        </w:rPr>
        <w:t>Manhattan</w:t>
      </w:r>
      <w:r>
        <w:rPr>
          <w:rFonts w:ascii="Arial" w:hAnsi="Arial"/>
          <w:i/>
          <w:spacing w:val="-2"/>
          <w:sz w:val="20"/>
        </w:rPr>
        <w:t> </w:t>
      </w:r>
      <w:r>
        <w:rPr>
          <w:rFonts w:ascii="Arial" w:hAnsi="Arial"/>
          <w:i/>
          <w:sz w:val="20"/>
        </w:rPr>
        <w:t>Bank</w:t>
      </w:r>
      <w:r>
        <w:rPr>
          <w:rFonts w:ascii="Arial" w:hAnsi="Arial"/>
          <w:i/>
          <w:spacing w:val="-2"/>
          <w:sz w:val="20"/>
        </w:rPr>
        <w:t> </w:t>
      </w:r>
      <w:r>
        <w:rPr>
          <w:rFonts w:ascii="Arial" w:hAnsi="Arial"/>
          <w:i/>
          <w:sz w:val="20"/>
        </w:rPr>
        <w:t>[2001]</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1250, [2001] 2 Lloyd’s Rep. 483 </w:t>
      </w:r>
      <w:r>
        <w:rPr>
          <w:sz w:val="20"/>
        </w:rPr>
        <w:t>at [48], [164] and [168] but the point was neither argued nor decided. In the House of Lords, Lord Bingham did say that the deliberate withholding of information</w:t>
      </w:r>
      <w:r>
        <w:rPr>
          <w:spacing w:val="40"/>
          <w:sz w:val="20"/>
        </w:rPr>
        <w:t> </w:t>
      </w:r>
      <w:r>
        <w:rPr>
          <w:sz w:val="20"/>
        </w:rPr>
        <w:t>which the person knows or believes to be material, if done dishonestly or recklessly, </w:t>
      </w:r>
      <w:r>
        <w:rPr>
          <w:sz w:val="20"/>
        </w:rPr>
        <w:t>may amount to a fraudulent misrepresentation: </w:t>
      </w:r>
      <w:r>
        <w:rPr>
          <w:rFonts w:ascii="Arial" w:hAnsi="Arial"/>
          <w:i/>
          <w:sz w:val="20"/>
        </w:rPr>
        <w:t>[2003] UKHL 6, [2003] 2 Lloyd’s Rep. 61 </w:t>
      </w:r>
      <w:r>
        <w:rPr>
          <w:sz w:val="20"/>
        </w:rPr>
        <w:t>at [21]. However this appears to refer to cases where in the circumstances a failure to disclose</w:t>
      </w:r>
      <w:r>
        <w:rPr>
          <w:spacing w:val="40"/>
          <w:sz w:val="20"/>
        </w:rPr>
        <w:t> </w:t>
      </w:r>
      <w:r>
        <w:rPr>
          <w:sz w:val="20"/>
        </w:rPr>
        <w:t>amounts to a positive misrepresentation, and it is not clear that Lord Bingham thought this included every case of a duty to disclose. Lord Hoffmann said that “non-disclosure (whether dishonest or otherwise) does not as such give rise to a claim in damages” (at [75]); he </w:t>
      </w:r>
      <w:r>
        <w:rPr>
          <w:sz w:val="20"/>
        </w:rPr>
        <w:t>referred to</w:t>
      </w:r>
      <w:r>
        <w:rPr>
          <w:spacing w:val="-1"/>
          <w:sz w:val="20"/>
        </w:rPr>
        <w:t> </w:t>
      </w:r>
      <w:r>
        <w:rPr>
          <w:sz w:val="20"/>
        </w:rPr>
        <w:t>the</w:t>
      </w:r>
      <w:r>
        <w:rPr>
          <w:spacing w:val="-1"/>
          <w:sz w:val="20"/>
        </w:rPr>
        <w:t> </w:t>
      </w:r>
      <w:r>
        <w:rPr>
          <w:sz w:val="20"/>
        </w:rPr>
        <w:t>judgments</w:t>
      </w:r>
      <w:r>
        <w:rPr>
          <w:spacing w:val="-1"/>
          <w:sz w:val="20"/>
        </w:rPr>
        <w:t> </w:t>
      </w:r>
      <w:r>
        <w:rPr>
          <w:sz w:val="20"/>
        </w:rPr>
        <w:t>in</w:t>
      </w:r>
      <w:r>
        <w:rPr>
          <w:spacing w:val="-1"/>
          <w:sz w:val="20"/>
        </w:rPr>
        <w:t> </w:t>
      </w:r>
      <w:r>
        <w:rPr>
          <w:rFonts w:ascii="Arial" w:hAnsi="Arial"/>
          <w:i/>
          <w:sz w:val="20"/>
        </w:rPr>
        <w:t>Banque</w:t>
      </w:r>
      <w:r>
        <w:rPr>
          <w:rFonts w:ascii="Arial" w:hAnsi="Arial"/>
          <w:i/>
          <w:spacing w:val="-1"/>
          <w:sz w:val="20"/>
        </w:rPr>
        <w:t> </w:t>
      </w:r>
      <w:r>
        <w:rPr>
          <w:rFonts w:ascii="Arial" w:hAnsi="Arial"/>
          <w:i/>
          <w:sz w:val="20"/>
        </w:rPr>
        <w:t>Keyser</w:t>
      </w:r>
      <w:r>
        <w:rPr>
          <w:rFonts w:ascii="Arial" w:hAnsi="Arial"/>
          <w:i/>
          <w:spacing w:val="-1"/>
          <w:sz w:val="20"/>
        </w:rPr>
        <w:t> </w:t>
      </w:r>
      <w:r>
        <w:rPr>
          <w:rFonts w:ascii="Arial" w:hAnsi="Arial"/>
          <w:i/>
          <w:sz w:val="20"/>
        </w:rPr>
        <w:t>Ullmann</w:t>
      </w:r>
      <w:r>
        <w:rPr>
          <w:rFonts w:ascii="Arial" w:hAnsi="Arial"/>
          <w:i/>
          <w:spacing w:val="-1"/>
          <w:sz w:val="20"/>
        </w:rPr>
        <w:t> </w:t>
      </w:r>
      <w:r>
        <w:rPr>
          <w:rFonts w:ascii="Arial" w:hAnsi="Arial"/>
          <w:i/>
          <w:sz w:val="20"/>
        </w:rPr>
        <w:t>SA</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Skandia</w:t>
      </w:r>
      <w:r>
        <w:rPr>
          <w:rFonts w:ascii="Arial" w:hAnsi="Arial"/>
          <w:i/>
          <w:spacing w:val="-1"/>
          <w:sz w:val="20"/>
        </w:rPr>
        <w:t> </w:t>
      </w:r>
      <w:r>
        <w:rPr>
          <w:rFonts w:ascii="Arial" w:hAnsi="Arial"/>
          <w:i/>
          <w:sz w:val="20"/>
        </w:rPr>
        <w:t>(UK)</w:t>
      </w:r>
      <w:r>
        <w:rPr>
          <w:rFonts w:ascii="Arial" w:hAnsi="Arial"/>
          <w:i/>
          <w:spacing w:val="-1"/>
          <w:sz w:val="20"/>
        </w:rPr>
        <w:t> </w:t>
      </w:r>
      <w:r>
        <w:rPr>
          <w:rFonts w:ascii="Arial" w:hAnsi="Arial"/>
          <w:i/>
          <w:sz w:val="20"/>
        </w:rPr>
        <w:t>Insurance</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[1990]</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Q.B. 665, 777–781 and 788 </w:t>
      </w:r>
      <w:r>
        <w:rPr>
          <w:sz w:val="20"/>
        </w:rPr>
        <w:t>(“without a misrepresentation there can be no fraud in the sense </w:t>
      </w:r>
      <w:r>
        <w:rPr>
          <w:sz w:val="20"/>
        </w:rPr>
        <w:t>of giving rise to a claim for damages in tort”) and </w:t>
      </w:r>
      <w:r>
        <w:rPr>
          <w:rFonts w:ascii="Arial" w:hAnsi="Arial"/>
          <w:i/>
          <w:sz w:val="20"/>
        </w:rPr>
        <w:t>[1991] 2 A.C. 249 </w:t>
      </w:r>
      <w:r>
        <w:rPr>
          <w:sz w:val="20"/>
        </w:rPr>
        <w:t>at 280 (per Lord </w:t>
      </w:r>
      <w:r>
        <w:rPr>
          <w:sz w:val="20"/>
        </w:rPr>
        <w:t>Templeman) and at 281 (per Lord Jauncey of Tullichettle). Moreover, in </w:t>
      </w:r>
      <w:r>
        <w:rPr>
          <w:rFonts w:ascii="Arial" w:hAnsi="Arial"/>
          <w:i/>
          <w:sz w:val="20"/>
        </w:rPr>
        <w:t>Manifest Shipping Co v Uni-Polaris Insurance</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The</w:t>
      </w:r>
      <w:r>
        <w:rPr>
          <w:rFonts w:ascii="Arial" w:hAnsi="Arial"/>
          <w:i/>
          <w:spacing w:val="-2"/>
          <w:sz w:val="20"/>
        </w:rPr>
        <w:t> </w:t>
      </w:r>
      <w:r>
        <w:rPr>
          <w:rFonts w:ascii="Arial" w:hAnsi="Arial"/>
          <w:i/>
          <w:sz w:val="20"/>
        </w:rPr>
        <w:t>Star</w:t>
      </w:r>
      <w:r>
        <w:rPr>
          <w:rFonts w:ascii="Arial" w:hAnsi="Arial"/>
          <w:i/>
          <w:spacing w:val="-2"/>
          <w:sz w:val="20"/>
        </w:rPr>
        <w:t> </w:t>
      </w:r>
      <w:r>
        <w:rPr>
          <w:rFonts w:ascii="Arial" w:hAnsi="Arial"/>
          <w:i/>
          <w:sz w:val="20"/>
        </w:rPr>
        <w:t>Sea</w:t>
      </w:r>
      <w:r>
        <w:rPr>
          <w:rFonts w:ascii="Arial" w:hAnsi="Arial"/>
          <w:i/>
          <w:spacing w:val="-2"/>
          <w:sz w:val="20"/>
        </w:rPr>
        <w:t> </w:t>
      </w:r>
      <w:r>
        <w:rPr>
          <w:rFonts w:ascii="Arial" w:hAnsi="Arial"/>
          <w:i/>
          <w:sz w:val="20"/>
        </w:rPr>
        <w:t>[2001]</w:t>
      </w:r>
      <w:r>
        <w:rPr>
          <w:rFonts w:ascii="Arial" w:hAnsi="Arial"/>
          <w:i/>
          <w:spacing w:val="-2"/>
          <w:sz w:val="20"/>
        </w:rPr>
        <w:t> </w:t>
      </w:r>
      <w:r>
        <w:rPr>
          <w:rFonts w:ascii="Arial" w:hAnsi="Arial"/>
          <w:i/>
          <w:sz w:val="20"/>
        </w:rPr>
        <w:t>UKHL</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[2003]</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A.C.</w:t>
      </w:r>
      <w:r>
        <w:rPr>
          <w:rFonts w:ascii="Arial" w:hAnsi="Arial"/>
          <w:i/>
          <w:spacing w:val="-2"/>
          <w:sz w:val="20"/>
        </w:rPr>
        <w:t> </w:t>
      </w:r>
      <w:r>
        <w:rPr>
          <w:rFonts w:ascii="Arial" w:hAnsi="Arial"/>
          <w:i/>
          <w:sz w:val="20"/>
        </w:rPr>
        <w:t>469</w:t>
      </w:r>
      <w:r>
        <w:rPr>
          <w:rFonts w:ascii="Arial" w:hAnsi="Arial"/>
          <w:i/>
          <w:spacing w:val="-2"/>
          <w:sz w:val="20"/>
        </w:rPr>
        <w:t> </w:t>
      </w:r>
      <w:r>
        <w:rPr>
          <w:sz w:val="20"/>
        </w:rPr>
        <w:t>at</w:t>
      </w:r>
      <w:r>
        <w:rPr>
          <w:spacing w:val="-2"/>
          <w:sz w:val="20"/>
        </w:rPr>
        <w:t> </w:t>
      </w:r>
      <w:r>
        <w:rPr>
          <w:sz w:val="20"/>
        </w:rPr>
        <w:t>[46],</w:t>
      </w:r>
      <w:r>
        <w:rPr>
          <w:spacing w:val="-2"/>
          <w:sz w:val="20"/>
        </w:rPr>
        <w:t> </w:t>
      </w:r>
      <w:r>
        <w:rPr>
          <w:sz w:val="20"/>
        </w:rPr>
        <w:t>Lord</w:t>
      </w:r>
      <w:r>
        <w:rPr>
          <w:spacing w:val="-2"/>
          <w:sz w:val="20"/>
        </w:rPr>
        <w:t> </w:t>
      </w:r>
      <w:r>
        <w:rPr>
          <w:sz w:val="20"/>
        </w:rPr>
        <w:t>Hobhouse</w:t>
      </w:r>
      <w:r>
        <w:rPr>
          <w:spacing w:val="-2"/>
          <w:sz w:val="20"/>
        </w:rPr>
        <w:t> </w:t>
      </w:r>
      <w:r>
        <w:rPr>
          <w:sz w:val="20"/>
        </w:rPr>
        <w:t>regarded the </w:t>
      </w:r>
      <w:r>
        <w:rPr>
          <w:rFonts w:ascii="Arial" w:hAnsi="Arial"/>
          <w:i/>
          <w:sz w:val="20"/>
        </w:rPr>
        <w:t>Banque Keyser Ullman </w:t>
      </w:r>
      <w:r>
        <w:rPr>
          <w:sz w:val="20"/>
        </w:rPr>
        <w:t>case as deciding authoritatively that a breach of duty to </w:t>
      </w:r>
      <w:r>
        <w:rPr>
          <w:sz w:val="20"/>
        </w:rPr>
        <w:t>disclose does not give rise to damages. Damages may be recovered in tort for deceit but </w:t>
      </w:r>
      <w:r>
        <w:rPr>
          <w:sz w:val="20"/>
        </w:rPr>
        <w:t>even</w:t>
      </w:r>
      <w:r>
        <w:rPr>
          <w:spacing w:val="40"/>
          <w:sz w:val="20"/>
        </w:rPr>
        <w:t> </w:t>
      </w:r>
      <w:r>
        <w:rPr>
          <w:sz w:val="20"/>
        </w:rPr>
        <w:t>deliberate non-disclosure does not give rise to an action for deceit. See Clerk &amp; Lindsell </w:t>
      </w:r>
      <w:r>
        <w:rPr>
          <w:sz w:val="20"/>
        </w:rPr>
        <w:t>on Torts, 21st edn (2014), para.18-09; Cartwright, </w:t>
      </w:r>
      <w:r>
        <w:rPr>
          <w:rFonts w:ascii="Arial" w:hAnsi="Arial"/>
          <w:i/>
          <w:sz w:val="20"/>
        </w:rPr>
        <w:t>Misrepresentation, Mistake and Non-disclosure</w:t>
      </w:r>
      <w:r>
        <w:rPr>
          <w:sz w:val="20"/>
        </w:rPr>
        <w:t>, 4th edn (2016), para.17-37.</w:t>
      </w:r>
    </w:p>
    <w:p>
      <w:pPr>
        <w:pStyle w:val="BodyText"/>
        <w:spacing w:before="186"/>
      </w:pPr>
    </w:p>
    <w:p>
      <w:pPr>
        <w:spacing w:before="1"/>
        <w:ind w:left="0" w:right="544"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160" w:bottom="280" w:left="1275" w:right="1275"/>
          <w:cols w:num="2" w:equalWidth="0">
            <w:col w:w="478" w:space="63"/>
            <w:col w:w="8809"/>
          </w:cols>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539" w:right="2543"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3924992">
                <wp:simplePos x="0" y="0"/>
                <wp:positionH relativeFrom="page">
                  <wp:posOffset>4851958</wp:posOffset>
                </wp:positionH>
                <wp:positionV relativeFrom="paragraph">
                  <wp:posOffset>377436</wp:posOffset>
                </wp:positionV>
                <wp:extent cx="42545" cy="127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391488" from="382.044006pt,29.719406pt" to="385.380006pt,29.719406pt" stroked="true" strokeweight=".428pt" strokecolor="#005da1">
                <v:stroke dashstyle="solid"/>
                <w10:wrap type="none"/>
              </v:line>
            </w:pict>
          </mc:Fallback>
        </mc:AlternateContent>
      </w:r>
      <w:r>
        <w:rPr>
          <w:rFonts w:ascii="Arial"/>
          <w:b/>
          <w:sz w:val="24"/>
        </w:rPr>
        <w:t>Part 2 - Formation of Contract Chapter 7 - Misrepresentation</w:t>
      </w:r>
      <w:r>
        <w:rPr>
          <w:rFonts w:ascii="Arial"/>
          <w:b/>
          <w:spacing w:val="-1"/>
          <w:sz w:val="24"/>
        </w:rPr>
        <w:t> </w:t>
      </w:r>
      <w:r>
        <w:rPr>
          <w:rFonts w:ascii="Arial"/>
          <w:b/>
          <w:color w:val="005DA1"/>
          <w:spacing w:val="-10"/>
          <w:position w:val="11"/>
          <w:sz w:val="12"/>
        </w:rPr>
        <w:t>1</w:t>
      </w:r>
    </w:p>
    <w:p>
      <w:pPr>
        <w:spacing w:before="2"/>
        <w:ind w:left="940" w:right="943" w:firstLine="0"/>
        <w:jc w:val="center"/>
        <w:rPr>
          <w:rFonts w:ascii="Arial"/>
          <w:b/>
          <w:sz w:val="24"/>
        </w:rPr>
      </w:pPr>
      <w:r>
        <w:rPr>
          <w:rFonts w:ascii="Arial"/>
          <w:b/>
          <w:sz w:val="24"/>
        </w:rPr>
        <w:t>Section 6. - Contracts where a duty of </w:t>
      </w:r>
      <w:r>
        <w:rPr>
          <w:rFonts w:ascii="Arial"/>
          <w:b/>
          <w:spacing w:val="-2"/>
          <w:sz w:val="24"/>
        </w:rPr>
        <w:t>disclosure</w:t>
      </w:r>
    </w:p>
    <w:p>
      <w:pPr>
        <w:spacing w:before="194"/>
        <w:ind w:left="3851" w:right="0" w:firstLine="0"/>
        <w:jc w:val="left"/>
        <w:rPr>
          <w:rFonts w:ascii="Arial"/>
          <w:b/>
          <w:sz w:val="24"/>
        </w:rPr>
      </w:pPr>
      <w:r>
        <w:rPr>
          <w:rFonts w:ascii="Arial"/>
          <w:b/>
          <w:sz w:val="24"/>
        </w:rPr>
        <w:t>(a) - </w:t>
      </w:r>
      <w:r>
        <w:rPr>
          <w:rFonts w:ascii="Arial"/>
          <w:b/>
          <w:spacing w:val="-2"/>
          <w:sz w:val="24"/>
        </w:rPr>
        <w:t>Insurance</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bookmarkStart w:name="_bookmark1384" w:id="1386"/>
      <w:bookmarkEnd w:id="1386"/>
      <w:r>
        <w:rPr/>
      </w:r>
      <w:r>
        <w:rPr>
          <w:rFonts w:ascii="Arial"/>
          <w:b/>
          <w:sz w:val="18"/>
        </w:rPr>
        <w:t>Contracts of insurance</w:t>
      </w:r>
      <w:r>
        <w:rPr>
          <w:rFonts w:ascii="Arial"/>
          <w:b/>
          <w:spacing w:val="-1"/>
          <w:sz w:val="18"/>
        </w:rPr>
        <w:t> </w:t>
      </w:r>
      <w:r>
        <w:rPr>
          <w:rFonts w:ascii="Arial"/>
          <w:b/>
          <w:color w:val="005DA1"/>
          <w:spacing w:val="-5"/>
          <w:sz w:val="18"/>
          <w:u w:val="single" w:color="005DA1"/>
          <w:vertAlign w:val="superscript"/>
        </w:rPr>
        <w:t>732</w:t>
      </w:r>
    </w:p>
    <w:p>
      <w:pPr>
        <w:pStyle w:val="BodyText"/>
        <w:spacing w:before="41"/>
        <w:rPr>
          <w:rFonts w:ascii="Arial"/>
          <w:b/>
          <w:sz w:val="18"/>
        </w:rPr>
      </w:pPr>
    </w:p>
    <w:p>
      <w:pPr>
        <w:pStyle w:val="Heading2"/>
        <w:ind w:left="164"/>
      </w:pPr>
      <w:r>
        <w:rPr/>
        <w:t>7-</w:t>
      </w:r>
      <w:r>
        <w:rPr>
          <w:spacing w:val="-5"/>
        </w:rPr>
        <w:t>157</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260" name="Image 260"/>
            <wp:cNvGraphicFramePr>
              <a:graphicFrameLocks/>
            </wp:cNvGraphicFramePr>
            <a:graphic>
              <a:graphicData uri="http://schemas.openxmlformats.org/drawingml/2006/picture">
                <pic:pic>
                  <pic:nvPicPr>
                    <pic:cNvPr id="260" name="Image 26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 traditional position is that, as a matter of law, all of these are uberrimae fidei, whatever </w:t>
      </w:r>
      <w:r>
        <w:rPr/>
        <w:t>their subject matter, that is whether they relate to marine, fire, life or burglary insurance, or to any other risk. Marine insurance is governed by the Marine Insurance Act 1906, which codified the existing law. </w:t>
      </w:r>
      <w:bookmarkStart w:name="_bookmark1385" w:id="1387"/>
      <w:bookmarkEnd w:id="1387"/>
      <w:r>
        <w:rPr/>
        <w:t>Non</w:t>
      </w:r>
      <w:r>
        <w:rPr/>
        <w:t>-marine insurance is subject to the common law. It is thought to be contrary to good faith to </w:t>
      </w:r>
      <w:bookmarkStart w:name="_bookmark1386" w:id="1388"/>
      <w:bookmarkEnd w:id="1388"/>
      <w:r>
        <w:rPr/>
        <w:t>withhold</w:t>
      </w:r>
      <w:r>
        <w:rPr/>
        <w:t> material facts from the insurer. </w:t>
      </w:r>
      <w:r>
        <w:rPr>
          <w:color w:val="005DA1"/>
          <w:u w:val="single" w:color="005DA1"/>
          <w:vertAlign w:val="superscript"/>
        </w:rPr>
        <w:t>733</w:t>
      </w:r>
      <w:r>
        <w:rPr>
          <w:color w:val="005DA1"/>
          <w:vertAlign w:val="baseline"/>
        </w:rPr>
        <w:t> </w:t>
      </w:r>
      <w:r>
        <w:rPr>
          <w:vertAlign w:val="baseline"/>
        </w:rPr>
        <w:t>Such facts are generally known only to the assured, and he is therefore under a duty to disclose them. </w:t>
      </w:r>
      <w:r>
        <w:rPr>
          <w:color w:val="005DA1"/>
          <w:u w:val="single" w:color="005DA1"/>
          <w:vertAlign w:val="superscript"/>
        </w:rPr>
        <w:t>734</w:t>
      </w:r>
      <w:r>
        <w:rPr>
          <w:color w:val="005DA1"/>
          <w:vertAlign w:val="baseline"/>
        </w:rPr>
        <w:t> </w:t>
      </w:r>
      <w:r>
        <w:rPr>
          <w:vertAlign w:val="baseline"/>
        </w:rPr>
        <w:t>However, the traditional rules no longer apply to consumer insurance as the result of the Consumer Insurance (Disclosure and Representations) Act </w:t>
      </w:r>
      <w:bookmarkStart w:name="_bookmark1387" w:id="1389"/>
      <w:bookmarkEnd w:id="1389"/>
      <w:r>
        <w:rPr>
          <w:vertAlign w:val="baseline"/>
        </w:rPr>
        <w:t>2012;</w:t>
      </w:r>
      <w:r>
        <w:rPr>
          <w:vertAlign w:val="baseline"/>
        </w:rPr>
        <w:t> and will no longer apply to contracts for other classes of insurance made after the Insurance</w:t>
      </w:r>
      <w:r>
        <w:rPr>
          <w:spacing w:val="40"/>
          <w:vertAlign w:val="baseline"/>
        </w:rPr>
        <w:t> </w:t>
      </w:r>
      <w:r>
        <w:rPr>
          <w:vertAlign w:val="baseline"/>
        </w:rPr>
        <w:t>Act 2015 comes into force in August 2016. </w:t>
      </w:r>
      <w:r>
        <w:rPr>
          <w:color w:val="005DA1"/>
          <w:u w:val="single" w:color="005DA1"/>
          <w:vertAlign w:val="superscript"/>
        </w:rPr>
        <w:t>735</w:t>
      </w:r>
      <w:r>
        <w:rPr>
          <w:color w:val="005DA1"/>
          <w:vertAlign w:val="baseline"/>
        </w:rPr>
        <w:t> </w:t>
      </w:r>
      <w:r>
        <w:rPr>
          <w:vertAlign w:val="baseline"/>
        </w:rPr>
        <w:t>Note that the Insurance Act 2015 came into force and the Marine Insurance Act 1906 was repealed in August 2016.</w:t>
      </w:r>
    </w:p>
    <w:p>
      <w:pPr>
        <w:pStyle w:val="BodyText"/>
      </w:pPr>
    </w:p>
    <w:p>
      <w:pPr>
        <w:pStyle w:val="BodyText"/>
        <w:spacing w:before="34"/>
      </w:pPr>
    </w:p>
    <w:p>
      <w:pPr>
        <w:spacing w:before="1"/>
        <w:ind w:left="165" w:right="0" w:firstLine="0"/>
        <w:jc w:val="both"/>
        <w:rPr>
          <w:rFonts w:ascii="Arial"/>
          <w:b/>
          <w:sz w:val="18"/>
        </w:rPr>
      </w:pPr>
      <w:r>
        <w:rPr>
          <w:rFonts w:ascii="Arial"/>
          <w:b/>
          <w:sz w:val="18"/>
        </w:rPr>
        <w:t>Consumer </w:t>
      </w:r>
      <w:r>
        <w:rPr>
          <w:rFonts w:ascii="Arial"/>
          <w:b/>
          <w:spacing w:val="-2"/>
          <w:sz w:val="18"/>
        </w:rPr>
        <w:t>insurance</w:t>
      </w:r>
    </w:p>
    <w:p>
      <w:pPr>
        <w:pStyle w:val="BodyText"/>
        <w:spacing w:before="41"/>
        <w:rPr>
          <w:rFonts w:ascii="Arial"/>
          <w:b/>
          <w:sz w:val="18"/>
        </w:rPr>
      </w:pPr>
    </w:p>
    <w:p>
      <w:pPr>
        <w:pStyle w:val="Heading2"/>
      </w:pPr>
      <w:r>
        <w:rPr/>
        <w:t>7-</w:t>
      </w:r>
      <w:r>
        <w:rPr>
          <w:spacing w:val="-5"/>
        </w:rPr>
        <w:t>158</w:t>
      </w:r>
    </w:p>
    <w:p>
      <w:pPr>
        <w:pStyle w:val="BodyText"/>
        <w:spacing w:line="235" w:lineRule="auto" w:before="203"/>
        <w:ind w:left="164" w:right="167"/>
        <w:jc w:val="both"/>
      </w:pPr>
      <w:r>
        <w:rPr/>
        <w:t>In practice the duty of disclosure has for some time had a very limited application to “retail” or “consumer” insurance because of the requirements of the Financial Services Authority and, </w:t>
      </w:r>
      <w:r>
        <w:rPr/>
        <w:t>even</w:t>
      </w:r>
      <w:r>
        <w:rPr>
          <w:spacing w:val="40"/>
        </w:rPr>
        <w:t> </w:t>
      </w:r>
      <w:bookmarkStart w:name="_bookmark1388" w:id="1390"/>
      <w:bookmarkEnd w:id="1390"/>
      <w:r>
        <w:rPr/>
        <w:t>more</w:t>
      </w:r>
      <w:r>
        <w:rPr/>
        <w:t> pertinently, the decisions of the Financial Ombudsman Service as to when insurers are </w:t>
      </w:r>
      <w:bookmarkStart w:name="_bookmark1389" w:id="1391"/>
      <w:bookmarkEnd w:id="1391"/>
      <w:r>
        <w:rPr/>
        <w:t>complying</w:t>
      </w:r>
      <w:r>
        <w:rPr/>
        <w:t> with a general requirement to treat customers fairly and reasonably. </w:t>
      </w:r>
      <w:r>
        <w:rPr>
          <w:color w:val="005DA1"/>
          <w:u w:val="single" w:color="005DA1"/>
          <w:vertAlign w:val="superscript"/>
        </w:rPr>
        <w:t>736</w:t>
      </w:r>
      <w:r>
        <w:rPr>
          <w:color w:val="005DA1"/>
          <w:vertAlign w:val="baseline"/>
        </w:rPr>
        <w:t> </w:t>
      </w:r>
      <w:r>
        <w:rPr>
          <w:vertAlign w:val="baseline"/>
        </w:rPr>
        <w:t>Under the Consumer Insurance (Disclosure and Representations) Act 2012, </w:t>
      </w:r>
      <w:r>
        <w:rPr>
          <w:color w:val="005DA1"/>
          <w:u w:val="single" w:color="005DA1"/>
          <w:vertAlign w:val="superscript"/>
        </w:rPr>
        <w:t>737</w:t>
      </w:r>
      <w:r>
        <w:rPr>
          <w:color w:val="005DA1"/>
          <w:vertAlign w:val="baseline"/>
        </w:rPr>
        <w:t> </w:t>
      </w:r>
      <w:r>
        <w:rPr>
          <w:vertAlign w:val="baseline"/>
        </w:rPr>
        <w:t>the duty of disclosure on a consumer insured is removed altogether, as is the insurer’s right to avoid for innocent </w:t>
      </w:r>
      <w:bookmarkStart w:name="_bookmark1390" w:id="1392"/>
      <w:bookmarkEnd w:id="1392"/>
      <w:r>
        <w:rPr>
          <w:vertAlign w:val="baseline"/>
        </w:rPr>
        <w:t>misrepresentation.</w:t>
      </w:r>
      <w:r>
        <w:rPr>
          <w:vertAlign w:val="baseline"/>
        </w:rPr>
        <w:t> The consumer has a duty to take reasonable care not to make a</w:t>
      </w:r>
      <w:r>
        <w:rPr>
          <w:spacing w:val="80"/>
          <w:vertAlign w:val="baseline"/>
        </w:rPr>
        <w:t> </w:t>
      </w:r>
      <w:r>
        <w:rPr>
          <w:vertAlign w:val="baseline"/>
        </w:rPr>
        <w:t>misrepresentation to the insurer. </w:t>
      </w:r>
      <w:r>
        <w:rPr>
          <w:color w:val="005DA1"/>
          <w:u w:val="single" w:color="005DA1"/>
          <w:vertAlign w:val="superscript"/>
        </w:rPr>
        <w:t>738</w:t>
      </w:r>
      <w:r>
        <w:rPr>
          <w:color w:val="005DA1"/>
          <w:vertAlign w:val="baseline"/>
        </w:rPr>
        <w:t> </w:t>
      </w:r>
      <w:r>
        <w:rPr>
          <w:vertAlign w:val="baseline"/>
        </w:rPr>
        <w:t>Note that the Insurance Act 2015 came into force and the Marine Insurance Act 1906 was repealed in August 2016.</w:t>
      </w:r>
    </w:p>
    <w:p>
      <w:pPr>
        <w:pStyle w:val="BodyText"/>
      </w:pPr>
    </w:p>
    <w:p>
      <w:pPr>
        <w:pStyle w:val="BodyText"/>
        <w:spacing w:before="35"/>
      </w:pPr>
    </w:p>
    <w:p>
      <w:pPr>
        <w:spacing w:before="0"/>
        <w:ind w:left="165" w:right="0" w:firstLine="0"/>
        <w:jc w:val="left"/>
        <w:rPr>
          <w:rFonts w:ascii="Arial"/>
          <w:b/>
          <w:sz w:val="18"/>
        </w:rPr>
      </w:pPr>
      <w:bookmarkStart w:name="_bookmark1391" w:id="1393"/>
      <w:bookmarkEnd w:id="1393"/>
      <w:r>
        <w:rPr/>
      </w:r>
      <w:r>
        <w:rPr>
          <w:rFonts w:ascii="Arial"/>
          <w:b/>
          <w:sz w:val="18"/>
        </w:rPr>
        <w:t>Insurance Act 2015</w:t>
      </w:r>
      <w:r>
        <w:rPr>
          <w:rFonts w:ascii="Arial"/>
          <w:b/>
          <w:spacing w:val="-1"/>
          <w:sz w:val="18"/>
        </w:rPr>
        <w:t> </w:t>
      </w:r>
      <w:r>
        <w:rPr>
          <w:rFonts w:ascii="Arial"/>
          <w:b/>
          <w:color w:val="005DA1"/>
          <w:spacing w:val="-5"/>
          <w:sz w:val="18"/>
          <w:u w:val="single" w:color="005DA1"/>
          <w:vertAlign w:val="superscript"/>
        </w:rPr>
        <w:t>739</w:t>
      </w:r>
    </w:p>
    <w:p>
      <w:pPr>
        <w:pStyle w:val="BodyText"/>
        <w:spacing w:before="41"/>
        <w:rPr>
          <w:rFonts w:ascii="Arial"/>
          <w:b/>
          <w:sz w:val="18"/>
        </w:rPr>
      </w:pPr>
    </w:p>
    <w:p>
      <w:pPr>
        <w:pStyle w:val="Heading2"/>
      </w:pPr>
      <w:r>
        <w:rPr/>
        <w:t>7-</w:t>
      </w:r>
      <w:r>
        <w:rPr>
          <w:spacing w:val="-5"/>
        </w:rPr>
        <w:t>159</w:t>
      </w:r>
    </w:p>
    <w:p>
      <w:pPr>
        <w:pStyle w:val="BodyText"/>
        <w:spacing w:line="235" w:lineRule="auto" w:before="203"/>
        <w:ind w:left="165" w:right="167"/>
        <w:jc w:val="both"/>
      </w:pPr>
      <w:bookmarkStart w:name="_bookmark1392" w:id="1394"/>
      <w:bookmarkEnd w:id="1394"/>
      <w:r>
        <w:rPr/>
      </w:r>
      <w:r>
        <w:rPr/>
        <w:t>In</w:t>
      </w:r>
      <w:r>
        <w:rPr>
          <w:spacing w:val="-1"/>
        </w:rPr>
        <w:t> </w:t>
      </w:r>
      <w:r>
        <w:rPr/>
        <w:t>contracts</w:t>
      </w:r>
      <w:r>
        <w:rPr>
          <w:spacing w:val="-1"/>
        </w:rPr>
        <w:t> </w:t>
      </w:r>
      <w:r>
        <w:rPr/>
        <w:t>made</w:t>
      </w:r>
      <w:r>
        <w:rPr>
          <w:spacing w:val="-1"/>
        </w:rPr>
        <w:t> </w:t>
      </w:r>
      <w:r>
        <w:rPr/>
        <w:t>after</w:t>
      </w:r>
      <w:r>
        <w:rPr>
          <w:spacing w:val="-1"/>
        </w:rPr>
        <w:t> </w:t>
      </w:r>
      <w:r>
        <w:rPr/>
        <w:t>the</w:t>
      </w:r>
      <w:r>
        <w:rPr>
          <w:spacing w:val="-1"/>
        </w:rPr>
        <w:t> </w:t>
      </w:r>
      <w:r>
        <w:rPr/>
        <w:t>relevant</w:t>
      </w:r>
      <w:r>
        <w:rPr>
          <w:spacing w:val="-1"/>
        </w:rPr>
        <w:t> </w:t>
      </w:r>
      <w:r>
        <w:rPr/>
        <w:t>part</w:t>
      </w:r>
      <w:r>
        <w:rPr>
          <w:spacing w:val="-1"/>
        </w:rPr>
        <w:t> </w:t>
      </w:r>
      <w:r>
        <w:rPr/>
        <w:t>of</w:t>
      </w:r>
      <w:r>
        <w:rPr>
          <w:spacing w:val="-1"/>
        </w:rPr>
        <w:t> </w:t>
      </w:r>
      <w:r>
        <w:rPr/>
        <w:t>the</w:t>
      </w:r>
      <w:r>
        <w:rPr>
          <w:spacing w:val="-1"/>
        </w:rPr>
        <w:t> </w:t>
      </w:r>
      <w:r>
        <w:rPr/>
        <w:t>Act</w:t>
      </w:r>
      <w:r>
        <w:rPr>
          <w:spacing w:val="-1"/>
        </w:rPr>
        <w:t> </w:t>
      </w:r>
      <w:r>
        <w:rPr/>
        <w:t>comes</w:t>
      </w:r>
      <w:r>
        <w:rPr>
          <w:spacing w:val="-1"/>
        </w:rPr>
        <w:t> </w:t>
      </w:r>
      <w:r>
        <w:rPr/>
        <w:t>into</w:t>
      </w:r>
      <w:r>
        <w:rPr>
          <w:spacing w:val="-1"/>
        </w:rPr>
        <w:t> </w:t>
      </w:r>
      <w:r>
        <w:rPr/>
        <w:t>force,</w:t>
      </w:r>
      <w:r>
        <w:rPr>
          <w:spacing w:val="-1"/>
        </w:rPr>
        <w:t> </w:t>
      </w:r>
      <w:r>
        <w:rPr/>
        <w:t>the</w:t>
      </w:r>
      <w:r>
        <w:rPr>
          <w:spacing w:val="-1"/>
        </w:rPr>
        <w:t> </w:t>
      </w:r>
      <w:r>
        <w:rPr/>
        <w:t>non-consumer</w:t>
      </w:r>
      <w:r>
        <w:rPr>
          <w:spacing w:val="-1"/>
        </w:rPr>
        <w:t> </w:t>
      </w:r>
      <w:r>
        <w:rPr/>
        <w:t>insured’s</w:t>
      </w:r>
      <w:r>
        <w:rPr>
          <w:spacing w:val="-1"/>
        </w:rPr>
        <w:t> </w:t>
      </w:r>
      <w:r>
        <w:rPr/>
        <w:t>duty of disclosure will be replaced by a duty to make a fair presentation of the risk to the insurer. </w:t>
      </w:r>
      <w:r>
        <w:rPr>
          <w:color w:val="005DA1"/>
          <w:u w:val="single" w:color="005DA1"/>
          <w:vertAlign w:val="superscript"/>
        </w:rPr>
        <w:t>740</w:t>
      </w:r>
      <w:r>
        <w:rPr>
          <w:color w:val="005DA1"/>
          <w:vertAlign w:val="baseline"/>
        </w:rPr>
        <w:t> </w:t>
      </w:r>
      <w:r>
        <w:rPr>
          <w:vertAlign w:val="baseline"/>
        </w:rPr>
        <w:t>The insured must disclose every material circumstance which the insured knows or ought to know, or, </w:t>
      </w:r>
      <w:bookmarkStart w:name="_bookmark1393" w:id="1395"/>
      <w:bookmarkEnd w:id="1395"/>
      <w:r>
        <w:rPr>
          <w:vertAlign w:val="baseline"/>
        </w:rPr>
        <w:t>failing</w:t>
      </w:r>
      <w:r>
        <w:rPr>
          <w:vertAlign w:val="baseline"/>
        </w:rPr>
        <w:t> that, give the insurer sufficient information to put a prudent insurer on notice that it needs to make further enquiries for the purpose of revealing those material circumstances. </w:t>
      </w:r>
      <w:r>
        <w:rPr>
          <w:color w:val="005DA1"/>
          <w:u w:val="single" w:color="005DA1"/>
          <w:vertAlign w:val="superscript"/>
        </w:rPr>
        <w:t>741</w:t>
      </w:r>
      <w:r>
        <w:rPr>
          <w:color w:val="005DA1"/>
          <w:vertAlign w:val="baseline"/>
        </w:rPr>
        <w:t> </w:t>
      </w:r>
      <w:r>
        <w:rPr>
          <w:vertAlign w:val="baseline"/>
        </w:rPr>
        <w:t>Note that the Insurance Act 2015 came into force and the Marine Insurance Act 1906 was repealed in August </w:t>
      </w:r>
      <w:r>
        <w:rPr>
          <w:spacing w:val="-2"/>
          <w:vertAlign w:val="baseline"/>
        </w:rPr>
        <w:t>2016.</w:t>
      </w:r>
    </w:p>
    <w:p>
      <w:pPr>
        <w:pStyle w:val="BodyText"/>
        <w:spacing w:after="0" w:line="235" w:lineRule="auto"/>
        <w:jc w:val="both"/>
        <w:sectPr>
          <w:headerReference w:type="default" r:id="rId20"/>
          <w:pgSz w:w="11900" w:h="16840"/>
          <w:pgMar w:header="971" w:footer="0" w:top="1160" w:bottom="280" w:left="1275" w:right="1275"/>
          <w:pgNumType w:start="1"/>
        </w:sectPr>
      </w:pPr>
    </w:p>
    <w:p>
      <w:pPr>
        <w:pStyle w:val="BodyText"/>
        <w:rPr>
          <w:sz w:val="18"/>
        </w:rPr>
      </w:pPr>
    </w:p>
    <w:p>
      <w:pPr>
        <w:pStyle w:val="BodyText"/>
        <w:spacing w:before="119"/>
        <w:rPr>
          <w:sz w:val="18"/>
        </w:rPr>
      </w:pPr>
    </w:p>
    <w:p>
      <w:pPr>
        <w:spacing w:before="0"/>
        <w:ind w:left="165" w:right="0" w:firstLine="0"/>
        <w:jc w:val="left"/>
        <w:rPr>
          <w:rFonts w:ascii="Arial"/>
          <w:b/>
          <w:sz w:val="18"/>
        </w:rPr>
      </w:pPr>
      <w:r>
        <w:rPr>
          <w:rFonts w:ascii="Arial"/>
          <w:b/>
          <w:spacing w:val="-2"/>
          <w:sz w:val="18"/>
        </w:rPr>
        <w:t>Materiality</w:t>
      </w:r>
    </w:p>
    <w:p>
      <w:pPr>
        <w:pStyle w:val="BodyText"/>
        <w:spacing w:before="41"/>
        <w:rPr>
          <w:rFonts w:ascii="Arial"/>
          <w:b/>
          <w:sz w:val="18"/>
        </w:rPr>
      </w:pPr>
    </w:p>
    <w:p>
      <w:pPr>
        <w:pStyle w:val="Heading2"/>
        <w:spacing w:before="1"/>
      </w:pPr>
      <w:r>
        <w:rPr/>
        <w:t>7-</w:t>
      </w:r>
      <w:r>
        <w:rPr>
          <w:spacing w:val="-5"/>
        </w:rPr>
        <w:t>160</w:t>
      </w:r>
    </w:p>
    <w:p>
      <w:pPr>
        <w:pStyle w:val="BodyText"/>
        <w:spacing w:line="235" w:lineRule="auto" w:before="202"/>
        <w:ind w:left="164" w:right="167"/>
        <w:jc w:val="both"/>
      </w:pPr>
      <w:r>
        <w:rPr/>
        <w:t>At common law, a circumstance is material if it “would influence the judgment of a prudent insurer in fixing the premium, or determining whether he will take the risk”. This is the definition given in the </w:t>
      </w:r>
      <w:bookmarkStart w:name="_bookmark1394" w:id="1396"/>
      <w:bookmarkEnd w:id="1396"/>
      <w:r>
        <w:rPr/>
        <w:t>Marine</w:t>
      </w:r>
      <w:r>
        <w:rPr/>
        <w:t> Insurance Act 1906 s.18(2), and it was held in </w:t>
      </w:r>
      <w:r>
        <w:rPr>
          <w:rFonts w:ascii="Arial" w:hAnsi="Arial"/>
          <w:i/>
        </w:rPr>
        <w:t>Locker and Woolf Ltd v Western Australian </w:t>
      </w:r>
      <w:bookmarkStart w:name="_bookmark1395" w:id="1397"/>
      <w:bookmarkEnd w:id="1397"/>
      <w:r>
        <w:rPr>
          <w:rFonts w:ascii="Arial" w:hAnsi="Arial"/>
          <w:i/>
        </w:rPr>
        <w:t>Insurance</w:t>
      </w:r>
      <w:r>
        <w:rPr>
          <w:rFonts w:ascii="Arial" w:hAnsi="Arial"/>
          <w:i/>
        </w:rPr>
        <w:t> Co Ltd </w:t>
      </w:r>
      <w:r>
        <w:rPr>
          <w:color w:val="005DA1"/>
          <w:u w:val="single" w:color="005DA1"/>
          <w:vertAlign w:val="superscript"/>
        </w:rPr>
        <w:t>742</w:t>
      </w:r>
      <w:r>
        <w:rPr>
          <w:color w:val="005DA1"/>
          <w:vertAlign w:val="baseline"/>
        </w:rPr>
        <w:t> </w:t>
      </w:r>
      <w:r>
        <w:rPr>
          <w:vertAlign w:val="baseline"/>
        </w:rPr>
        <w:t>that the definition applies to all forms of insurance. In </w:t>
      </w:r>
      <w:r>
        <w:rPr>
          <w:rFonts w:ascii="Arial" w:hAnsi="Arial"/>
          <w:i/>
          <w:vertAlign w:val="baseline"/>
        </w:rPr>
        <w:t>Pan Atlantic Insurance Co Ltd v Pine Top Insurance Co Ltd </w:t>
      </w:r>
      <w:r>
        <w:rPr>
          <w:color w:val="005DA1"/>
          <w:u w:val="single" w:color="005DA1"/>
          <w:vertAlign w:val="superscript"/>
        </w:rPr>
        <w:t>743</w:t>
      </w:r>
      <w:r>
        <w:rPr>
          <w:color w:val="005DA1"/>
          <w:vertAlign w:val="baseline"/>
        </w:rPr>
        <w:t> </w:t>
      </w:r>
      <w:r>
        <w:rPr>
          <w:vertAlign w:val="baseline"/>
        </w:rPr>
        <w:t>the House of Lords held that, for both marine insurance under Marine Insurance Act 1906 s.18(2) and non-marine insurance, the test of materiality is not </w:t>
      </w:r>
      <w:r>
        <w:rPr>
          <w:vertAlign w:val="baseline"/>
        </w:rPr>
        <w:t>whether</w:t>
      </w:r>
      <w:r>
        <w:rPr>
          <w:spacing w:val="40"/>
          <w:vertAlign w:val="baseline"/>
        </w:rPr>
        <w:t> </w:t>
      </w:r>
      <w:r>
        <w:rPr>
          <w:vertAlign w:val="baseline"/>
        </w:rPr>
        <w:t>the matter would have had a decisive effect on the prudent insurer’s decision whether to accept the </w:t>
      </w:r>
      <w:bookmarkStart w:name="_bookmark1396" w:id="1398"/>
      <w:bookmarkEnd w:id="1398"/>
      <w:r>
        <w:rPr>
          <w:vertAlign w:val="baseline"/>
        </w:rPr>
        <w:t>risk</w:t>
      </w:r>
      <w:r>
        <w:rPr>
          <w:vertAlign w:val="baseline"/>
        </w:rPr>
        <w:t> or at what premium, but whether it would have an effect on the mind of the prudent insurer in </w:t>
      </w:r>
      <w:bookmarkStart w:name="_bookmark1397" w:id="1399"/>
      <w:bookmarkEnd w:id="1399"/>
      <w:r>
        <w:rPr>
          <w:vertAlign w:val="baseline"/>
        </w:rPr>
        <w:t>weighing</w:t>
      </w:r>
      <w:r>
        <w:rPr>
          <w:vertAlign w:val="baseline"/>
        </w:rPr>
        <w:t> up the risk. </w:t>
      </w:r>
      <w:r>
        <w:rPr>
          <w:color w:val="005DA1"/>
          <w:u w:val="single" w:color="005DA1"/>
          <w:vertAlign w:val="superscript"/>
        </w:rPr>
        <w:t>744</w:t>
      </w:r>
      <w:r>
        <w:rPr>
          <w:color w:val="005DA1"/>
          <w:vertAlign w:val="baseline"/>
        </w:rPr>
        <w:t> </w:t>
      </w:r>
      <w:r>
        <w:rPr>
          <w:vertAlign w:val="baseline"/>
        </w:rPr>
        <w:t>In </w:t>
      </w:r>
      <w:r>
        <w:rPr>
          <w:rFonts w:ascii="Arial" w:hAnsi="Arial"/>
          <w:i/>
          <w:vertAlign w:val="baseline"/>
        </w:rPr>
        <w:t>St Paul Fire and Marine Insurance Co Ltd v McConnell Dowell</w:t>
      </w:r>
      <w:r>
        <w:rPr>
          <w:rFonts w:ascii="Arial" w:hAnsi="Arial"/>
          <w:i/>
          <w:spacing w:val="40"/>
          <w:vertAlign w:val="baseline"/>
        </w:rPr>
        <w:t> </w:t>
      </w:r>
      <w:bookmarkStart w:name="_bookmark1398" w:id="1400"/>
      <w:bookmarkEnd w:id="1400"/>
      <w:r>
        <w:rPr>
          <w:rFonts w:ascii="Arial" w:hAnsi="Arial"/>
          <w:i/>
          <w:vertAlign w:val="baseline"/>
        </w:rPr>
        <w:t>Constructors</w:t>
      </w:r>
      <w:r>
        <w:rPr>
          <w:rFonts w:ascii="Arial" w:hAnsi="Arial"/>
          <w:i/>
          <w:spacing w:val="-2"/>
          <w:vertAlign w:val="baseline"/>
        </w:rPr>
        <w:t> </w:t>
      </w:r>
      <w:r>
        <w:rPr>
          <w:rFonts w:ascii="Arial" w:hAnsi="Arial"/>
          <w:i/>
          <w:vertAlign w:val="baseline"/>
        </w:rPr>
        <w:t>Ltd</w:t>
      </w:r>
      <w:r>
        <w:rPr>
          <w:rFonts w:ascii="Arial" w:hAnsi="Arial"/>
          <w:i/>
          <w:spacing w:val="-2"/>
          <w:vertAlign w:val="baseline"/>
        </w:rPr>
        <w:t> </w:t>
      </w:r>
      <w:r>
        <w:rPr>
          <w:color w:val="005DA1"/>
          <w:u w:val="single" w:color="005DA1"/>
          <w:vertAlign w:val="superscript"/>
        </w:rPr>
        <w:t>745</w:t>
      </w:r>
      <w:r>
        <w:rPr>
          <w:color w:val="005DA1"/>
          <w:spacing w:val="-2"/>
          <w:vertAlign w:val="baseline"/>
        </w:rPr>
        <w:t> </w:t>
      </w:r>
      <w:r>
        <w:rPr>
          <w:vertAlign w:val="baseline"/>
        </w:rPr>
        <w:t>it</w:t>
      </w:r>
      <w:r>
        <w:rPr>
          <w:spacing w:val="-2"/>
          <w:vertAlign w:val="baseline"/>
        </w:rPr>
        <w:t> </w:t>
      </w:r>
      <w:r>
        <w:rPr>
          <w:vertAlign w:val="baseline"/>
        </w:rPr>
        <w:t>was</w:t>
      </w:r>
      <w:r>
        <w:rPr>
          <w:spacing w:val="-2"/>
          <w:vertAlign w:val="baseline"/>
        </w:rPr>
        <w:t> </w:t>
      </w:r>
      <w:r>
        <w:rPr>
          <w:vertAlign w:val="baseline"/>
        </w:rPr>
        <w:t>held</w:t>
      </w:r>
      <w:r>
        <w:rPr>
          <w:spacing w:val="-2"/>
          <w:vertAlign w:val="baseline"/>
        </w:rPr>
        <w:t> </w:t>
      </w:r>
      <w:r>
        <w:rPr>
          <w:vertAlign w:val="baseline"/>
        </w:rPr>
        <w:t>that</w:t>
      </w:r>
      <w:r>
        <w:rPr>
          <w:spacing w:val="-2"/>
          <w:vertAlign w:val="baseline"/>
        </w:rPr>
        <w:t> </w:t>
      </w:r>
      <w:r>
        <w:rPr>
          <w:vertAlign w:val="baseline"/>
        </w:rPr>
        <w:t>a</w:t>
      </w:r>
      <w:r>
        <w:rPr>
          <w:spacing w:val="-2"/>
          <w:vertAlign w:val="baseline"/>
        </w:rPr>
        <w:t> </w:t>
      </w:r>
      <w:r>
        <w:rPr>
          <w:vertAlign w:val="baseline"/>
        </w:rPr>
        <w:t>matter</w:t>
      </w:r>
      <w:r>
        <w:rPr>
          <w:spacing w:val="-2"/>
          <w:vertAlign w:val="baseline"/>
        </w:rPr>
        <w:t> </w:t>
      </w:r>
      <w:r>
        <w:rPr>
          <w:vertAlign w:val="baseline"/>
        </w:rPr>
        <w:t>did</w:t>
      </w:r>
      <w:r>
        <w:rPr>
          <w:spacing w:val="-2"/>
          <w:vertAlign w:val="baseline"/>
        </w:rPr>
        <w:t> </w:t>
      </w:r>
      <w:r>
        <w:rPr>
          <w:vertAlign w:val="baseline"/>
        </w:rPr>
        <w:t>not</w:t>
      </w:r>
      <w:r>
        <w:rPr>
          <w:spacing w:val="-2"/>
          <w:vertAlign w:val="baseline"/>
        </w:rPr>
        <w:t> </w:t>
      </w:r>
      <w:r>
        <w:rPr>
          <w:vertAlign w:val="baseline"/>
        </w:rPr>
        <w:t>necessarily</w:t>
      </w:r>
      <w:r>
        <w:rPr>
          <w:spacing w:val="-2"/>
          <w:vertAlign w:val="baseline"/>
        </w:rPr>
        <w:t> </w:t>
      </w:r>
      <w:r>
        <w:rPr>
          <w:vertAlign w:val="baseline"/>
        </w:rPr>
        <w:t>have</w:t>
      </w:r>
      <w:r>
        <w:rPr>
          <w:spacing w:val="-2"/>
          <w:vertAlign w:val="baseline"/>
        </w:rPr>
        <w:t> </w:t>
      </w:r>
      <w:r>
        <w:rPr>
          <w:vertAlign w:val="baseline"/>
        </w:rPr>
        <w:t>to</w:t>
      </w:r>
      <w:r>
        <w:rPr>
          <w:spacing w:val="-2"/>
          <w:vertAlign w:val="baseline"/>
        </w:rPr>
        <w:t> </w:t>
      </w:r>
      <w:r>
        <w:rPr>
          <w:vertAlign w:val="baseline"/>
        </w:rPr>
        <w:t>lead</w:t>
      </w:r>
      <w:r>
        <w:rPr>
          <w:spacing w:val="-2"/>
          <w:vertAlign w:val="baseline"/>
        </w:rPr>
        <w:t> </w:t>
      </w:r>
      <w:r>
        <w:rPr>
          <w:vertAlign w:val="baseline"/>
        </w:rPr>
        <w:t>to</w:t>
      </w:r>
      <w:r>
        <w:rPr>
          <w:spacing w:val="-2"/>
          <w:vertAlign w:val="baseline"/>
        </w:rPr>
        <w:t> </w:t>
      </w:r>
      <w:r>
        <w:rPr>
          <w:vertAlign w:val="baseline"/>
        </w:rPr>
        <w:t>an</w:t>
      </w:r>
      <w:r>
        <w:rPr>
          <w:spacing w:val="-2"/>
          <w:vertAlign w:val="baseline"/>
        </w:rPr>
        <w:t> </w:t>
      </w:r>
      <w:r>
        <w:rPr>
          <w:vertAlign w:val="baseline"/>
        </w:rPr>
        <w:t>increase</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risk in order to be material; it was sufficient that the risk was different. </w:t>
      </w:r>
      <w:r>
        <w:rPr>
          <w:color w:val="005DA1"/>
          <w:u w:val="single" w:color="005DA1"/>
          <w:vertAlign w:val="superscript"/>
        </w:rPr>
        <w:t>746</w:t>
      </w:r>
      <w:r>
        <w:rPr>
          <w:color w:val="005DA1"/>
          <w:vertAlign w:val="baseline"/>
        </w:rPr>
        <w:t> </w:t>
      </w:r>
      <w:r>
        <w:rPr>
          <w:vertAlign w:val="baseline"/>
        </w:rPr>
        <w:t>But in the </w:t>
      </w:r>
      <w:r>
        <w:rPr>
          <w:rFonts w:ascii="Arial" w:hAnsi="Arial"/>
          <w:i/>
          <w:vertAlign w:val="baseline"/>
        </w:rPr>
        <w:t>Pan Atlantic </w:t>
      </w:r>
      <w:r>
        <w:rPr>
          <w:vertAlign w:val="baseline"/>
        </w:rPr>
        <w:t>case the </w:t>
      </w:r>
      <w:bookmarkStart w:name="_bookmark1399" w:id="1401"/>
      <w:bookmarkEnd w:id="1401"/>
      <w:r>
        <w:rPr>
          <w:vertAlign w:val="baseline"/>
        </w:rPr>
        <w:t>House</w:t>
      </w:r>
      <w:r>
        <w:rPr>
          <w:vertAlign w:val="baseline"/>
        </w:rPr>
        <w:t> of Lords held that, in addition to being material, a misrepresentation or non-disclosure must </w:t>
      </w:r>
      <w:bookmarkStart w:name="_bookmark1400" w:id="1402"/>
      <w:bookmarkEnd w:id="1402"/>
      <w:r>
        <w:rPr>
          <w:vertAlign w:val="baseline"/>
        </w:rPr>
        <w:t>have</w:t>
      </w:r>
      <w:r>
        <w:rPr>
          <w:vertAlign w:val="baseline"/>
        </w:rPr>
        <w:t> induced the making of the policy. </w:t>
      </w:r>
      <w:r>
        <w:rPr>
          <w:color w:val="005DA1"/>
          <w:u w:val="single" w:color="005DA1"/>
          <w:vertAlign w:val="superscript"/>
        </w:rPr>
        <w:t>747</w:t>
      </w:r>
      <w:r>
        <w:rPr>
          <w:color w:val="005DA1"/>
          <w:vertAlign w:val="baseline"/>
        </w:rPr>
        <w:t> </w:t>
      </w:r>
      <w:r>
        <w:rPr>
          <w:vertAlign w:val="baseline"/>
        </w:rPr>
        <w:t>In this respect, the law on insurance contracts is parallel to </w:t>
      </w:r>
      <w:bookmarkStart w:name="_bookmark1401" w:id="1403"/>
      <w:bookmarkEnd w:id="1403"/>
      <w:r>
        <w:rPr>
          <w:vertAlign w:val="baseline"/>
        </w:rPr>
        <w:t>the</w:t>
      </w:r>
      <w:r>
        <w:rPr>
          <w:vertAlign w:val="baseline"/>
        </w:rPr>
        <w:t> general law on positive misrepresentation. </w:t>
      </w:r>
      <w:r>
        <w:rPr>
          <w:color w:val="005DA1"/>
          <w:u w:val="single" w:color="005DA1"/>
          <w:vertAlign w:val="superscript"/>
        </w:rPr>
        <w:t>748</w:t>
      </w:r>
      <w:r>
        <w:rPr>
          <w:color w:val="005DA1"/>
          <w:vertAlign w:val="baseline"/>
        </w:rPr>
        <w:t> </w:t>
      </w:r>
      <w:r>
        <w:rPr>
          <w:vertAlign w:val="baseline"/>
        </w:rPr>
        <w:t>Lord Mustill </w:t>
      </w:r>
      <w:r>
        <w:rPr>
          <w:color w:val="005DA1"/>
          <w:u w:val="single" w:color="005DA1"/>
          <w:vertAlign w:val="superscript"/>
        </w:rPr>
        <w:t>749</w:t>
      </w:r>
      <w:r>
        <w:rPr>
          <w:color w:val="005DA1"/>
          <w:vertAlign w:val="baseline"/>
        </w:rPr>
        <w:t> </w:t>
      </w:r>
      <w:r>
        <w:rPr>
          <w:vertAlign w:val="baseline"/>
        </w:rPr>
        <w:t>refers to “a presumption in favour of causative effect”, as there is in the case of a positive misrepresentation. </w:t>
      </w:r>
      <w:r>
        <w:rPr>
          <w:color w:val="005DA1"/>
          <w:u w:val="single" w:color="005DA1"/>
          <w:vertAlign w:val="superscript"/>
        </w:rPr>
        <w:t>750</w:t>
      </w:r>
      <w:r>
        <w:rPr>
          <w:color w:val="005DA1"/>
          <w:vertAlign w:val="baseline"/>
        </w:rPr>
        <w:t> </w:t>
      </w:r>
      <w:r>
        <w:rPr>
          <w:vertAlign w:val="baseline"/>
        </w:rPr>
        <w:t>Note that the Insurance Act 2015 came into force and the Marine Insurance Act 1906 was repealed in August 2016.</w:t>
      </w:r>
    </w:p>
    <w:p>
      <w:pPr>
        <w:pStyle w:val="BodyText"/>
      </w:pPr>
    </w:p>
    <w:p>
      <w:pPr>
        <w:pStyle w:val="BodyText"/>
        <w:spacing w:before="33"/>
      </w:pPr>
    </w:p>
    <w:p>
      <w:pPr>
        <w:spacing w:before="0"/>
        <w:ind w:left="165" w:right="0" w:firstLine="0"/>
        <w:jc w:val="left"/>
        <w:rPr>
          <w:rFonts w:ascii="Arial"/>
          <w:b/>
          <w:sz w:val="18"/>
        </w:rPr>
      </w:pPr>
      <w:r>
        <w:rPr>
          <w:rFonts w:ascii="Arial"/>
          <w:b/>
          <w:sz w:val="18"/>
        </w:rPr>
        <w:t>Materiality under Insurance Act </w:t>
      </w:r>
      <w:r>
        <w:rPr>
          <w:rFonts w:ascii="Arial"/>
          <w:b/>
          <w:spacing w:val="-4"/>
          <w:sz w:val="18"/>
        </w:rPr>
        <w:t>2015</w:t>
      </w:r>
    </w:p>
    <w:p>
      <w:pPr>
        <w:pStyle w:val="BodyText"/>
        <w:spacing w:before="41"/>
        <w:rPr>
          <w:rFonts w:ascii="Arial"/>
          <w:b/>
          <w:sz w:val="18"/>
        </w:rPr>
      </w:pPr>
    </w:p>
    <w:p>
      <w:pPr>
        <w:pStyle w:val="Heading2"/>
      </w:pPr>
      <w:r>
        <w:rPr/>
        <w:t>7-</w:t>
      </w:r>
      <w:r>
        <w:rPr>
          <w:spacing w:val="-5"/>
        </w:rPr>
        <w:t>161</w:t>
      </w:r>
    </w:p>
    <w:p>
      <w:pPr>
        <w:pStyle w:val="BodyText"/>
        <w:spacing w:line="235" w:lineRule="auto" w:before="203"/>
        <w:ind w:left="165" w:right="167"/>
        <w:jc w:val="both"/>
      </w:pPr>
      <w:r>
        <w:rPr/>
        <w:t>The 2015 Act adopts the same approach. A circumstance or representation is material if it would </w:t>
      </w:r>
      <w:bookmarkStart w:name="_bookmark1402" w:id="1404"/>
      <w:bookmarkEnd w:id="1404"/>
      <w:r>
        <w:rPr/>
        <w:t>influence</w:t>
      </w:r>
      <w:r>
        <w:rPr/>
        <w:t> the judgment of a prudent insurer in determining whether to take the risk and, if so, on what terms. </w:t>
      </w:r>
      <w:r>
        <w:rPr>
          <w:color w:val="005DA1"/>
          <w:u w:val="single" w:color="005DA1"/>
          <w:vertAlign w:val="superscript"/>
        </w:rPr>
        <w:t>751</w:t>
      </w:r>
      <w:r>
        <w:rPr>
          <w:color w:val="005DA1"/>
          <w:vertAlign w:val="baseline"/>
        </w:rPr>
        <w:t> </w:t>
      </w:r>
      <w:r>
        <w:rPr>
          <w:vertAlign w:val="baseline"/>
        </w:rPr>
        <w:t>The insurer will have a remedy for breach of the duty of fair presentation only if the insurer shows that, but for the breach, the insurer either (a) would not have entered into the contract of insurance at all, or (b) would have done so only on different terms. Note that the Insurance Act 2015 came into force and the Marine Insurance Act 1906 was repealed in August 2016.</w:t>
      </w:r>
    </w:p>
    <w:p>
      <w:pPr>
        <w:pStyle w:val="BodyText"/>
      </w:pPr>
    </w:p>
    <w:p>
      <w:pPr>
        <w:pStyle w:val="BodyText"/>
        <w:spacing w:before="36"/>
      </w:pPr>
    </w:p>
    <w:p>
      <w:pPr>
        <w:spacing w:before="0"/>
        <w:ind w:left="165" w:right="0" w:firstLine="0"/>
        <w:jc w:val="left"/>
        <w:rPr>
          <w:rFonts w:ascii="Arial"/>
          <w:b/>
          <w:sz w:val="18"/>
        </w:rPr>
      </w:pPr>
      <w:r>
        <w:rPr>
          <w:rFonts w:ascii="Arial"/>
          <w:b/>
          <w:sz w:val="18"/>
        </w:rPr>
        <w:t>Duty on insurer to be </w:t>
      </w:r>
      <w:r>
        <w:rPr>
          <w:rFonts w:ascii="Arial"/>
          <w:b/>
          <w:spacing w:val="-2"/>
          <w:sz w:val="18"/>
        </w:rPr>
        <w:t>abolished</w:t>
      </w:r>
    </w:p>
    <w:p>
      <w:pPr>
        <w:pStyle w:val="BodyText"/>
        <w:spacing w:before="41"/>
        <w:rPr>
          <w:rFonts w:ascii="Arial"/>
          <w:b/>
          <w:sz w:val="18"/>
        </w:rPr>
      </w:pPr>
    </w:p>
    <w:p>
      <w:pPr>
        <w:pStyle w:val="Heading2"/>
        <w:spacing w:before="1"/>
      </w:pPr>
      <w:r>
        <w:rPr/>
        <w:t>7-</w:t>
      </w:r>
      <w:r>
        <w:rPr>
          <w:spacing w:val="-5"/>
        </w:rPr>
        <w:t>162</w:t>
      </w:r>
    </w:p>
    <w:p>
      <w:pPr>
        <w:pStyle w:val="BodyText"/>
        <w:spacing w:line="235" w:lineRule="auto" w:before="202"/>
        <w:ind w:left="164" w:right="167"/>
        <w:jc w:val="both"/>
      </w:pPr>
      <w:r>
        <w:rPr/>
        <w:t>Traditionally, the obligation to disclose material facts is mutual and a duty also rests on the insurer to </w:t>
      </w:r>
      <w:bookmarkStart w:name="_bookmark1403" w:id="1405"/>
      <w:bookmarkEnd w:id="1405"/>
      <w:r>
        <w:rPr/>
        <w:t>disclose</w:t>
      </w:r>
      <w:r>
        <w:rPr/>
        <w:t> all facts known to him which are material either to the nature of the risk sought to be covered or to the recoverability of a claim under the policy. </w:t>
      </w:r>
      <w:r>
        <w:rPr>
          <w:color w:val="005DA1"/>
          <w:u w:val="single" w:color="005DA1"/>
          <w:vertAlign w:val="superscript"/>
        </w:rPr>
        <w:t>752</w:t>
      </w:r>
      <w:r>
        <w:rPr>
          <w:color w:val="005DA1"/>
          <w:vertAlign w:val="baseline"/>
        </w:rPr>
        <w:t> </w:t>
      </w:r>
      <w:r>
        <w:rPr>
          <w:vertAlign w:val="baseline"/>
        </w:rPr>
        <w:t>In this case the test of materiality is whether the </w:t>
      </w:r>
      <w:bookmarkStart w:name="_bookmark1404" w:id="1406"/>
      <w:bookmarkEnd w:id="1406"/>
      <w:r>
        <w:rPr>
          <w:vertAlign w:val="baseline"/>
        </w:rPr>
        <w:t>fact</w:t>
      </w:r>
      <w:r>
        <w:rPr>
          <w:vertAlign w:val="baseline"/>
        </w:rPr>
        <w:t> not disclosed would be taken into account by a prudent insured in deciding whether to place </w:t>
      </w:r>
      <w:r>
        <w:rPr>
          <w:vertAlign w:val="baseline"/>
        </w:rPr>
        <w:t>the </w:t>
      </w:r>
      <w:bookmarkStart w:name="_bookmark1405" w:id="1407"/>
      <w:bookmarkEnd w:id="1407"/>
      <w:r>
        <w:rPr>
          <w:vertAlign w:val="baseline"/>
        </w:rPr>
        <w:t>risk</w:t>
      </w:r>
      <w:r>
        <w:rPr>
          <w:vertAlign w:val="baseline"/>
        </w:rPr>
        <w:t> with that insurer. </w:t>
      </w:r>
      <w:r>
        <w:rPr>
          <w:color w:val="005DA1"/>
          <w:u w:val="single" w:color="005DA1"/>
          <w:vertAlign w:val="superscript"/>
        </w:rPr>
        <w:t>753</w:t>
      </w:r>
      <w:r>
        <w:rPr>
          <w:color w:val="005DA1"/>
          <w:vertAlign w:val="baseline"/>
        </w:rPr>
        <w:t> </w:t>
      </w:r>
      <w:r>
        <w:rPr>
          <w:vertAlign w:val="baseline"/>
        </w:rPr>
        <w:t>However, the Insurance Act 2015 provides only for fair presentation by the </w:t>
      </w:r>
      <w:bookmarkStart w:name="_bookmark1406" w:id="1408"/>
      <w:bookmarkEnd w:id="1408"/>
      <w:r>
        <w:rPr>
          <w:vertAlign w:val="baseline"/>
        </w:rPr>
        <w:t>insured</w:t>
      </w:r>
      <w:r>
        <w:rPr>
          <w:vertAlign w:val="baseline"/>
        </w:rPr>
        <w:t> </w:t>
      </w:r>
      <w:r>
        <w:rPr>
          <w:color w:val="005DA1"/>
          <w:u w:val="single" w:color="005DA1"/>
          <w:vertAlign w:val="superscript"/>
        </w:rPr>
        <w:t>754</w:t>
      </w:r>
      <w:r>
        <w:rPr>
          <w:color w:val="005DA1"/>
          <w:vertAlign w:val="baseline"/>
        </w:rPr>
        <w:t> </w:t>
      </w:r>
      <w:r>
        <w:rPr>
          <w:vertAlign w:val="baseline"/>
        </w:rPr>
        <w:t>and any rule of law permitting a party to a contract to avoid it on the ground that utmost good faith has not been observed by the other party will be abolished, </w:t>
      </w:r>
      <w:r>
        <w:rPr>
          <w:color w:val="005DA1"/>
          <w:u w:val="single" w:color="005DA1"/>
          <w:vertAlign w:val="superscript"/>
        </w:rPr>
        <w:t>755</w:t>
      </w:r>
      <w:r>
        <w:rPr>
          <w:color w:val="005DA1"/>
          <w:vertAlign w:val="baseline"/>
        </w:rPr>
        <w:t> </w:t>
      </w:r>
      <w:r>
        <w:rPr>
          <w:vertAlign w:val="baseline"/>
        </w:rPr>
        <w:t>so that when the Act comes into force the duty on the insured will disappear. The Law Commissions considered that the only instances in which the duty on the insurer has or might have been invoked—the selling of worthless </w:t>
      </w:r>
      <w:bookmarkStart w:name="_bookmark1407" w:id="1409"/>
      <w:bookmarkEnd w:id="1409"/>
      <w:r>
        <w:rPr>
          <w:vertAlign w:val="baseline"/>
        </w:rPr>
        <w:t>policies</w:t>
      </w:r>
      <w:r>
        <w:rPr>
          <w:vertAlign w:val="baseline"/>
        </w:rPr>
        <w:t>—would be better dealt with by the Financial Services Authority or its successors) or the Financial Ombudsman Service. </w:t>
      </w:r>
      <w:r>
        <w:rPr>
          <w:color w:val="005DA1"/>
          <w:u w:val="single" w:color="005DA1"/>
          <w:vertAlign w:val="superscript"/>
        </w:rPr>
        <w:t>756</w:t>
      </w:r>
      <w:r>
        <w:rPr>
          <w:color w:val="005DA1"/>
          <w:vertAlign w:val="baseline"/>
        </w:rPr>
        <w:t> </w:t>
      </w:r>
      <w:r>
        <w:rPr>
          <w:vertAlign w:val="baseline"/>
        </w:rPr>
        <w:t>Note that the Insurance Act 2015 came into force and the Marine Insurance Act 1906 was repealed in August 2016.</w:t>
      </w:r>
    </w:p>
    <w:p>
      <w:pPr>
        <w:pStyle w:val="BodyText"/>
        <w:spacing w:before="77"/>
      </w:pPr>
    </w:p>
    <w:p>
      <w:pPr>
        <w:pStyle w:val="Heading2"/>
        <w:ind w:left="164"/>
      </w:pPr>
      <w:r>
        <w:rPr/>
        <w:t>7-</w:t>
      </w:r>
      <w:r>
        <w:rPr>
          <w:spacing w:val="-5"/>
        </w:rPr>
        <w:t>163</w:t>
      </w:r>
    </w:p>
    <w:p>
      <w:pPr>
        <w:pStyle w:val="BodyText"/>
        <w:spacing w:line="235" w:lineRule="auto" w:before="203"/>
        <w:ind w:left="164" w:right="167"/>
        <w:jc w:val="both"/>
      </w:pPr>
      <w:bookmarkStart w:name="_bookmark1408" w:id="1410"/>
      <w:bookmarkEnd w:id="1410"/>
      <w:r>
        <w:rPr/>
      </w:r>
      <w:r>
        <w:rPr/>
        <w:t>The following have been held to be material facts and their non-disclosure made the contract </w:t>
      </w:r>
      <w:r>
        <w:rPr/>
        <w:t>in </w:t>
      </w:r>
      <w:bookmarkStart w:name="_bookmark1409" w:id="1411"/>
      <w:bookmarkEnd w:id="1411"/>
      <w:r>
        <w:rPr/>
        <w:t>question</w:t>
      </w:r>
      <w:r>
        <w:rPr/>
        <w:t> voidable: that goods were insured upon a voyage for an amount in excess of their value </w:t>
      </w:r>
      <w:r>
        <w:rPr>
          <w:color w:val="005DA1"/>
          <w:u w:val="single" w:color="005DA1"/>
          <w:vertAlign w:val="superscript"/>
        </w:rPr>
        <w:t>757</w:t>
      </w:r>
      <w:r>
        <w:rPr>
          <w:vertAlign w:val="baseline"/>
        </w:rPr>
        <w:t>; </w:t>
      </w:r>
      <w:bookmarkStart w:name="_bookmark1410" w:id="1412"/>
      <w:bookmarkEnd w:id="1412"/>
      <w:r>
        <w:rPr>
          <w:vertAlign w:val="baseline"/>
        </w:rPr>
        <w:t>that</w:t>
      </w:r>
      <w:r>
        <w:rPr>
          <w:spacing w:val="-3"/>
          <w:vertAlign w:val="baseline"/>
        </w:rPr>
        <w:t> </w:t>
      </w:r>
      <w:r>
        <w:rPr>
          <w:vertAlign w:val="baseline"/>
        </w:rPr>
        <w:t>the</w:t>
      </w:r>
      <w:r>
        <w:rPr>
          <w:spacing w:val="-3"/>
          <w:vertAlign w:val="baseline"/>
        </w:rPr>
        <w:t> </w:t>
      </w:r>
      <w:r>
        <w:rPr>
          <w:vertAlign w:val="baseline"/>
        </w:rPr>
        <w:t>vessel</w:t>
      </w:r>
      <w:r>
        <w:rPr>
          <w:spacing w:val="-3"/>
          <w:vertAlign w:val="baseline"/>
        </w:rPr>
        <w:t> </w:t>
      </w:r>
      <w:r>
        <w:rPr>
          <w:vertAlign w:val="baseline"/>
        </w:rPr>
        <w:t>itself</w:t>
      </w:r>
      <w:r>
        <w:rPr>
          <w:spacing w:val="-3"/>
          <w:vertAlign w:val="baseline"/>
        </w:rPr>
        <w:t> </w:t>
      </w:r>
      <w:r>
        <w:rPr>
          <w:vertAlign w:val="baseline"/>
        </w:rPr>
        <w:t>was</w:t>
      </w:r>
      <w:r>
        <w:rPr>
          <w:spacing w:val="-3"/>
          <w:vertAlign w:val="baseline"/>
        </w:rPr>
        <w:t> </w:t>
      </w:r>
      <w:r>
        <w:rPr>
          <w:vertAlign w:val="baseline"/>
        </w:rPr>
        <w:t>over-insured</w:t>
      </w:r>
      <w:r>
        <w:rPr>
          <w:spacing w:val="-3"/>
          <w:vertAlign w:val="baseline"/>
        </w:rPr>
        <w:t> </w:t>
      </w:r>
      <w:r>
        <w:rPr>
          <w:color w:val="005DA1"/>
          <w:u w:val="single" w:color="005DA1"/>
          <w:vertAlign w:val="superscript"/>
        </w:rPr>
        <w:t>758</w:t>
      </w:r>
      <w:r>
        <w:rPr>
          <w:vertAlign w:val="baseline"/>
        </w:rPr>
        <w:t>;</w:t>
      </w:r>
      <w:r>
        <w:rPr>
          <w:spacing w:val="-3"/>
          <w:vertAlign w:val="baseline"/>
        </w:rPr>
        <w:t> </w:t>
      </w:r>
      <w:r>
        <w:rPr>
          <w:vertAlign w:val="baseline"/>
        </w:rPr>
        <w:t>that</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particular</w:t>
      </w:r>
      <w:r>
        <w:rPr>
          <w:spacing w:val="-3"/>
          <w:vertAlign w:val="baseline"/>
        </w:rPr>
        <w:t> </w:t>
      </w:r>
      <w:r>
        <w:rPr>
          <w:vertAlign w:val="baseline"/>
        </w:rPr>
        <w:t>circumstances</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case)</w:t>
      </w:r>
      <w:r>
        <w:rPr>
          <w:spacing w:val="-3"/>
          <w:vertAlign w:val="baseline"/>
        </w:rPr>
        <w:t> </w:t>
      </w:r>
      <w:r>
        <w:rPr>
          <w:vertAlign w:val="baseline"/>
        </w:rPr>
        <w:t>the</w:t>
      </w:r>
      <w:r>
        <w:rPr>
          <w:spacing w:val="-3"/>
          <w:vertAlign w:val="baseline"/>
        </w:rPr>
        <w:t> </w:t>
      </w:r>
      <w:r>
        <w:rPr>
          <w:vertAlign w:val="baseline"/>
        </w:rPr>
        <w:t>insured </w:t>
      </w:r>
      <w:bookmarkStart w:name="_bookmark1411" w:id="1413"/>
      <w:bookmarkEnd w:id="1413"/>
      <w:r>
        <w:rPr>
          <w:vertAlign w:val="baseline"/>
        </w:rPr>
        <w:t>under</w:t>
      </w:r>
      <w:r>
        <w:rPr>
          <w:vertAlign w:val="baseline"/>
        </w:rPr>
        <w:t> a policy of burglary insurance was an alien </w:t>
      </w:r>
      <w:r>
        <w:rPr>
          <w:color w:val="005DA1"/>
          <w:u w:val="single" w:color="005DA1"/>
          <w:vertAlign w:val="superscript"/>
        </w:rPr>
        <w:t>759</w:t>
      </w:r>
      <w:r>
        <w:rPr>
          <w:vertAlign w:val="baseline"/>
        </w:rPr>
        <w:t>; that the insured had been convicted of robbery </w:t>
      </w:r>
      <w:bookmarkStart w:name="_bookmark1412" w:id="1414"/>
      <w:bookmarkEnd w:id="1414"/>
      <w:r>
        <w:rPr>
          <w:vertAlign w:val="baseline"/>
        </w:rPr>
        <w:t>12</w:t>
      </w:r>
      <w:r>
        <w:rPr>
          <w:vertAlign w:val="baseline"/>
        </w:rPr>
        <w:t> years previously </w:t>
      </w:r>
      <w:r>
        <w:rPr>
          <w:color w:val="005DA1"/>
          <w:u w:val="single" w:color="005DA1"/>
          <w:vertAlign w:val="superscript"/>
        </w:rPr>
        <w:t>760</w:t>
      </w:r>
      <w:r>
        <w:rPr>
          <w:vertAlign w:val="baseline"/>
        </w:rPr>
        <w:t>; that in relation to an insurance comparable to that sought previous claims had been</w:t>
      </w:r>
      <w:r>
        <w:rPr>
          <w:spacing w:val="24"/>
          <w:vertAlign w:val="baseline"/>
        </w:rPr>
        <w:t> </w:t>
      </w:r>
      <w:r>
        <w:rPr>
          <w:vertAlign w:val="baseline"/>
        </w:rPr>
        <w:t>made.</w:t>
      </w:r>
      <w:r>
        <w:rPr>
          <w:spacing w:val="24"/>
          <w:vertAlign w:val="baseline"/>
        </w:rPr>
        <w:t> </w:t>
      </w:r>
      <w:r>
        <w:rPr>
          <w:color w:val="005DA1"/>
          <w:u w:val="single" w:color="005DA1"/>
          <w:vertAlign w:val="superscript"/>
        </w:rPr>
        <w:t>761</w:t>
      </w:r>
      <w:r>
        <w:rPr>
          <w:color w:val="005DA1"/>
          <w:spacing w:val="25"/>
          <w:vertAlign w:val="baseline"/>
        </w:rPr>
        <w:t> </w:t>
      </w:r>
      <w:r>
        <w:rPr>
          <w:vertAlign w:val="baseline"/>
        </w:rPr>
        <w:t>On</w:t>
      </w:r>
      <w:r>
        <w:rPr>
          <w:spacing w:val="25"/>
          <w:vertAlign w:val="baseline"/>
        </w:rPr>
        <w:t> </w:t>
      </w:r>
      <w:r>
        <w:rPr>
          <w:vertAlign w:val="baseline"/>
        </w:rPr>
        <w:t>the</w:t>
      </w:r>
      <w:r>
        <w:rPr>
          <w:spacing w:val="25"/>
          <w:vertAlign w:val="baseline"/>
        </w:rPr>
        <w:t> </w:t>
      </w:r>
      <w:r>
        <w:rPr>
          <w:vertAlign w:val="baseline"/>
        </w:rPr>
        <w:t>other</w:t>
      </w:r>
      <w:r>
        <w:rPr>
          <w:spacing w:val="25"/>
          <w:vertAlign w:val="baseline"/>
        </w:rPr>
        <w:t> </w:t>
      </w:r>
      <w:r>
        <w:rPr>
          <w:vertAlign w:val="baseline"/>
        </w:rPr>
        <w:t>hand,</w:t>
      </w:r>
      <w:r>
        <w:rPr>
          <w:spacing w:val="25"/>
          <w:vertAlign w:val="baseline"/>
        </w:rPr>
        <w:t> </w:t>
      </w:r>
      <w:r>
        <w:rPr>
          <w:vertAlign w:val="baseline"/>
        </w:rPr>
        <w:t>certain</w:t>
      </w:r>
      <w:r>
        <w:rPr>
          <w:spacing w:val="25"/>
          <w:vertAlign w:val="baseline"/>
        </w:rPr>
        <w:t> </w:t>
      </w:r>
      <w:r>
        <w:rPr>
          <w:vertAlign w:val="baseline"/>
        </w:rPr>
        <w:t>details</w:t>
      </w:r>
      <w:r>
        <w:rPr>
          <w:spacing w:val="25"/>
          <w:vertAlign w:val="baseline"/>
        </w:rPr>
        <w:t> </w:t>
      </w:r>
      <w:r>
        <w:rPr>
          <w:vertAlign w:val="baseline"/>
        </w:rPr>
        <w:t>may</w:t>
      </w:r>
      <w:r>
        <w:rPr>
          <w:spacing w:val="25"/>
          <w:vertAlign w:val="baseline"/>
        </w:rPr>
        <w:t> </w:t>
      </w:r>
      <w:r>
        <w:rPr>
          <w:vertAlign w:val="baseline"/>
        </w:rPr>
        <w:t>on</w:t>
      </w:r>
      <w:r>
        <w:rPr>
          <w:spacing w:val="25"/>
          <w:vertAlign w:val="baseline"/>
        </w:rPr>
        <w:t> </w:t>
      </w:r>
      <w:r>
        <w:rPr>
          <w:vertAlign w:val="baseline"/>
        </w:rPr>
        <w:t>construction</w:t>
      </w:r>
      <w:r>
        <w:rPr>
          <w:spacing w:val="25"/>
          <w:vertAlign w:val="baseline"/>
        </w:rPr>
        <w:t> </w:t>
      </w:r>
      <w:r>
        <w:rPr>
          <w:vertAlign w:val="baseline"/>
        </w:rPr>
        <w:t>be</w:t>
      </w:r>
      <w:r>
        <w:rPr>
          <w:spacing w:val="25"/>
          <w:vertAlign w:val="baseline"/>
        </w:rPr>
        <w:t> </w:t>
      </w:r>
      <w:r>
        <w:rPr>
          <w:vertAlign w:val="baseline"/>
        </w:rPr>
        <w:t>held</w:t>
      </w:r>
      <w:r>
        <w:rPr>
          <w:spacing w:val="25"/>
          <w:vertAlign w:val="baseline"/>
        </w:rPr>
        <w:t> </w:t>
      </w:r>
      <w:r>
        <w:rPr>
          <w:vertAlign w:val="baseline"/>
        </w:rPr>
        <w:t>to</w:t>
      </w:r>
      <w:r>
        <w:rPr>
          <w:spacing w:val="25"/>
          <w:vertAlign w:val="baseline"/>
        </w:rPr>
        <w:t> </w:t>
      </w:r>
      <w:r>
        <w:rPr>
          <w:vertAlign w:val="baseline"/>
        </w:rPr>
        <w:t>be</w:t>
      </w:r>
      <w:r>
        <w:rPr>
          <w:spacing w:val="25"/>
          <w:vertAlign w:val="baseline"/>
        </w:rPr>
        <w:t> </w:t>
      </w:r>
      <w:r>
        <w:rPr>
          <w:vertAlign w:val="baseline"/>
        </w:rPr>
        <w:t>irrelevant,</w:t>
      </w:r>
      <w:r>
        <w:rPr>
          <w:spacing w:val="24"/>
          <w:vertAlign w:val="baseline"/>
        </w:rPr>
        <w:t> </w:t>
      </w:r>
      <w:r>
        <w:rPr>
          <w:color w:val="005DA1"/>
          <w:spacing w:val="-8"/>
          <w:u w:val="single" w:color="005DA1"/>
          <w:vertAlign w:val="superscript"/>
        </w:rPr>
        <w:t>762</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4" w:right="167"/>
        <w:jc w:val="both"/>
      </w:pPr>
      <w:bookmarkStart w:name="_bookmark1413" w:id="1415"/>
      <w:bookmarkEnd w:id="1415"/>
      <w:r>
        <w:rPr/>
      </w:r>
      <w:r>
        <w:rPr/>
        <w:t>such as the place where a lorry was to be garaged. </w:t>
      </w:r>
      <w:r>
        <w:rPr>
          <w:color w:val="005DA1"/>
          <w:u w:val="single" w:color="005DA1"/>
          <w:vertAlign w:val="superscript"/>
        </w:rPr>
        <w:t>763</w:t>
      </w:r>
      <w:r>
        <w:rPr>
          <w:color w:val="005DA1"/>
          <w:vertAlign w:val="baseline"/>
        </w:rPr>
        <w:t> </w:t>
      </w:r>
      <w:r>
        <w:rPr>
          <w:vertAlign w:val="baseline"/>
        </w:rPr>
        <w:t>A circumstance that is material for one type </w:t>
      </w:r>
      <w:r>
        <w:rPr>
          <w:vertAlign w:val="baseline"/>
        </w:rPr>
        <w:t>of insurance is not necessarily material for another; for example, the fact that the risk has been refused </w:t>
      </w:r>
      <w:bookmarkStart w:name="_bookmark1414" w:id="1416"/>
      <w:bookmarkEnd w:id="1416"/>
      <w:r>
        <w:rPr>
          <w:vertAlign w:val="baseline"/>
        </w:rPr>
        <w:t>by</w:t>
      </w:r>
      <w:r>
        <w:rPr>
          <w:vertAlign w:val="baseline"/>
        </w:rPr>
        <w:t> another company is material in life, fire, accident and burglary insurance, but not in marine </w:t>
      </w:r>
      <w:bookmarkStart w:name="_bookmark1415" w:id="1417"/>
      <w:bookmarkEnd w:id="1417"/>
      <w:r>
        <w:rPr>
          <w:vertAlign w:val="baseline"/>
        </w:rPr>
        <w:t>insurance.</w:t>
      </w:r>
      <w:r>
        <w:rPr>
          <w:vertAlign w:val="baseline"/>
        </w:rPr>
        <w:t> </w:t>
      </w:r>
      <w:r>
        <w:rPr>
          <w:color w:val="005DA1"/>
          <w:u w:val="single" w:color="005DA1"/>
          <w:vertAlign w:val="superscript"/>
        </w:rPr>
        <w:t>764</w:t>
      </w:r>
      <w:r>
        <w:rPr>
          <w:color w:val="005DA1"/>
          <w:vertAlign w:val="baseline"/>
        </w:rPr>
        <w:t> </w:t>
      </w:r>
      <w:r>
        <w:rPr>
          <w:vertAlign w:val="baseline"/>
        </w:rPr>
        <w:t>Whether a particular circumstance is material is a question of fact, and the opinion of the assured on its materiality is irrelevant. </w:t>
      </w:r>
      <w:r>
        <w:rPr>
          <w:color w:val="005DA1"/>
          <w:u w:val="single" w:color="005DA1"/>
          <w:vertAlign w:val="superscript"/>
        </w:rPr>
        <w:t>765</w:t>
      </w:r>
      <w:r>
        <w:rPr>
          <w:color w:val="005DA1"/>
          <w:vertAlign w:val="baseline"/>
        </w:rPr>
        <w:t> </w:t>
      </w:r>
      <w:r>
        <w:rPr>
          <w:vertAlign w:val="baseline"/>
        </w:rPr>
        <w:t>Note that the Insurance Act 2015 came into force and the Marine Insurance Act 1906 was repealed in August 2016.</w:t>
      </w:r>
    </w:p>
    <w:p>
      <w:pPr>
        <w:pStyle w:val="BodyText"/>
        <w:spacing w:before="79"/>
      </w:pPr>
    </w:p>
    <w:p>
      <w:pPr>
        <w:pStyle w:val="Heading2"/>
        <w:ind w:left="164"/>
      </w:pPr>
      <w:r>
        <w:rPr/>
        <w:t>7-</w:t>
      </w:r>
      <w:r>
        <w:rPr>
          <w:spacing w:val="-5"/>
        </w:rPr>
        <w:t>164</w:t>
      </w:r>
    </w:p>
    <w:p>
      <w:pPr>
        <w:pStyle w:val="BodyText"/>
        <w:spacing w:before="199"/>
        <w:ind w:left="164"/>
        <w:jc w:val="both"/>
      </w:pPr>
      <w:r>
        <w:rPr/>
        <w:t>In marine insurance the duty to disclose is defined as </w:t>
      </w:r>
      <w:r>
        <w:rPr>
          <w:spacing w:val="-2"/>
        </w:rPr>
        <w:t>follows:</w:t>
      </w:r>
    </w:p>
    <w:p>
      <w:pPr>
        <w:pStyle w:val="BodyText"/>
      </w:pPr>
    </w:p>
    <w:p>
      <w:pPr>
        <w:pStyle w:val="BodyText"/>
        <w:spacing w:before="125"/>
      </w:pPr>
    </w:p>
    <w:p>
      <w:pPr>
        <w:pStyle w:val="BodyText"/>
        <w:spacing w:line="235" w:lineRule="auto"/>
        <w:ind w:left="1244" w:right="167"/>
        <w:jc w:val="both"/>
      </w:pPr>
      <w:r>
        <w:rPr/>
        <w:t>“Subject to the provisions of this section, the assured must disclose to the insurer, </w:t>
      </w:r>
      <w:r>
        <w:rPr/>
        <w:t>before the</w:t>
      </w:r>
      <w:r>
        <w:rPr>
          <w:spacing w:val="-3"/>
        </w:rPr>
        <w:t> </w:t>
      </w:r>
      <w:r>
        <w:rPr/>
        <w:t>contract</w:t>
      </w:r>
      <w:r>
        <w:rPr>
          <w:spacing w:val="-3"/>
        </w:rPr>
        <w:t> </w:t>
      </w:r>
      <w:r>
        <w:rPr/>
        <w:t>is</w:t>
      </w:r>
      <w:r>
        <w:rPr>
          <w:spacing w:val="-3"/>
        </w:rPr>
        <w:t> </w:t>
      </w:r>
      <w:r>
        <w:rPr/>
        <w:t>concluded,</w:t>
      </w:r>
      <w:r>
        <w:rPr>
          <w:spacing w:val="-3"/>
        </w:rPr>
        <w:t> </w:t>
      </w:r>
      <w:r>
        <w:rPr/>
        <w:t>every</w:t>
      </w:r>
      <w:r>
        <w:rPr>
          <w:spacing w:val="-3"/>
        </w:rPr>
        <w:t> </w:t>
      </w:r>
      <w:r>
        <w:rPr/>
        <w:t>material</w:t>
      </w:r>
      <w:r>
        <w:rPr>
          <w:spacing w:val="-3"/>
        </w:rPr>
        <w:t> </w:t>
      </w:r>
      <w:r>
        <w:rPr/>
        <w:t>circumstance</w:t>
      </w:r>
      <w:r>
        <w:rPr>
          <w:spacing w:val="-3"/>
        </w:rPr>
        <w:t> </w:t>
      </w:r>
      <w:r>
        <w:rPr/>
        <w:t>which</w:t>
      </w:r>
      <w:r>
        <w:rPr>
          <w:spacing w:val="-3"/>
        </w:rPr>
        <w:t> </w:t>
      </w:r>
      <w:r>
        <w:rPr/>
        <w:t>is</w:t>
      </w:r>
      <w:r>
        <w:rPr>
          <w:spacing w:val="-3"/>
        </w:rPr>
        <w:t> </w:t>
      </w:r>
      <w:r>
        <w:rPr/>
        <w:t>known</w:t>
      </w:r>
      <w:r>
        <w:rPr>
          <w:spacing w:val="-3"/>
        </w:rPr>
        <w:t> </w:t>
      </w:r>
      <w:r>
        <w:rPr/>
        <w:t>to</w:t>
      </w:r>
      <w:r>
        <w:rPr>
          <w:spacing w:val="-3"/>
        </w:rPr>
        <w:t> </w:t>
      </w:r>
      <w:r>
        <w:rPr/>
        <w:t>the</w:t>
      </w:r>
      <w:r>
        <w:rPr>
          <w:spacing w:val="-3"/>
        </w:rPr>
        <w:t> </w:t>
      </w:r>
      <w:r>
        <w:rPr/>
        <w:t>assured</w:t>
      </w:r>
      <w:r>
        <w:rPr>
          <w:spacing w:val="-3"/>
        </w:rPr>
        <w:t> </w:t>
      </w:r>
      <w:r>
        <w:rPr/>
        <w:t>and </w:t>
      </w:r>
      <w:bookmarkStart w:name="_bookmark1416" w:id="1418"/>
      <w:bookmarkEnd w:id="1418"/>
      <w:r>
        <w:rPr/>
        <w:t>the</w:t>
      </w:r>
      <w:r>
        <w:rPr/>
        <w:t> assured is deemed to know every circumstance which, in the ordinary course of business, ought to be known by him.” </w:t>
      </w:r>
      <w:r>
        <w:rPr>
          <w:color w:val="005DA1"/>
          <w:u w:val="single" w:color="005DA1"/>
          <w:vertAlign w:val="superscript"/>
        </w:rPr>
        <w:t>766</w:t>
      </w:r>
    </w:p>
    <w:p>
      <w:pPr>
        <w:pStyle w:val="BodyText"/>
        <w:spacing w:before="115"/>
      </w:pPr>
    </w:p>
    <w:p>
      <w:pPr>
        <w:pStyle w:val="BodyText"/>
        <w:spacing w:line="235" w:lineRule="auto" w:before="1"/>
        <w:ind w:left="165" w:right="166"/>
        <w:jc w:val="both"/>
      </w:pPr>
      <w:bookmarkStart w:name="_bookmark1417" w:id="1419"/>
      <w:bookmarkEnd w:id="1419"/>
      <w:r>
        <w:rPr/>
      </w:r>
      <w:r>
        <w:rPr/>
        <w:t>In non-marine insurance the duty may extend only to facts actually known to the assured. </w:t>
      </w:r>
      <w:r>
        <w:rPr>
          <w:color w:val="005DA1"/>
          <w:u w:val="single" w:color="005DA1"/>
          <w:vertAlign w:val="superscript"/>
        </w:rPr>
        <w:t>767</w:t>
      </w:r>
      <w:r>
        <w:rPr>
          <w:color w:val="005DA1"/>
          <w:vertAlign w:val="baseline"/>
        </w:rPr>
        <w:t> </w:t>
      </w:r>
      <w:r>
        <w:rPr>
          <w:vertAlign w:val="baseline"/>
        </w:rPr>
        <w:t>If so, </w:t>
      </w:r>
      <w:r>
        <w:rPr>
          <w:vertAlign w:val="baseline"/>
        </w:rPr>
        <w:t>he is under no duty to disclose facts of which he is ignorant. A statement which is expressed to depend on the assured’s state of mind will not be untrue simply because he was unaware of the true facts, provided that his statement of belief was genuine. For instance, a statement by the assured that he is in good health in relation to a proposed life policy will generally be construed to mean in good health </w:t>
      </w:r>
      <w:bookmarkStart w:name="_bookmark1418" w:id="1420"/>
      <w:bookmarkEnd w:id="1420"/>
      <w:r>
        <w:rPr>
          <w:vertAlign w:val="baseline"/>
        </w:rPr>
        <w:t>to</w:t>
      </w:r>
      <w:r>
        <w:rPr>
          <w:vertAlign w:val="baseline"/>
        </w:rPr>
        <w:t> his own knowledge, and the contract cannot be rescinded on proof that at the time of the contract the assured’s state of health was not what he believed it to be. </w:t>
      </w:r>
      <w:r>
        <w:rPr>
          <w:color w:val="005DA1"/>
          <w:u w:val="single" w:color="005DA1"/>
          <w:vertAlign w:val="superscript"/>
        </w:rPr>
        <w:t>768</w:t>
      </w:r>
      <w:r>
        <w:rPr>
          <w:color w:val="005DA1"/>
          <w:vertAlign w:val="baseline"/>
        </w:rPr>
        <w:t> </w:t>
      </w:r>
      <w:r>
        <w:rPr>
          <w:vertAlign w:val="baseline"/>
        </w:rPr>
        <w:t>If, however, he is aware of a fact </w:t>
      </w:r>
      <w:bookmarkStart w:name="_bookmark1419" w:id="1421"/>
      <w:bookmarkEnd w:id="1421"/>
      <w:r>
        <w:rPr>
          <w:vertAlign w:val="baseline"/>
        </w:rPr>
        <w:t>which</w:t>
      </w:r>
      <w:r>
        <w:rPr>
          <w:vertAlign w:val="baseline"/>
        </w:rPr>
        <w:t> a reasonable or prudent insurer might treat as material, he must disclose it; the test is not whether a reasonable man would think it material. </w:t>
      </w:r>
      <w:r>
        <w:rPr>
          <w:color w:val="005DA1"/>
          <w:u w:val="single" w:color="005DA1"/>
          <w:vertAlign w:val="superscript"/>
        </w:rPr>
        <w:t>769</w:t>
      </w:r>
      <w:r>
        <w:rPr>
          <w:color w:val="005DA1"/>
          <w:vertAlign w:val="baseline"/>
        </w:rPr>
        <w:t> </w:t>
      </w:r>
      <w:r>
        <w:rPr>
          <w:vertAlign w:val="baseline"/>
        </w:rPr>
        <w:t>Note that the Insurance Act 2015 came into force and the Marine Insurance Act 1906 was repealed in August 2016.</w:t>
      </w:r>
    </w:p>
    <w:p>
      <w:pPr>
        <w:pStyle w:val="BodyText"/>
      </w:pPr>
    </w:p>
    <w:p>
      <w:pPr>
        <w:pStyle w:val="BodyText"/>
        <w:spacing w:before="34"/>
      </w:pPr>
    </w:p>
    <w:p>
      <w:pPr>
        <w:spacing w:before="0"/>
        <w:ind w:left="165" w:right="0" w:firstLine="0"/>
        <w:jc w:val="left"/>
        <w:rPr>
          <w:rFonts w:ascii="Arial"/>
          <w:b/>
          <w:sz w:val="18"/>
        </w:rPr>
      </w:pPr>
      <w:r>
        <w:rPr>
          <w:rFonts w:ascii="Arial"/>
          <w:b/>
          <w:sz w:val="18"/>
        </w:rPr>
        <w:t>Remedies for non-</w:t>
      </w:r>
      <w:r>
        <w:rPr>
          <w:rFonts w:ascii="Arial"/>
          <w:b/>
          <w:spacing w:val="-2"/>
          <w:sz w:val="18"/>
        </w:rPr>
        <w:t>disclosure</w:t>
      </w:r>
    </w:p>
    <w:p>
      <w:pPr>
        <w:pStyle w:val="BodyText"/>
        <w:spacing w:before="42"/>
        <w:rPr>
          <w:rFonts w:ascii="Arial"/>
          <w:b/>
          <w:sz w:val="18"/>
        </w:rPr>
      </w:pPr>
    </w:p>
    <w:p>
      <w:pPr>
        <w:pStyle w:val="Heading2"/>
      </w:pPr>
      <w:r>
        <w:rPr/>
        <w:t>7-</w:t>
      </w:r>
      <w:r>
        <w:rPr>
          <w:spacing w:val="-5"/>
        </w:rPr>
        <w:t>165</w:t>
      </w:r>
    </w:p>
    <w:p>
      <w:pPr>
        <w:pStyle w:val="BodyText"/>
        <w:spacing w:line="235" w:lineRule="auto" w:before="202"/>
        <w:ind w:left="164" w:right="167"/>
        <w:jc w:val="both"/>
      </w:pPr>
      <w:bookmarkStart w:name="_bookmark1420" w:id="1422"/>
      <w:bookmarkEnd w:id="1422"/>
      <w:r>
        <w:rPr/>
      </w:r>
      <w:r>
        <w:rPr/>
        <w:t>Traditionally, the insurer’s remedy for breach of the duty of disclosure by the insured as been </w:t>
      </w:r>
      <w:r>
        <w:rPr/>
        <w:t>to rescind (or “avoid”) the contract. </w:t>
      </w:r>
      <w:r>
        <w:rPr>
          <w:color w:val="005DA1"/>
          <w:u w:val="single" w:color="005DA1"/>
          <w:vertAlign w:val="superscript"/>
        </w:rPr>
        <w:t>770</w:t>
      </w:r>
      <w:r>
        <w:rPr>
          <w:color w:val="005DA1"/>
          <w:vertAlign w:val="baseline"/>
        </w:rPr>
        <w:t> </w:t>
      </w:r>
      <w:r>
        <w:rPr>
          <w:vertAlign w:val="baseline"/>
        </w:rPr>
        <w:t>Under both the Consumer Insurance (Disclosure and Representations) Act 2012 and the Insurance Act 2015, if the breach of the relevant duty by the </w:t>
      </w:r>
      <w:bookmarkStart w:name="_bookmark1421" w:id="1423"/>
      <w:bookmarkEnd w:id="1423"/>
      <w:r>
        <w:rPr>
          <w:vertAlign w:val="baseline"/>
        </w:rPr>
        <w:t>insured</w:t>
      </w:r>
      <w:r>
        <w:rPr>
          <w:vertAlign w:val="baseline"/>
        </w:rPr>
        <w:t> was deliberate or reckless, the insurer may avoid the policy and refuse all claims, and may</w:t>
      </w:r>
      <w:r>
        <w:rPr>
          <w:spacing w:val="40"/>
          <w:vertAlign w:val="baseline"/>
        </w:rPr>
        <w:t> </w:t>
      </w:r>
      <w:bookmarkStart w:name="_bookmark1422" w:id="1424"/>
      <w:bookmarkEnd w:id="1424"/>
      <w:r>
        <w:rPr>
          <w:vertAlign w:val="baseline"/>
        </w:rPr>
        <w:t>not</w:t>
      </w:r>
      <w:r>
        <w:rPr>
          <w:vertAlign w:val="baseline"/>
        </w:rPr>
        <w:t> have to return the premium </w:t>
      </w:r>
      <w:r>
        <w:rPr>
          <w:color w:val="005DA1"/>
          <w:u w:val="single" w:color="005DA1"/>
          <w:vertAlign w:val="superscript"/>
        </w:rPr>
        <w:t>771</w:t>
      </w:r>
      <w:r>
        <w:rPr>
          <w:vertAlign w:val="baseline"/>
        </w:rPr>
        <w:t>; but in other cases the insurer may avoid the contract only if, in the absence of the breach the insurer would not have entered the contract on any terms. </w:t>
      </w:r>
      <w:r>
        <w:rPr>
          <w:color w:val="005DA1"/>
          <w:u w:val="single" w:color="005DA1"/>
          <w:vertAlign w:val="superscript"/>
        </w:rPr>
        <w:t>772</w:t>
      </w:r>
      <w:r>
        <w:rPr>
          <w:color w:val="005DA1"/>
          <w:vertAlign w:val="baseline"/>
        </w:rPr>
        <w:t> </w:t>
      </w:r>
      <w:r>
        <w:rPr>
          <w:vertAlign w:val="baseline"/>
        </w:rPr>
        <w:t>If the insurer </w:t>
      </w:r>
      <w:bookmarkStart w:name="_bookmark1423" w:id="1425"/>
      <w:bookmarkEnd w:id="1425"/>
      <w:r>
        <w:rPr>
          <w:vertAlign w:val="baseline"/>
        </w:rPr>
        <w:t>would</w:t>
      </w:r>
      <w:r>
        <w:rPr>
          <w:vertAlign w:val="baseline"/>
        </w:rPr>
        <w:t> have entered the contract but on different terms, then the contract is to be treated as if it </w:t>
      </w:r>
      <w:bookmarkStart w:name="_bookmark1424" w:id="1426"/>
      <w:bookmarkEnd w:id="1426"/>
      <w:r>
        <w:rPr>
          <w:vertAlign w:val="baseline"/>
        </w:rPr>
        <w:t>contained</w:t>
      </w:r>
      <w:r>
        <w:rPr>
          <w:vertAlign w:val="baseline"/>
        </w:rPr>
        <w:t> those terms </w:t>
      </w:r>
      <w:r>
        <w:rPr>
          <w:color w:val="005DA1"/>
          <w:u w:val="single" w:color="005DA1"/>
          <w:vertAlign w:val="superscript"/>
        </w:rPr>
        <w:t>773</w:t>
      </w:r>
      <w:r>
        <w:rPr>
          <w:vertAlign w:val="baseline"/>
        </w:rPr>
        <w:t>; if at a different premium, then the insurer may reduce the amount paid on the claim proportionately. </w:t>
      </w:r>
      <w:r>
        <w:rPr>
          <w:color w:val="005DA1"/>
          <w:u w:val="single" w:color="005DA1"/>
          <w:vertAlign w:val="superscript"/>
        </w:rPr>
        <w:t>774</w:t>
      </w:r>
      <w:r>
        <w:rPr>
          <w:color w:val="005DA1"/>
          <w:vertAlign w:val="baseline"/>
        </w:rPr>
        <w:t> </w:t>
      </w:r>
      <w:r>
        <w:rPr>
          <w:vertAlign w:val="baseline"/>
        </w:rPr>
        <w:t>Note that the Insurance Act 2015 came into force and the Marine Insurance Act 1906 was repealed in August 2016.</w:t>
      </w:r>
    </w:p>
    <w:p>
      <w:pPr>
        <w:pStyle w:val="BodyText"/>
      </w:pPr>
    </w:p>
    <w:p>
      <w:pPr>
        <w:pStyle w:val="BodyText"/>
        <w:spacing w:before="35"/>
      </w:pPr>
    </w:p>
    <w:p>
      <w:pPr>
        <w:spacing w:before="0"/>
        <w:ind w:left="164" w:right="0" w:firstLine="0"/>
        <w:jc w:val="left"/>
        <w:rPr>
          <w:rFonts w:ascii="Arial" w:hAnsi="Arial"/>
          <w:b/>
          <w:sz w:val="18"/>
        </w:rPr>
      </w:pPr>
      <w:r>
        <w:rPr>
          <w:rFonts w:ascii="Arial" w:hAnsi="Arial"/>
          <w:b/>
          <w:sz w:val="18"/>
        </w:rPr>
        <w:t>“Basis of the </w:t>
      </w:r>
      <w:r>
        <w:rPr>
          <w:rFonts w:ascii="Arial" w:hAnsi="Arial"/>
          <w:b/>
          <w:spacing w:val="-2"/>
          <w:sz w:val="18"/>
        </w:rPr>
        <w:t>contract”</w:t>
      </w:r>
    </w:p>
    <w:p>
      <w:pPr>
        <w:pStyle w:val="BodyText"/>
        <w:spacing w:before="41"/>
        <w:rPr>
          <w:rFonts w:ascii="Arial"/>
          <w:b/>
          <w:sz w:val="18"/>
        </w:rPr>
      </w:pPr>
    </w:p>
    <w:p>
      <w:pPr>
        <w:pStyle w:val="Heading2"/>
        <w:spacing w:before="1"/>
        <w:ind w:left="164"/>
      </w:pPr>
      <w:r>
        <w:rPr/>
        <w:t>7-</w:t>
      </w:r>
      <w:r>
        <w:rPr>
          <w:spacing w:val="-5"/>
        </w:rPr>
        <w:t>166</w:t>
      </w:r>
    </w:p>
    <w:p>
      <w:pPr>
        <w:pStyle w:val="BodyText"/>
        <w:spacing w:line="235" w:lineRule="auto" w:before="202"/>
        <w:ind w:left="164" w:right="167"/>
        <w:jc w:val="both"/>
      </w:pPr>
      <w:r>
        <w:rPr/>
        <w:t>Traditionally, the insurer’s remedies could be enlarged by the terms of the contract, and insurers commonly provided that the declarations of the assured shall form the basis of the contract. In </w:t>
      </w:r>
      <w:r>
        <w:rPr/>
        <w:t>effect this means that the assured “warrants” that the information which he supplies is correct, the penalty </w:t>
      </w:r>
      <w:bookmarkStart w:name="_bookmark1425" w:id="1427"/>
      <w:bookmarkEnd w:id="1427"/>
      <w:r>
        <w:rPr/>
        <w:t>for</w:t>
      </w:r>
      <w:r>
        <w:rPr>
          <w:spacing w:val="-1"/>
        </w:rPr>
        <w:t> </w:t>
      </w:r>
      <w:r>
        <w:rPr/>
        <w:t>inaccuracy</w:t>
      </w:r>
      <w:r>
        <w:rPr>
          <w:spacing w:val="-1"/>
        </w:rPr>
        <w:t> </w:t>
      </w:r>
      <w:r>
        <w:rPr/>
        <w:t>being</w:t>
      </w:r>
      <w:r>
        <w:rPr>
          <w:spacing w:val="-1"/>
        </w:rPr>
        <w:t> </w:t>
      </w:r>
      <w:r>
        <w:rPr/>
        <w:t>the</w:t>
      </w:r>
      <w:r>
        <w:rPr>
          <w:spacing w:val="-1"/>
        </w:rPr>
        <w:t> </w:t>
      </w:r>
      <w:r>
        <w:rPr/>
        <w:t>avoidance</w:t>
      </w:r>
      <w:r>
        <w:rPr>
          <w:spacing w:val="-1"/>
        </w:rPr>
        <w:t> </w:t>
      </w:r>
      <w:r>
        <w:rPr/>
        <w:t>of</w:t>
      </w:r>
      <w:r>
        <w:rPr>
          <w:spacing w:val="-1"/>
        </w:rPr>
        <w:t> </w:t>
      </w:r>
      <w:r>
        <w:rPr/>
        <w:t>the</w:t>
      </w:r>
      <w:r>
        <w:rPr>
          <w:spacing w:val="-1"/>
        </w:rPr>
        <w:t> </w:t>
      </w:r>
      <w:r>
        <w:rPr/>
        <w:t>contract</w:t>
      </w:r>
      <w:r>
        <w:rPr>
          <w:spacing w:val="-1"/>
        </w:rPr>
        <w:t> </w:t>
      </w:r>
      <w:r>
        <w:rPr/>
        <w:t>by</w:t>
      </w:r>
      <w:r>
        <w:rPr>
          <w:spacing w:val="-1"/>
        </w:rPr>
        <w:t> </w:t>
      </w:r>
      <w:r>
        <w:rPr/>
        <w:t>the</w:t>
      </w:r>
      <w:r>
        <w:rPr>
          <w:spacing w:val="-1"/>
        </w:rPr>
        <w:t> </w:t>
      </w:r>
      <w:r>
        <w:rPr/>
        <w:t>insurer.</w:t>
      </w:r>
      <w:r>
        <w:rPr>
          <w:spacing w:val="-1"/>
        </w:rPr>
        <w:t> </w:t>
      </w:r>
      <w:r>
        <w:rPr/>
        <w:t>Thus</w:t>
      </w:r>
      <w:r>
        <w:rPr>
          <w:spacing w:val="-1"/>
        </w:rPr>
        <w:t> </w:t>
      </w:r>
      <w:r>
        <w:rPr/>
        <w:t>the</w:t>
      </w:r>
      <w:r>
        <w:rPr>
          <w:spacing w:val="-1"/>
        </w:rPr>
        <w:t> </w:t>
      </w:r>
      <w:r>
        <w:rPr/>
        <w:t>insurer</w:t>
      </w:r>
      <w:r>
        <w:rPr>
          <w:spacing w:val="-1"/>
        </w:rPr>
        <w:t> </w:t>
      </w:r>
      <w:r>
        <w:rPr/>
        <w:t>may</w:t>
      </w:r>
      <w:r>
        <w:rPr>
          <w:spacing w:val="-1"/>
        </w:rPr>
        <w:t> </w:t>
      </w:r>
      <w:r>
        <w:rPr/>
        <w:t>be</w:t>
      </w:r>
      <w:r>
        <w:rPr>
          <w:spacing w:val="-1"/>
        </w:rPr>
        <w:t> </w:t>
      </w:r>
      <w:r>
        <w:rPr/>
        <w:t>discharged </w:t>
      </w:r>
      <w:bookmarkStart w:name="_bookmark1426" w:id="1428"/>
      <w:bookmarkEnd w:id="1428"/>
      <w:r>
        <w:rPr/>
        <w:t>from</w:t>
      </w:r>
      <w:r>
        <w:rPr/>
        <w:t> liability </w:t>
      </w:r>
      <w:r>
        <w:rPr>
          <w:color w:val="005DA1"/>
          <w:u w:val="single" w:color="005DA1"/>
          <w:vertAlign w:val="superscript"/>
        </w:rPr>
        <w:t>775</w:t>
      </w:r>
      <w:r>
        <w:rPr>
          <w:color w:val="005DA1"/>
          <w:vertAlign w:val="baseline"/>
        </w:rPr>
        <w:t> </w:t>
      </w:r>
      <w:r>
        <w:rPr>
          <w:vertAlign w:val="baseline"/>
        </w:rPr>
        <w:t>if the assured fails to disclose even a non-material fact, </w:t>
      </w:r>
      <w:r>
        <w:rPr>
          <w:color w:val="005DA1"/>
          <w:u w:val="single" w:color="005DA1"/>
          <w:vertAlign w:val="superscript"/>
        </w:rPr>
        <w:t>776</w:t>
      </w:r>
      <w:r>
        <w:rPr>
          <w:color w:val="005DA1"/>
          <w:vertAlign w:val="baseline"/>
        </w:rPr>
        <w:t> </w:t>
      </w:r>
      <w:r>
        <w:rPr>
          <w:vertAlign w:val="baseline"/>
        </w:rPr>
        <w:t>or a fact never within his knowledge, or if he gives what has proved to be an inaccurate statement on a matter of opinion. </w:t>
      </w:r>
      <w:r>
        <w:rPr>
          <w:color w:val="005DA1"/>
          <w:u w:val="single" w:color="005DA1"/>
          <w:vertAlign w:val="superscript"/>
        </w:rPr>
        <w:t>777</w:t>
      </w:r>
      <w:r>
        <w:rPr>
          <w:color w:val="005DA1"/>
          <w:vertAlign w:val="baseline"/>
        </w:rPr>
        <w:t> </w:t>
      </w:r>
      <w:bookmarkStart w:name="_bookmark1427" w:id="1429"/>
      <w:bookmarkEnd w:id="1429"/>
      <w:r>
        <w:rPr>
          <w:color w:val="005DA1"/>
          <w:w w:val="92"/>
          <w:vertAlign w:val="baseline"/>
        </w:rPr>
      </w:r>
      <w:r>
        <w:rPr>
          <w:vertAlign w:val="baseline"/>
        </w:rPr>
        <w:t>Where an attempt is made to enlarge the duty by the terms of the contract, the courts put a strict burden of proof upon the insurer. </w:t>
      </w:r>
      <w:r>
        <w:rPr>
          <w:color w:val="005DA1"/>
          <w:u w:val="single" w:color="005DA1"/>
          <w:vertAlign w:val="superscript"/>
        </w:rPr>
        <w:t>778</w:t>
      </w:r>
      <w:r>
        <w:rPr>
          <w:color w:val="005DA1"/>
          <w:vertAlign w:val="baseline"/>
        </w:rPr>
        <w:t> </w:t>
      </w:r>
      <w:r>
        <w:rPr>
          <w:vertAlign w:val="baseline"/>
        </w:rPr>
        <w:t>But this has not prevented the courts from holding that even disclosure to a representative of the insurer is insufficient, if (as has in the past commonly been the case</w:t>
      </w:r>
      <w:r>
        <w:rPr>
          <w:spacing w:val="17"/>
          <w:vertAlign w:val="baseline"/>
        </w:rPr>
        <w:t> </w:t>
      </w:r>
      <w:r>
        <w:rPr>
          <w:vertAlign w:val="baseline"/>
        </w:rPr>
        <w:t>with</w:t>
      </w:r>
      <w:r>
        <w:rPr>
          <w:spacing w:val="17"/>
          <w:vertAlign w:val="baseline"/>
        </w:rPr>
        <w:t> </w:t>
      </w:r>
      <w:r>
        <w:rPr>
          <w:vertAlign w:val="baseline"/>
        </w:rPr>
        <w:t>some</w:t>
      </w:r>
      <w:r>
        <w:rPr>
          <w:spacing w:val="17"/>
          <w:vertAlign w:val="baseline"/>
        </w:rPr>
        <w:t> </w:t>
      </w:r>
      <w:r>
        <w:rPr>
          <w:vertAlign w:val="baseline"/>
        </w:rPr>
        <w:t>forms</w:t>
      </w:r>
      <w:r>
        <w:rPr>
          <w:spacing w:val="17"/>
          <w:vertAlign w:val="baseline"/>
        </w:rPr>
        <w:t> </w:t>
      </w:r>
      <w:r>
        <w:rPr>
          <w:vertAlign w:val="baseline"/>
        </w:rPr>
        <w:t>of</w:t>
      </w:r>
      <w:r>
        <w:rPr>
          <w:spacing w:val="17"/>
          <w:vertAlign w:val="baseline"/>
        </w:rPr>
        <w:t> </w:t>
      </w:r>
      <w:r>
        <w:rPr>
          <w:vertAlign w:val="baseline"/>
        </w:rPr>
        <w:t>insurance)</w:t>
      </w:r>
      <w:r>
        <w:rPr>
          <w:spacing w:val="17"/>
          <w:vertAlign w:val="baseline"/>
        </w:rPr>
        <w:t> </w:t>
      </w:r>
      <w:r>
        <w:rPr>
          <w:vertAlign w:val="baseline"/>
        </w:rPr>
        <w:t>the</w:t>
      </w:r>
      <w:r>
        <w:rPr>
          <w:spacing w:val="17"/>
          <w:vertAlign w:val="baseline"/>
        </w:rPr>
        <w:t> </w:t>
      </w:r>
      <w:r>
        <w:rPr>
          <w:vertAlign w:val="baseline"/>
        </w:rPr>
        <w:t>proposal</w:t>
      </w:r>
      <w:r>
        <w:rPr>
          <w:spacing w:val="17"/>
          <w:vertAlign w:val="baseline"/>
        </w:rPr>
        <w:t> </w:t>
      </w:r>
      <w:r>
        <w:rPr>
          <w:vertAlign w:val="baseline"/>
        </w:rPr>
        <w:t>form</w:t>
      </w:r>
      <w:r>
        <w:rPr>
          <w:spacing w:val="17"/>
          <w:vertAlign w:val="baseline"/>
        </w:rPr>
        <w:t> </w:t>
      </w:r>
      <w:r>
        <w:rPr>
          <w:vertAlign w:val="baseline"/>
        </w:rPr>
        <w:t>declares</w:t>
      </w:r>
      <w:r>
        <w:rPr>
          <w:spacing w:val="17"/>
          <w:vertAlign w:val="baseline"/>
        </w:rPr>
        <w:t> </w:t>
      </w:r>
      <w:r>
        <w:rPr>
          <w:vertAlign w:val="baseline"/>
        </w:rPr>
        <w:t>that</w:t>
      </w:r>
      <w:r>
        <w:rPr>
          <w:spacing w:val="17"/>
          <w:vertAlign w:val="baseline"/>
        </w:rPr>
        <w:t> </w:t>
      </w:r>
      <w:r>
        <w:rPr>
          <w:vertAlign w:val="baseline"/>
        </w:rPr>
        <w:t>any</w:t>
      </w:r>
      <w:r>
        <w:rPr>
          <w:spacing w:val="17"/>
          <w:vertAlign w:val="baseline"/>
        </w:rPr>
        <w:t> </w:t>
      </w:r>
      <w:r>
        <w:rPr>
          <w:vertAlign w:val="baseline"/>
        </w:rPr>
        <w:t>person</w:t>
      </w:r>
      <w:r>
        <w:rPr>
          <w:spacing w:val="17"/>
          <w:vertAlign w:val="baseline"/>
        </w:rPr>
        <w:t> </w:t>
      </w:r>
      <w:r>
        <w:rPr>
          <w:vertAlign w:val="baseline"/>
        </w:rPr>
        <w:t>filling</w:t>
      </w:r>
      <w:r>
        <w:rPr>
          <w:spacing w:val="17"/>
          <w:vertAlign w:val="baseline"/>
        </w:rPr>
        <w:t> </w:t>
      </w:r>
      <w:r>
        <w:rPr>
          <w:vertAlign w:val="baseline"/>
        </w:rPr>
        <w:t>in</w:t>
      </w:r>
      <w:r>
        <w:rPr>
          <w:spacing w:val="17"/>
          <w:vertAlign w:val="baseline"/>
        </w:rPr>
        <w:t> </w:t>
      </w:r>
      <w:r>
        <w:rPr>
          <w:vertAlign w:val="baseline"/>
        </w:rPr>
        <w:t>the</w:t>
      </w:r>
      <w:r>
        <w:rPr>
          <w:spacing w:val="17"/>
          <w:vertAlign w:val="baseline"/>
        </w:rPr>
        <w:t> </w:t>
      </w:r>
      <w:r>
        <w:rPr>
          <w:vertAlign w:val="baseline"/>
        </w:rPr>
        <w:t>form</w:t>
      </w:r>
      <w:r>
        <w:rPr>
          <w:spacing w:val="17"/>
          <w:vertAlign w:val="baseline"/>
        </w:rPr>
        <w:t> </w:t>
      </w:r>
      <w:r>
        <w:rPr>
          <w:spacing w:val="-5"/>
          <w:vertAlign w:val="baseline"/>
        </w:rPr>
        <w:t>is</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bookmarkStart w:name="_bookmark1428" w:id="1430"/>
      <w:bookmarkEnd w:id="1430"/>
      <w:r>
        <w:rPr/>
      </w:r>
      <w:r>
        <w:rPr/>
        <w:t>deemed to be the agent of the insured, and not of the insurer. </w:t>
      </w:r>
      <w:r>
        <w:rPr>
          <w:color w:val="005DA1"/>
          <w:u w:val="single" w:color="005DA1"/>
          <w:vertAlign w:val="superscript"/>
        </w:rPr>
        <w:t>779</w:t>
      </w:r>
      <w:r>
        <w:rPr>
          <w:color w:val="005DA1"/>
          <w:vertAlign w:val="baseline"/>
        </w:rPr>
        <w:t> </w:t>
      </w:r>
      <w:r>
        <w:rPr>
          <w:vertAlign w:val="baseline"/>
        </w:rPr>
        <w:t>More recently, however, it has </w:t>
      </w:r>
      <w:r>
        <w:rPr>
          <w:vertAlign w:val="baseline"/>
        </w:rPr>
        <w:t>been </w:t>
      </w:r>
      <w:bookmarkStart w:name="_bookmark1429" w:id="1431"/>
      <w:bookmarkEnd w:id="1431"/>
      <w:r>
        <w:rPr>
          <w:vertAlign w:val="baseline"/>
        </w:rPr>
        <w:t>held</w:t>
      </w:r>
      <w:r>
        <w:rPr>
          <w:vertAlign w:val="baseline"/>
        </w:rPr>
        <w:t> that if the representative is authorised by the insurer to fill in the forms and then secure the </w:t>
      </w:r>
      <w:bookmarkStart w:name="_bookmark1430" w:id="1432"/>
      <w:bookmarkEnd w:id="1432"/>
      <w:r>
        <w:rPr>
          <w:vertAlign w:val="baseline"/>
        </w:rPr>
        <w:t>proposer’s</w:t>
      </w:r>
      <w:r>
        <w:rPr>
          <w:vertAlign w:val="baseline"/>
        </w:rPr>
        <w:t> signature thereto, he may be held to be the agent of the insurer. </w:t>
      </w:r>
      <w:r>
        <w:rPr>
          <w:color w:val="005DA1"/>
          <w:u w:val="single" w:color="005DA1"/>
          <w:vertAlign w:val="superscript"/>
        </w:rPr>
        <w:t>780</w:t>
      </w:r>
      <w:r>
        <w:rPr>
          <w:color w:val="005DA1"/>
          <w:vertAlign w:val="baseline"/>
        </w:rPr>
        <w:t> </w:t>
      </w:r>
      <w:r>
        <w:rPr>
          <w:vertAlign w:val="baseline"/>
        </w:rPr>
        <w:t>Under both the Consumer</w:t>
      </w:r>
      <w:r>
        <w:rPr>
          <w:spacing w:val="-2"/>
          <w:vertAlign w:val="baseline"/>
        </w:rPr>
        <w:t> </w:t>
      </w:r>
      <w:r>
        <w:rPr>
          <w:vertAlign w:val="baseline"/>
        </w:rPr>
        <w:t>Insurance</w:t>
      </w:r>
      <w:r>
        <w:rPr>
          <w:spacing w:val="-2"/>
          <w:vertAlign w:val="baseline"/>
        </w:rPr>
        <w:t> </w:t>
      </w:r>
      <w:r>
        <w:rPr>
          <w:vertAlign w:val="baseline"/>
        </w:rPr>
        <w:t>(Disclosure</w:t>
      </w:r>
      <w:r>
        <w:rPr>
          <w:spacing w:val="-2"/>
          <w:vertAlign w:val="baseline"/>
        </w:rPr>
        <w:t> </w:t>
      </w:r>
      <w:r>
        <w:rPr>
          <w:vertAlign w:val="baseline"/>
        </w:rPr>
        <w:t>and</w:t>
      </w:r>
      <w:r>
        <w:rPr>
          <w:spacing w:val="-2"/>
          <w:vertAlign w:val="baseline"/>
        </w:rPr>
        <w:t> </w:t>
      </w:r>
      <w:r>
        <w:rPr>
          <w:vertAlign w:val="baseline"/>
        </w:rPr>
        <w:t>Representations)</w:t>
      </w:r>
      <w:r>
        <w:rPr>
          <w:spacing w:val="-2"/>
          <w:vertAlign w:val="baseline"/>
        </w:rPr>
        <w:t> </w:t>
      </w:r>
      <w:r>
        <w:rPr>
          <w:vertAlign w:val="baseline"/>
        </w:rPr>
        <w:t>Act</w:t>
      </w:r>
      <w:r>
        <w:rPr>
          <w:spacing w:val="-2"/>
          <w:vertAlign w:val="baseline"/>
        </w:rPr>
        <w:t> </w:t>
      </w:r>
      <w:r>
        <w:rPr>
          <w:vertAlign w:val="baseline"/>
        </w:rPr>
        <w:t>2012</w:t>
      </w:r>
      <w:r>
        <w:rPr>
          <w:spacing w:val="-2"/>
          <w:vertAlign w:val="baseline"/>
        </w:rPr>
        <w:t> </w:t>
      </w:r>
      <w:r>
        <w:rPr>
          <w:color w:val="005DA1"/>
          <w:u w:val="single" w:color="005DA1"/>
          <w:vertAlign w:val="superscript"/>
        </w:rPr>
        <w:t>781</w:t>
      </w:r>
      <w:r>
        <w:rPr>
          <w:color w:val="005DA1"/>
          <w:spacing w:val="-2"/>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Insurance</w:t>
      </w:r>
      <w:r>
        <w:rPr>
          <w:spacing w:val="-2"/>
          <w:vertAlign w:val="baseline"/>
        </w:rPr>
        <w:t> </w:t>
      </w:r>
      <w:r>
        <w:rPr>
          <w:vertAlign w:val="baseline"/>
        </w:rPr>
        <w:t>Act</w:t>
      </w:r>
      <w:r>
        <w:rPr>
          <w:spacing w:val="-2"/>
          <w:vertAlign w:val="baseline"/>
        </w:rPr>
        <w:t> </w:t>
      </w:r>
      <w:r>
        <w:rPr>
          <w:vertAlign w:val="baseline"/>
        </w:rPr>
        <w:t>2015,</w:t>
      </w:r>
      <w:r>
        <w:rPr>
          <w:spacing w:val="-2"/>
          <w:vertAlign w:val="baseline"/>
        </w:rPr>
        <w:t> </w:t>
      </w:r>
      <w:r>
        <w:rPr>
          <w:color w:val="005DA1"/>
          <w:u w:val="single" w:color="005DA1"/>
          <w:vertAlign w:val="superscript"/>
        </w:rPr>
        <w:t>782</w:t>
      </w:r>
      <w:r>
        <w:rPr>
          <w:color w:val="005DA1"/>
          <w:spacing w:val="-2"/>
          <w:vertAlign w:val="baseline"/>
        </w:rPr>
        <w:t> </w:t>
      </w:r>
      <w:r>
        <w:rPr>
          <w:vertAlign w:val="baseline"/>
        </w:rPr>
        <w:t>a representation by the insured may not be converted into a warranty by means of a “basis of the contract” clause or any other provision of the insurance contract or any other contract. Note that the Insurance Act 2015 came into force and the Marine Insurance Act 1906 was repealed in August </w:t>
      </w:r>
      <w:r>
        <w:rPr>
          <w:spacing w:val="-2"/>
          <w:vertAlign w:val="baseline"/>
        </w:rPr>
        <w:t>2016.</w:t>
      </w:r>
    </w:p>
    <w:p>
      <w:pPr>
        <w:pStyle w:val="BodyText"/>
      </w:pPr>
    </w:p>
    <w:p>
      <w:pPr>
        <w:pStyle w:val="BodyText"/>
        <w:spacing w:before="36"/>
      </w:pPr>
    </w:p>
    <w:p>
      <w:pPr>
        <w:spacing w:before="0"/>
        <w:ind w:left="165" w:right="0" w:firstLine="0"/>
        <w:jc w:val="both"/>
        <w:rPr>
          <w:rFonts w:ascii="Arial"/>
          <w:b/>
          <w:sz w:val="18"/>
        </w:rPr>
      </w:pPr>
      <w:r>
        <w:rPr>
          <w:rFonts w:ascii="Arial"/>
          <w:b/>
          <w:sz w:val="18"/>
        </w:rPr>
        <w:t>Burden of </w:t>
      </w:r>
      <w:r>
        <w:rPr>
          <w:rFonts w:ascii="Arial"/>
          <w:b/>
          <w:spacing w:val="-2"/>
          <w:sz w:val="18"/>
        </w:rPr>
        <w:t>proof</w:t>
      </w:r>
    </w:p>
    <w:p>
      <w:pPr>
        <w:pStyle w:val="BodyText"/>
        <w:spacing w:before="41"/>
        <w:rPr>
          <w:rFonts w:ascii="Arial"/>
          <w:b/>
          <w:sz w:val="18"/>
        </w:rPr>
      </w:pPr>
    </w:p>
    <w:p>
      <w:pPr>
        <w:pStyle w:val="Heading2"/>
      </w:pPr>
      <w:r>
        <w:rPr/>
        <w:t>7-</w:t>
      </w:r>
      <w:r>
        <w:rPr>
          <w:spacing w:val="-5"/>
        </w:rPr>
        <w:t>167</w:t>
      </w:r>
    </w:p>
    <w:p>
      <w:pPr>
        <w:pStyle w:val="BodyText"/>
        <w:spacing w:line="235" w:lineRule="auto" w:before="203"/>
        <w:ind w:left="164" w:right="167"/>
        <w:jc w:val="both"/>
      </w:pPr>
      <w:r>
        <w:rPr/>
        <w:t>With</w:t>
      </w:r>
      <w:r>
        <w:rPr>
          <w:spacing w:val="80"/>
        </w:rPr>
        <w:t> </w:t>
      </w:r>
      <w:r>
        <w:rPr/>
        <w:t>regard</w:t>
      </w:r>
      <w:r>
        <w:rPr>
          <w:spacing w:val="80"/>
        </w:rPr>
        <w:t> </w:t>
      </w:r>
      <w:r>
        <w:rPr/>
        <w:t>to</w:t>
      </w:r>
      <w:r>
        <w:rPr>
          <w:spacing w:val="80"/>
        </w:rPr>
        <w:t> </w:t>
      </w:r>
      <w:r>
        <w:rPr/>
        <w:t>the</w:t>
      </w:r>
      <w:r>
        <w:rPr>
          <w:spacing w:val="80"/>
        </w:rPr>
        <w:t> </w:t>
      </w:r>
      <w:r>
        <w:rPr/>
        <w:t>burden</w:t>
      </w:r>
      <w:r>
        <w:rPr>
          <w:spacing w:val="80"/>
        </w:rPr>
        <w:t> </w:t>
      </w:r>
      <w:r>
        <w:rPr/>
        <w:t>of</w:t>
      </w:r>
      <w:r>
        <w:rPr>
          <w:spacing w:val="80"/>
        </w:rPr>
        <w:t> </w:t>
      </w:r>
      <w:r>
        <w:rPr/>
        <w:t>proof</w:t>
      </w:r>
      <w:r>
        <w:rPr>
          <w:spacing w:val="80"/>
        </w:rPr>
        <w:t> </w:t>
      </w:r>
      <w:r>
        <w:rPr/>
        <w:t>generally,</w:t>
      </w:r>
      <w:r>
        <w:rPr>
          <w:spacing w:val="80"/>
        </w:rPr>
        <w:t> </w:t>
      </w:r>
      <w:r>
        <w:rPr/>
        <w:t>the</w:t>
      </w:r>
      <w:r>
        <w:rPr>
          <w:spacing w:val="80"/>
        </w:rPr>
        <w:t> </w:t>
      </w:r>
      <w:r>
        <w:rPr/>
        <w:t>insurer</w:t>
      </w:r>
      <w:r>
        <w:rPr>
          <w:spacing w:val="80"/>
        </w:rPr>
        <w:t> </w:t>
      </w:r>
      <w:r>
        <w:rPr/>
        <w:t>must</w:t>
      </w:r>
      <w:r>
        <w:rPr>
          <w:spacing w:val="80"/>
        </w:rPr>
        <w:t> </w:t>
      </w:r>
      <w:r>
        <w:rPr/>
        <w:t>produce</w:t>
      </w:r>
      <w:r>
        <w:rPr>
          <w:spacing w:val="80"/>
        </w:rPr>
        <w:t> </w:t>
      </w:r>
      <w:r>
        <w:rPr/>
        <w:t>evidence</w:t>
      </w:r>
      <w:r>
        <w:rPr>
          <w:spacing w:val="80"/>
        </w:rPr>
        <w:t> </w:t>
      </w:r>
      <w:r>
        <w:rPr/>
        <w:t>to</w:t>
      </w:r>
      <w:r>
        <w:rPr>
          <w:spacing w:val="80"/>
        </w:rPr>
        <w:t> </w:t>
      </w:r>
      <w:r>
        <w:rPr/>
        <w:t>show </w:t>
      </w:r>
      <w:bookmarkStart w:name="_bookmark1431" w:id="1433"/>
      <w:bookmarkEnd w:id="1433"/>
      <w:r>
        <w:rPr/>
        <w:t>non</w:t>
      </w:r>
      <w:r>
        <w:rPr/>
        <w:t>-disclosure, unless there is prima facie evidence of concealment. In that case the burden is on the </w:t>
      </w:r>
      <w:bookmarkStart w:name="_bookmark1432" w:id="1434"/>
      <w:bookmarkEnd w:id="1434"/>
      <w:r>
        <w:rPr/>
        <w:t>assured</w:t>
      </w:r>
      <w:r>
        <w:rPr/>
        <w:t> to prove disclosure. </w:t>
      </w:r>
      <w:r>
        <w:rPr>
          <w:color w:val="005DA1"/>
          <w:u w:val="single" w:color="005DA1"/>
          <w:vertAlign w:val="superscript"/>
        </w:rPr>
        <w:t>783</w:t>
      </w:r>
      <w:r>
        <w:rPr>
          <w:color w:val="005DA1"/>
          <w:vertAlign w:val="baseline"/>
        </w:rPr>
        <w:t> </w:t>
      </w:r>
      <w:r>
        <w:rPr>
          <w:vertAlign w:val="baseline"/>
        </w:rPr>
        <w:t>Similarly, under the new legislation it appears to be for the insurer to </w:t>
      </w:r>
      <w:bookmarkStart w:name="_bookmark1433" w:id="1435"/>
      <w:bookmarkEnd w:id="1435"/>
      <w:r>
        <w:rPr>
          <w:vertAlign w:val="baseline"/>
        </w:rPr>
        <w:t>show</w:t>
      </w:r>
      <w:r>
        <w:rPr>
          <w:vertAlign w:val="baseline"/>
        </w:rPr>
        <w:t> that the consumer insured has made a careless misrepresentation </w:t>
      </w:r>
      <w:r>
        <w:rPr>
          <w:color w:val="005DA1"/>
          <w:u w:val="single" w:color="005DA1"/>
          <w:vertAlign w:val="superscript"/>
        </w:rPr>
        <w:t>784</w:t>
      </w:r>
      <w:r>
        <w:rPr>
          <w:color w:val="005DA1"/>
          <w:vertAlign w:val="baseline"/>
        </w:rPr>
        <w:t> </w:t>
      </w:r>
      <w:r>
        <w:rPr>
          <w:vertAlign w:val="baseline"/>
        </w:rPr>
        <w:t>or that the non-consumer </w:t>
      </w:r>
      <w:bookmarkStart w:name="_bookmark1434" w:id="1436"/>
      <w:bookmarkEnd w:id="1436"/>
      <w:r>
        <w:rPr>
          <w:vertAlign w:val="baseline"/>
        </w:rPr>
        <w:t>insured</w:t>
      </w:r>
      <w:r>
        <w:rPr>
          <w:vertAlign w:val="baseline"/>
        </w:rPr>
        <w:t> is in breach of the duty to make a fair presentation of the risk. </w:t>
      </w:r>
      <w:r>
        <w:rPr>
          <w:color w:val="005DA1"/>
          <w:u w:val="single" w:color="005DA1"/>
          <w:vertAlign w:val="superscript"/>
        </w:rPr>
        <w:t>785</w:t>
      </w:r>
      <w:r>
        <w:rPr>
          <w:color w:val="005DA1"/>
          <w:vertAlign w:val="baseline"/>
        </w:rPr>
        <w:t> </w:t>
      </w:r>
      <w:r>
        <w:rPr>
          <w:vertAlign w:val="baseline"/>
        </w:rPr>
        <w:t>In each case it is provided expressly that it for the insurer to show that a breach by the insured was deliberate or reckless. </w:t>
      </w:r>
      <w:r>
        <w:rPr>
          <w:color w:val="005DA1"/>
          <w:u w:val="single" w:color="005DA1"/>
          <w:vertAlign w:val="superscript"/>
        </w:rPr>
        <w:t>786</w:t>
      </w:r>
      <w:r>
        <w:rPr>
          <w:color w:val="005DA1"/>
          <w:vertAlign w:val="baseline"/>
        </w:rPr>
        <w:t> </w:t>
      </w:r>
      <w:r>
        <w:rPr>
          <w:vertAlign w:val="baseline"/>
        </w:rPr>
        <w:t>Note that the Insurance Act 2015 came into force and the Marine Insurance Act 1906 was repealed in August 2016.</w:t>
      </w:r>
    </w:p>
    <w:p>
      <w:pPr>
        <w:pStyle w:val="BodyText"/>
      </w:pPr>
    </w:p>
    <w:p>
      <w:pPr>
        <w:pStyle w:val="BodyText"/>
        <w:spacing w:before="35"/>
      </w:pPr>
    </w:p>
    <w:p>
      <w:pPr>
        <w:spacing w:before="0"/>
        <w:ind w:left="165" w:right="0" w:firstLine="0"/>
        <w:jc w:val="left"/>
        <w:rPr>
          <w:rFonts w:ascii="Arial"/>
          <w:b/>
          <w:sz w:val="18"/>
        </w:rPr>
      </w:pPr>
      <w:r>
        <w:rPr>
          <w:rFonts w:ascii="Arial"/>
          <w:b/>
          <w:sz w:val="18"/>
        </w:rPr>
        <w:t>Continuing </w:t>
      </w:r>
      <w:r>
        <w:rPr>
          <w:rFonts w:ascii="Arial"/>
          <w:b/>
          <w:spacing w:val="-4"/>
          <w:sz w:val="18"/>
        </w:rPr>
        <w:t>duty</w:t>
      </w:r>
    </w:p>
    <w:p>
      <w:pPr>
        <w:pStyle w:val="BodyText"/>
        <w:spacing w:before="41"/>
        <w:rPr>
          <w:rFonts w:ascii="Arial"/>
          <w:b/>
          <w:sz w:val="18"/>
        </w:rPr>
      </w:pPr>
    </w:p>
    <w:p>
      <w:pPr>
        <w:pStyle w:val="Heading2"/>
        <w:spacing w:before="1"/>
      </w:pPr>
      <w:r>
        <w:rPr/>
        <w:t>7-</w:t>
      </w:r>
      <w:r>
        <w:rPr>
          <w:spacing w:val="-5"/>
        </w:rPr>
        <w:t>168</w:t>
      </w:r>
    </w:p>
    <w:p>
      <w:pPr>
        <w:pStyle w:val="BodyText"/>
        <w:spacing w:line="235" w:lineRule="auto" w:before="202"/>
        <w:ind w:left="165" w:right="167"/>
        <w:jc w:val="both"/>
      </w:pPr>
      <w:r>
        <w:rPr/>
        <w:t>The duty to disclose continues until the contract is concluded. Thus if before the acceptance of the </w:t>
      </w:r>
      <w:bookmarkStart w:name="_bookmark1435" w:id="1437"/>
      <w:bookmarkEnd w:id="1437"/>
      <w:r>
        <w:rPr/>
        <w:t>proposal</w:t>
      </w:r>
      <w:r>
        <w:rPr/>
        <w:t> a new material fact arises, or a fact thought to be non-material becomes material, this must be disclosed. </w:t>
      </w:r>
      <w:r>
        <w:rPr>
          <w:color w:val="005DA1"/>
          <w:u w:val="single" w:color="005DA1"/>
          <w:vertAlign w:val="superscript"/>
        </w:rPr>
        <w:t>787</w:t>
      </w:r>
      <w:r>
        <w:rPr>
          <w:color w:val="005DA1"/>
          <w:vertAlign w:val="baseline"/>
        </w:rPr>
        <w:t> </w:t>
      </w:r>
      <w:r>
        <w:rPr>
          <w:vertAlign w:val="baseline"/>
        </w:rPr>
        <w:t>Neither of the new Acts addresses this point; presumably what matters is </w:t>
      </w:r>
      <w:r>
        <w:rPr>
          <w:vertAlign w:val="baseline"/>
        </w:rPr>
        <w:t>whether any</w:t>
      </w:r>
      <w:r>
        <w:rPr>
          <w:spacing w:val="35"/>
          <w:vertAlign w:val="baseline"/>
        </w:rPr>
        <w:t> </w:t>
      </w:r>
      <w:r>
        <w:rPr>
          <w:vertAlign w:val="baseline"/>
        </w:rPr>
        <w:t>statement</w:t>
      </w:r>
      <w:r>
        <w:rPr>
          <w:spacing w:val="35"/>
          <w:vertAlign w:val="baseline"/>
        </w:rPr>
        <w:t> </w:t>
      </w:r>
      <w:r>
        <w:rPr>
          <w:vertAlign w:val="baseline"/>
        </w:rPr>
        <w:t>made</w:t>
      </w:r>
      <w:r>
        <w:rPr>
          <w:spacing w:val="35"/>
          <w:vertAlign w:val="baseline"/>
        </w:rPr>
        <w:t> </w:t>
      </w:r>
      <w:r>
        <w:rPr>
          <w:vertAlign w:val="baseline"/>
        </w:rPr>
        <w:t>by</w:t>
      </w:r>
      <w:r>
        <w:rPr>
          <w:spacing w:val="35"/>
          <w:vertAlign w:val="baseline"/>
        </w:rPr>
        <w:t> </w:t>
      </w:r>
      <w:r>
        <w:rPr>
          <w:vertAlign w:val="baseline"/>
        </w:rPr>
        <w:t>a</w:t>
      </w:r>
      <w:r>
        <w:rPr>
          <w:spacing w:val="35"/>
          <w:vertAlign w:val="baseline"/>
        </w:rPr>
        <w:t> </w:t>
      </w:r>
      <w:r>
        <w:rPr>
          <w:vertAlign w:val="baseline"/>
        </w:rPr>
        <w:t>consumer</w:t>
      </w:r>
      <w:r>
        <w:rPr>
          <w:spacing w:val="35"/>
          <w:vertAlign w:val="baseline"/>
        </w:rPr>
        <w:t> </w:t>
      </w:r>
      <w:r>
        <w:rPr>
          <w:vertAlign w:val="baseline"/>
        </w:rPr>
        <w:t>insured</w:t>
      </w:r>
      <w:r>
        <w:rPr>
          <w:spacing w:val="35"/>
          <w:vertAlign w:val="baseline"/>
        </w:rPr>
        <w:t> </w:t>
      </w:r>
      <w:r>
        <w:rPr>
          <w:vertAlign w:val="baseline"/>
        </w:rPr>
        <w:t>was</w:t>
      </w:r>
      <w:r>
        <w:rPr>
          <w:spacing w:val="35"/>
          <w:vertAlign w:val="baseline"/>
        </w:rPr>
        <w:t> </w:t>
      </w:r>
      <w:r>
        <w:rPr>
          <w:vertAlign w:val="baseline"/>
        </w:rPr>
        <w:t>inaccurate,</w:t>
      </w:r>
      <w:r>
        <w:rPr>
          <w:spacing w:val="35"/>
          <w:vertAlign w:val="baseline"/>
        </w:rPr>
        <w:t> </w:t>
      </w:r>
      <w:r>
        <w:rPr>
          <w:vertAlign w:val="baseline"/>
        </w:rPr>
        <w:t>or</w:t>
      </w:r>
      <w:r>
        <w:rPr>
          <w:spacing w:val="35"/>
          <w:vertAlign w:val="baseline"/>
        </w:rPr>
        <w:t> </w:t>
      </w:r>
      <w:r>
        <w:rPr>
          <w:vertAlign w:val="baseline"/>
        </w:rPr>
        <w:t>that</w:t>
      </w:r>
      <w:r>
        <w:rPr>
          <w:spacing w:val="35"/>
          <w:vertAlign w:val="baseline"/>
        </w:rPr>
        <w:t> </w:t>
      </w:r>
      <w:r>
        <w:rPr>
          <w:vertAlign w:val="baseline"/>
        </w:rPr>
        <w:t>the</w:t>
      </w:r>
      <w:r>
        <w:rPr>
          <w:spacing w:val="35"/>
          <w:vertAlign w:val="baseline"/>
        </w:rPr>
        <w:t> </w:t>
      </w:r>
      <w:r>
        <w:rPr>
          <w:vertAlign w:val="baseline"/>
        </w:rPr>
        <w:t>presentation</w:t>
      </w:r>
      <w:r>
        <w:rPr>
          <w:spacing w:val="35"/>
          <w:vertAlign w:val="baseline"/>
        </w:rPr>
        <w:t> </w:t>
      </w:r>
      <w:r>
        <w:rPr>
          <w:vertAlign w:val="baseline"/>
        </w:rPr>
        <w:t>made</w:t>
      </w:r>
      <w:r>
        <w:rPr>
          <w:spacing w:val="35"/>
          <w:vertAlign w:val="baseline"/>
        </w:rPr>
        <w:t> </w:t>
      </w:r>
      <w:r>
        <w:rPr>
          <w:vertAlign w:val="baseline"/>
        </w:rPr>
        <w:t>by</w:t>
      </w:r>
      <w:r>
        <w:rPr>
          <w:spacing w:val="35"/>
          <w:vertAlign w:val="baseline"/>
        </w:rPr>
        <w:t> </w:t>
      </w:r>
      <w:r>
        <w:rPr>
          <w:vertAlign w:val="baseline"/>
        </w:rPr>
        <w:t>a non-consumer insured was fair, at the time that the contract as concluded. Note that the Insurance</w:t>
      </w:r>
      <w:r>
        <w:rPr>
          <w:spacing w:val="40"/>
          <w:vertAlign w:val="baseline"/>
        </w:rPr>
        <w:t> </w:t>
      </w:r>
      <w:r>
        <w:rPr>
          <w:vertAlign w:val="baseline"/>
        </w:rPr>
        <w:t>Act 2015 came into force and the Marine Insurance Act 1906 was repealed in August 2016.</w:t>
      </w:r>
    </w:p>
    <w:p>
      <w:pPr>
        <w:pStyle w:val="BodyText"/>
      </w:pPr>
    </w:p>
    <w:p>
      <w:pPr>
        <w:pStyle w:val="BodyText"/>
        <w:spacing w:before="38"/>
      </w:pPr>
      <w:r>
        <w:rPr/>
        <mc:AlternateContent>
          <mc:Choice Requires="wps">
            <w:drawing>
              <wp:anchor distT="0" distB="0" distL="0" distR="0" allowOverlap="1" layoutInCell="1" locked="0" behindDoc="1" simplePos="0" relativeHeight="487650816">
                <wp:simplePos x="0" y="0"/>
                <wp:positionH relativeFrom="page">
                  <wp:posOffset>914400</wp:posOffset>
                </wp:positionH>
                <wp:positionV relativeFrom="paragraph">
                  <wp:posOffset>185451</wp:posOffset>
                </wp:positionV>
                <wp:extent cx="5724525" cy="1270"/>
                <wp:effectExtent l="0" t="0" r="0" b="0"/>
                <wp:wrapTopAndBottom/>
                <wp:docPr id="261" name="Graphic 261"/>
                <wp:cNvGraphicFramePr>
                  <a:graphicFrameLocks/>
                </wp:cNvGraphicFramePr>
                <a:graphic>
                  <a:graphicData uri="http://schemas.microsoft.com/office/word/2010/wordprocessingShape">
                    <wps:wsp>
                      <wps:cNvPr id="261" name="Graphic 26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02504pt;width:450.75pt;height:.1pt;mso-position-horizontal-relative:page;mso-position-vertical-relative:paragraph;z-index:-15665664;mso-wrap-distance-left:0;mso-wrap-distance-right:0" id="docshape29"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3926016">
                <wp:simplePos x="0" y="0"/>
                <wp:positionH relativeFrom="page">
                  <wp:posOffset>914400</wp:posOffset>
                </wp:positionH>
                <wp:positionV relativeFrom="paragraph">
                  <wp:posOffset>94576</wp:posOffset>
                </wp:positionV>
                <wp:extent cx="49530" cy="127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390464" from="72pt,7.446977pt" to="75.892pt,7.446977pt" stroked="true" strokeweight=".5pt" strokecolor="#005da1">
                <v:stroke dashstyle="solid"/>
                <w10:wrap type="none"/>
              </v:line>
            </w:pict>
          </mc:Fallback>
        </mc:AlternateContent>
      </w:r>
      <w:hyperlink w:history="true" w:anchor="_bookmark1576">
        <w:r>
          <w:rPr>
            <w:color w:val="005DA1"/>
            <w:spacing w:val="-6"/>
            <w:position w:val="5"/>
            <w:sz w:val="14"/>
          </w:rPr>
          <w:t>1</w:t>
        </w:r>
      </w:hyperlink>
      <w:r>
        <w:rPr>
          <w:spacing w:val="-6"/>
          <w:position w:val="5"/>
          <w:sz w:val="14"/>
        </w:rPr>
        <w:t>.</w:t>
      </w:r>
      <w:r>
        <w:rPr>
          <w:position w:val="5"/>
          <w:sz w:val="14"/>
        </w:rPr>
        <w:tab/>
      </w:r>
      <w:r>
        <w:rPr>
          <w:sz w:val="20"/>
        </w:rPr>
        <w:t>See Allen, </w:t>
      </w:r>
      <w:r>
        <w:rPr>
          <w:rFonts w:ascii="Arial"/>
          <w:i/>
          <w:sz w:val="20"/>
        </w:rPr>
        <w:t>Misrepresentation </w:t>
      </w:r>
      <w:r>
        <w:rPr>
          <w:sz w:val="20"/>
        </w:rPr>
        <w:t>(1988); Cartwright, </w:t>
      </w:r>
      <w:r>
        <w:rPr>
          <w:rFonts w:ascii="Arial"/>
          <w:i/>
          <w:sz w:val="20"/>
        </w:rPr>
        <w:t>Unequal Bargaining </w:t>
      </w:r>
      <w:r>
        <w:rPr>
          <w:sz w:val="20"/>
        </w:rPr>
        <w:t>(1991), Ch.3; </w:t>
      </w:r>
      <w:r>
        <w:rPr>
          <w:sz w:val="20"/>
        </w:rPr>
        <w:t>Cartwright, Misrepresentation, Mistake and Non-disclosure, 4th edn (2016); Spencer Bower and Handley, </w:t>
      </w:r>
      <w:r>
        <w:rPr>
          <w:rFonts w:ascii="Arial"/>
          <w:i/>
          <w:sz w:val="20"/>
        </w:rPr>
        <w:t>Actionable Misrepresentation</w:t>
      </w:r>
      <w:r>
        <w:rPr>
          <w:sz w:val="20"/>
        </w:rPr>
        <w:t>, 5th edn (2014).</w:t>
      </w:r>
    </w:p>
    <w:p>
      <w:pPr>
        <w:pStyle w:val="BodyText"/>
        <w:spacing w:before="5"/>
      </w:pPr>
    </w:p>
    <w:p>
      <w:pPr>
        <w:pStyle w:val="BodyText"/>
        <w:tabs>
          <w:tab w:pos="705" w:val="left" w:leader="none"/>
        </w:tabs>
        <w:ind w:left="165"/>
      </w:pPr>
      <w:bookmarkStart w:name="_bookmark1436" w:id="1438"/>
      <w:bookmarkEnd w:id="1438"/>
      <w:r>
        <w:rPr/>
      </w:r>
      <w:hyperlink w:history="true" w:anchor="_bookmark1384">
        <w:r>
          <w:rPr>
            <w:color w:val="005DA1"/>
            <w:spacing w:val="-4"/>
            <w:position w:val="5"/>
            <w:sz w:val="14"/>
            <w:u w:val="single" w:color="005DA1"/>
          </w:rPr>
          <w:t>732</w:t>
        </w:r>
      </w:hyperlink>
      <w:r>
        <w:rPr>
          <w:spacing w:val="-4"/>
          <w:position w:val="5"/>
          <w:sz w:val="14"/>
        </w:rPr>
        <w:t>.</w:t>
      </w:r>
      <w:r>
        <w:rPr>
          <w:position w:val="5"/>
          <w:sz w:val="14"/>
        </w:rPr>
        <w:tab/>
      </w:r>
      <w:r>
        <w:rPr/>
        <w:t>See Hasson (1969) 32 M.L.R. 615 and Vol.II, paras 42-033 et </w:t>
      </w:r>
      <w:r>
        <w:rPr>
          <w:spacing w:val="-4"/>
        </w:rPr>
        <w:t>seq.</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437" w:id="1439"/>
      <w:bookmarkEnd w:id="1439"/>
      <w:r>
        <w:rPr/>
      </w:r>
      <w:hyperlink w:history="true" w:anchor="_bookmark1385">
        <w:r>
          <w:rPr>
            <w:color w:val="005DA1"/>
            <w:spacing w:val="-4"/>
            <w:position w:val="5"/>
            <w:sz w:val="14"/>
            <w:u w:val="single" w:color="005DA1"/>
          </w:rPr>
          <w:t>733</w:t>
        </w:r>
      </w:hyperlink>
      <w:r>
        <w:rPr>
          <w:spacing w:val="-4"/>
          <w:position w:val="5"/>
          <w:sz w:val="14"/>
        </w:rPr>
        <w:t>.</w:t>
      </w:r>
      <w:r>
        <w:rPr>
          <w:position w:val="5"/>
          <w:sz w:val="14"/>
        </w:rPr>
        <w:tab/>
      </w:r>
      <w:r>
        <w:rPr>
          <w:sz w:val="20"/>
        </w:rPr>
        <w:t>See</w:t>
      </w:r>
      <w:r>
        <w:rPr>
          <w:spacing w:val="4"/>
          <w:sz w:val="20"/>
        </w:rPr>
        <w:t> </w:t>
      </w:r>
      <w:r>
        <w:rPr>
          <w:rFonts w:ascii="Arial"/>
          <w:i/>
          <w:sz w:val="20"/>
        </w:rPr>
        <w:t>Carter</w:t>
      </w:r>
      <w:r>
        <w:rPr>
          <w:rFonts w:ascii="Arial"/>
          <w:i/>
          <w:spacing w:val="5"/>
          <w:sz w:val="20"/>
        </w:rPr>
        <w:t> </w:t>
      </w:r>
      <w:r>
        <w:rPr>
          <w:rFonts w:ascii="Arial"/>
          <w:i/>
          <w:sz w:val="20"/>
        </w:rPr>
        <w:t>v</w:t>
      </w:r>
      <w:r>
        <w:rPr>
          <w:rFonts w:ascii="Arial"/>
          <w:i/>
          <w:spacing w:val="5"/>
          <w:sz w:val="20"/>
        </w:rPr>
        <w:t> </w:t>
      </w:r>
      <w:r>
        <w:rPr>
          <w:rFonts w:ascii="Arial"/>
          <w:i/>
          <w:sz w:val="20"/>
        </w:rPr>
        <w:t>Boehm</w:t>
      </w:r>
      <w:r>
        <w:rPr>
          <w:rFonts w:ascii="Arial"/>
          <w:i/>
          <w:spacing w:val="5"/>
          <w:sz w:val="20"/>
        </w:rPr>
        <w:t> </w:t>
      </w:r>
      <w:r>
        <w:rPr>
          <w:rFonts w:ascii="Arial"/>
          <w:i/>
          <w:sz w:val="20"/>
        </w:rPr>
        <w:t>(1766)</w:t>
      </w:r>
      <w:r>
        <w:rPr>
          <w:rFonts w:ascii="Arial"/>
          <w:i/>
          <w:spacing w:val="5"/>
          <w:sz w:val="20"/>
        </w:rPr>
        <w:t> </w:t>
      </w:r>
      <w:r>
        <w:rPr>
          <w:rFonts w:ascii="Arial"/>
          <w:i/>
          <w:sz w:val="20"/>
        </w:rPr>
        <w:t>3</w:t>
      </w:r>
      <w:r>
        <w:rPr>
          <w:rFonts w:ascii="Arial"/>
          <w:i/>
          <w:spacing w:val="5"/>
          <w:sz w:val="20"/>
        </w:rPr>
        <w:t> </w:t>
      </w:r>
      <w:r>
        <w:rPr>
          <w:rFonts w:ascii="Arial"/>
          <w:i/>
          <w:sz w:val="20"/>
        </w:rPr>
        <w:t>Burr.</w:t>
      </w:r>
      <w:r>
        <w:rPr>
          <w:rFonts w:ascii="Arial"/>
          <w:i/>
          <w:spacing w:val="5"/>
          <w:sz w:val="20"/>
        </w:rPr>
        <w:t> </w:t>
      </w:r>
      <w:r>
        <w:rPr>
          <w:rFonts w:ascii="Arial"/>
          <w:i/>
          <w:sz w:val="20"/>
        </w:rPr>
        <w:t>1905,</w:t>
      </w:r>
      <w:r>
        <w:rPr>
          <w:rFonts w:ascii="Arial"/>
          <w:i/>
          <w:spacing w:val="5"/>
          <w:sz w:val="20"/>
        </w:rPr>
        <w:t> </w:t>
      </w:r>
      <w:r>
        <w:rPr>
          <w:rFonts w:ascii="Arial"/>
          <w:i/>
          <w:sz w:val="20"/>
        </w:rPr>
        <w:t>1909</w:t>
      </w:r>
      <w:r>
        <w:rPr>
          <w:sz w:val="20"/>
        </w:rPr>
        <w:t>;</w:t>
      </w:r>
      <w:r>
        <w:rPr>
          <w:spacing w:val="5"/>
          <w:sz w:val="20"/>
        </w:rPr>
        <w:t> </w:t>
      </w:r>
      <w:r>
        <w:rPr>
          <w:rFonts w:ascii="Arial"/>
          <w:i/>
          <w:sz w:val="20"/>
        </w:rPr>
        <w:t>London</w:t>
      </w:r>
      <w:r>
        <w:rPr>
          <w:rFonts w:ascii="Arial"/>
          <w:i/>
          <w:spacing w:val="5"/>
          <w:sz w:val="20"/>
        </w:rPr>
        <w:t> </w:t>
      </w:r>
      <w:r>
        <w:rPr>
          <w:rFonts w:ascii="Arial"/>
          <w:i/>
          <w:sz w:val="20"/>
        </w:rPr>
        <w:t>Assurance</w:t>
      </w:r>
      <w:r>
        <w:rPr>
          <w:rFonts w:ascii="Arial"/>
          <w:i/>
          <w:spacing w:val="5"/>
          <w:sz w:val="20"/>
        </w:rPr>
        <w:t> </w:t>
      </w:r>
      <w:r>
        <w:rPr>
          <w:rFonts w:ascii="Arial"/>
          <w:i/>
          <w:sz w:val="20"/>
        </w:rPr>
        <w:t>Co</w:t>
      </w:r>
      <w:r>
        <w:rPr>
          <w:rFonts w:ascii="Arial"/>
          <w:i/>
          <w:spacing w:val="5"/>
          <w:sz w:val="20"/>
        </w:rPr>
        <w:t> </w:t>
      </w:r>
      <w:r>
        <w:rPr>
          <w:rFonts w:ascii="Arial"/>
          <w:i/>
          <w:sz w:val="20"/>
        </w:rPr>
        <w:t>v</w:t>
      </w:r>
      <w:r>
        <w:rPr>
          <w:rFonts w:ascii="Arial"/>
          <w:i/>
          <w:spacing w:val="5"/>
          <w:sz w:val="20"/>
        </w:rPr>
        <w:t> </w:t>
      </w:r>
      <w:r>
        <w:rPr>
          <w:rFonts w:ascii="Arial"/>
          <w:i/>
          <w:sz w:val="20"/>
        </w:rPr>
        <w:t>Mansel</w:t>
      </w:r>
      <w:r>
        <w:rPr>
          <w:rFonts w:ascii="Arial"/>
          <w:i/>
          <w:spacing w:val="5"/>
          <w:sz w:val="20"/>
        </w:rPr>
        <w:t> </w:t>
      </w:r>
      <w:r>
        <w:rPr>
          <w:rFonts w:ascii="Arial"/>
          <w:i/>
          <w:sz w:val="20"/>
        </w:rPr>
        <w:t>(1879)</w:t>
      </w:r>
      <w:r>
        <w:rPr>
          <w:rFonts w:ascii="Arial"/>
          <w:i/>
          <w:spacing w:val="5"/>
          <w:sz w:val="20"/>
        </w:rPr>
        <w:t> </w:t>
      </w:r>
      <w:r>
        <w:rPr>
          <w:rFonts w:ascii="Arial"/>
          <w:i/>
          <w:sz w:val="20"/>
        </w:rPr>
        <w:t>11</w:t>
      </w:r>
      <w:r>
        <w:rPr>
          <w:rFonts w:ascii="Arial"/>
          <w:i/>
          <w:spacing w:val="5"/>
          <w:sz w:val="20"/>
        </w:rPr>
        <w:t> </w:t>
      </w:r>
      <w:r>
        <w:rPr>
          <w:rFonts w:ascii="Arial"/>
          <w:i/>
          <w:spacing w:val="-5"/>
          <w:sz w:val="20"/>
        </w:rPr>
        <w:t>Ch.</w:t>
      </w:r>
    </w:p>
    <w:p>
      <w:pPr>
        <w:spacing w:line="227" w:lineRule="exact" w:before="0"/>
        <w:ind w:left="705" w:right="0" w:firstLine="0"/>
        <w:jc w:val="left"/>
        <w:rPr>
          <w:sz w:val="20"/>
        </w:rPr>
      </w:pPr>
      <w:r>
        <w:rPr>
          <w:rFonts w:ascii="Arial"/>
          <w:i/>
          <w:sz w:val="20"/>
        </w:rPr>
        <w:t>D.</w:t>
      </w:r>
      <w:r>
        <w:rPr>
          <w:rFonts w:ascii="Arial"/>
          <w:i/>
          <w:spacing w:val="-2"/>
          <w:sz w:val="20"/>
        </w:rPr>
        <w:t> </w:t>
      </w:r>
      <w:r>
        <w:rPr>
          <w:rFonts w:ascii="Arial"/>
          <w:i/>
          <w:sz w:val="20"/>
        </w:rPr>
        <w:t>363, </w:t>
      </w:r>
      <w:r>
        <w:rPr>
          <w:rFonts w:ascii="Arial"/>
          <w:i/>
          <w:spacing w:val="-4"/>
          <w:sz w:val="20"/>
        </w:rPr>
        <w:t>367</w:t>
      </w:r>
      <w:r>
        <w:rPr>
          <w:spacing w:val="-4"/>
          <w:sz w:val="20"/>
        </w:rPr>
        <w:t>.</w:t>
      </w:r>
    </w:p>
    <w:p>
      <w:pPr>
        <w:pStyle w:val="BodyText"/>
        <w:spacing w:before="9"/>
      </w:pPr>
    </w:p>
    <w:p>
      <w:pPr>
        <w:spacing w:line="235" w:lineRule="auto" w:before="0"/>
        <w:ind w:left="705" w:right="167" w:hanging="541"/>
        <w:jc w:val="both"/>
        <w:rPr>
          <w:rFonts w:ascii="Arial"/>
          <w:i/>
          <w:sz w:val="20"/>
        </w:rPr>
      </w:pPr>
      <w:bookmarkStart w:name="_bookmark1438" w:id="1440"/>
      <w:bookmarkEnd w:id="1440"/>
      <w:r>
        <w:rPr/>
      </w:r>
      <w:hyperlink w:history="true" w:anchor="_bookmark1386">
        <w:r>
          <w:rPr>
            <w:color w:val="005DA1"/>
            <w:position w:val="5"/>
            <w:sz w:val="14"/>
            <w:u w:val="single" w:color="005DA1"/>
          </w:rPr>
          <w:t>734</w:t>
        </w:r>
      </w:hyperlink>
      <w:r>
        <w:rPr>
          <w:position w:val="5"/>
          <w:sz w:val="14"/>
        </w:rPr>
        <w:t>.</w:t>
      </w:r>
      <w:r>
        <w:rPr>
          <w:spacing w:val="80"/>
          <w:w w:val="150"/>
          <w:position w:val="5"/>
          <w:sz w:val="14"/>
        </w:rPr>
        <w:t> </w:t>
      </w:r>
      <w:r>
        <w:rPr>
          <w:sz w:val="20"/>
        </w:rPr>
        <w:t>A contract of marine insurance appears to be based on an implied condition that there is </w:t>
      </w:r>
      <w:r>
        <w:rPr>
          <w:sz w:val="20"/>
        </w:rPr>
        <w:t>no misrepresentation or concealment: </w:t>
      </w:r>
      <w:r>
        <w:rPr>
          <w:rFonts w:ascii="Arial"/>
          <w:i/>
          <w:sz w:val="20"/>
        </w:rPr>
        <w:t>Blackburn v Vigors (1886) 17 Q.B.D. 552, 561, 562</w:t>
      </w:r>
      <w:r>
        <w:rPr>
          <w:sz w:val="20"/>
        </w:rPr>
        <w:t>; </w:t>
      </w:r>
      <w:r>
        <w:rPr>
          <w:rFonts w:ascii="Arial"/>
          <w:i/>
          <w:sz w:val="20"/>
        </w:rPr>
        <w:t>Pickersgill v London and Provincial Marine and General Insurance Co [1912] 3 K.B. 614, 621</w:t>
      </w:r>
      <w:r>
        <w:rPr>
          <w:sz w:val="20"/>
        </w:rPr>
        <w:t>. The duty of disclosure in non-marine insurance, on the other hand, is said to rest on a common law, and not on a contractual duty: </w:t>
      </w:r>
      <w:r>
        <w:rPr>
          <w:rFonts w:ascii="Arial"/>
          <w:i/>
          <w:sz w:val="20"/>
        </w:rPr>
        <w:t>Joel v Law Union and Crown Insurance Co [1908] 2 K.B. 863,</w:t>
      </w:r>
      <w:r>
        <w:rPr>
          <w:rFonts w:ascii="Arial"/>
          <w:i/>
          <w:spacing w:val="21"/>
          <w:sz w:val="20"/>
        </w:rPr>
        <w:t> </w:t>
      </w:r>
      <w:r>
        <w:rPr>
          <w:rFonts w:ascii="Arial"/>
          <w:i/>
          <w:sz w:val="20"/>
        </w:rPr>
        <w:t>886</w:t>
      </w:r>
      <w:r>
        <w:rPr>
          <w:sz w:val="20"/>
        </w:rPr>
        <w:t>;</w:t>
      </w:r>
      <w:r>
        <w:rPr>
          <w:spacing w:val="22"/>
          <w:sz w:val="20"/>
        </w:rPr>
        <w:t> </w:t>
      </w:r>
      <w:r>
        <w:rPr>
          <w:rFonts w:ascii="Arial"/>
          <w:i/>
          <w:sz w:val="20"/>
        </w:rPr>
        <w:t>Merchants</w:t>
      </w:r>
      <w:r>
        <w:rPr>
          <w:rFonts w:ascii="Arial"/>
          <w:i/>
          <w:spacing w:val="22"/>
          <w:sz w:val="20"/>
        </w:rPr>
        <w:t> </w:t>
      </w:r>
      <w:r>
        <w:rPr>
          <w:rFonts w:ascii="Arial"/>
          <w:i/>
          <w:sz w:val="20"/>
        </w:rPr>
        <w:t>and</w:t>
      </w:r>
      <w:r>
        <w:rPr>
          <w:rFonts w:ascii="Arial"/>
          <w:i/>
          <w:spacing w:val="22"/>
          <w:sz w:val="20"/>
        </w:rPr>
        <w:t> </w:t>
      </w:r>
      <w:r>
        <w:rPr>
          <w:rFonts w:ascii="Arial"/>
          <w:i/>
          <w:sz w:val="20"/>
        </w:rPr>
        <w:t>Manufacturers</w:t>
      </w:r>
      <w:r>
        <w:rPr>
          <w:rFonts w:ascii="Arial"/>
          <w:i/>
          <w:spacing w:val="22"/>
          <w:sz w:val="20"/>
        </w:rPr>
        <w:t> </w:t>
      </w:r>
      <w:r>
        <w:rPr>
          <w:rFonts w:ascii="Arial"/>
          <w:i/>
          <w:sz w:val="20"/>
        </w:rPr>
        <w:t>Insurance</w:t>
      </w:r>
      <w:r>
        <w:rPr>
          <w:rFonts w:ascii="Arial"/>
          <w:i/>
          <w:spacing w:val="22"/>
          <w:sz w:val="20"/>
        </w:rPr>
        <w:t> </w:t>
      </w:r>
      <w:r>
        <w:rPr>
          <w:rFonts w:ascii="Arial"/>
          <w:i/>
          <w:sz w:val="20"/>
        </w:rPr>
        <w:t>Co</w:t>
      </w:r>
      <w:r>
        <w:rPr>
          <w:rFonts w:ascii="Arial"/>
          <w:i/>
          <w:spacing w:val="22"/>
          <w:sz w:val="20"/>
        </w:rPr>
        <w:t> </w:t>
      </w:r>
      <w:r>
        <w:rPr>
          <w:rFonts w:ascii="Arial"/>
          <w:i/>
          <w:sz w:val="20"/>
        </w:rPr>
        <w:t>v</w:t>
      </w:r>
      <w:r>
        <w:rPr>
          <w:rFonts w:ascii="Arial"/>
          <w:i/>
          <w:spacing w:val="22"/>
          <w:sz w:val="20"/>
        </w:rPr>
        <w:t> </w:t>
      </w:r>
      <w:r>
        <w:rPr>
          <w:rFonts w:ascii="Arial"/>
          <w:i/>
          <w:sz w:val="20"/>
        </w:rPr>
        <w:t>Hunt</w:t>
      </w:r>
      <w:r>
        <w:rPr>
          <w:rFonts w:ascii="Arial"/>
          <w:i/>
          <w:spacing w:val="22"/>
          <w:sz w:val="20"/>
        </w:rPr>
        <w:t> </w:t>
      </w:r>
      <w:r>
        <w:rPr>
          <w:rFonts w:ascii="Arial"/>
          <w:i/>
          <w:sz w:val="20"/>
        </w:rPr>
        <w:t>and</w:t>
      </w:r>
      <w:r>
        <w:rPr>
          <w:rFonts w:ascii="Arial"/>
          <w:i/>
          <w:spacing w:val="22"/>
          <w:sz w:val="20"/>
        </w:rPr>
        <w:t> </w:t>
      </w:r>
      <w:r>
        <w:rPr>
          <w:rFonts w:ascii="Arial"/>
          <w:i/>
          <w:sz w:val="20"/>
        </w:rPr>
        <w:t>Thorne</w:t>
      </w:r>
      <w:r>
        <w:rPr>
          <w:rFonts w:ascii="Arial"/>
          <w:i/>
          <w:spacing w:val="22"/>
          <w:sz w:val="20"/>
        </w:rPr>
        <w:t> </w:t>
      </w:r>
      <w:r>
        <w:rPr>
          <w:rFonts w:ascii="Arial"/>
          <w:i/>
          <w:sz w:val="20"/>
        </w:rPr>
        <w:t>[1941]</w:t>
      </w:r>
      <w:r>
        <w:rPr>
          <w:rFonts w:ascii="Arial"/>
          <w:i/>
          <w:spacing w:val="22"/>
          <w:sz w:val="20"/>
        </w:rPr>
        <w:t> </w:t>
      </w:r>
      <w:r>
        <w:rPr>
          <w:rFonts w:ascii="Arial"/>
          <w:i/>
          <w:sz w:val="20"/>
        </w:rPr>
        <w:t>1</w:t>
      </w:r>
      <w:r>
        <w:rPr>
          <w:rFonts w:ascii="Arial"/>
          <w:i/>
          <w:spacing w:val="22"/>
          <w:sz w:val="20"/>
        </w:rPr>
        <w:t> </w:t>
      </w:r>
      <w:r>
        <w:rPr>
          <w:rFonts w:ascii="Arial"/>
          <w:i/>
          <w:sz w:val="20"/>
        </w:rPr>
        <w:t>K.B.</w:t>
      </w:r>
      <w:r>
        <w:rPr>
          <w:rFonts w:ascii="Arial"/>
          <w:i/>
          <w:spacing w:val="22"/>
          <w:sz w:val="20"/>
        </w:rPr>
        <w:t> </w:t>
      </w:r>
      <w:r>
        <w:rPr>
          <w:rFonts w:ascii="Arial"/>
          <w:i/>
          <w:spacing w:val="-4"/>
          <w:sz w:val="20"/>
        </w:rPr>
        <w:t>295,</w:t>
      </w:r>
    </w:p>
    <w:p>
      <w:pPr>
        <w:spacing w:line="235" w:lineRule="auto" w:before="0"/>
        <w:ind w:left="705" w:right="0" w:firstLine="0"/>
        <w:jc w:val="left"/>
        <w:rPr>
          <w:sz w:val="20"/>
        </w:rPr>
      </w:pPr>
      <w:r>
        <w:rPr>
          <w:rFonts w:ascii="Arial"/>
          <w:i/>
          <w:sz w:val="20"/>
        </w:rPr>
        <w:t>313</w:t>
      </w:r>
      <w:r>
        <w:rPr>
          <w:sz w:val="20"/>
        </w:rPr>
        <w:t>.</w:t>
      </w:r>
      <w:r>
        <w:rPr>
          <w:spacing w:val="20"/>
          <w:sz w:val="20"/>
        </w:rPr>
        <w:t> </w:t>
      </w:r>
      <w:r>
        <w:rPr>
          <w:sz w:val="20"/>
        </w:rPr>
        <w:t>But</w:t>
      </w:r>
      <w:r>
        <w:rPr>
          <w:spacing w:val="20"/>
          <w:sz w:val="20"/>
        </w:rPr>
        <w:t> </w:t>
      </w:r>
      <w:r>
        <w:rPr>
          <w:sz w:val="20"/>
        </w:rPr>
        <w:t>see</w:t>
      </w:r>
      <w:r>
        <w:rPr>
          <w:spacing w:val="20"/>
          <w:sz w:val="20"/>
        </w:rPr>
        <w:t> </w:t>
      </w:r>
      <w:r>
        <w:rPr>
          <w:rFonts w:ascii="Arial"/>
          <w:i/>
          <w:sz w:val="20"/>
        </w:rPr>
        <w:t>Moens</w:t>
      </w:r>
      <w:r>
        <w:rPr>
          <w:rFonts w:ascii="Arial"/>
          <w:i/>
          <w:spacing w:val="20"/>
          <w:sz w:val="20"/>
        </w:rPr>
        <w:t> </w:t>
      </w:r>
      <w:r>
        <w:rPr>
          <w:rFonts w:ascii="Arial"/>
          <w:i/>
          <w:sz w:val="20"/>
        </w:rPr>
        <w:t>v</w:t>
      </w:r>
      <w:r>
        <w:rPr>
          <w:rFonts w:ascii="Arial"/>
          <w:i/>
          <w:spacing w:val="20"/>
          <w:sz w:val="20"/>
        </w:rPr>
        <w:t> </w:t>
      </w:r>
      <w:r>
        <w:rPr>
          <w:rFonts w:ascii="Arial"/>
          <w:i/>
          <w:sz w:val="20"/>
        </w:rPr>
        <w:t>Hayworth</w:t>
      </w:r>
      <w:r>
        <w:rPr>
          <w:rFonts w:ascii="Arial"/>
          <w:i/>
          <w:spacing w:val="20"/>
          <w:sz w:val="20"/>
        </w:rPr>
        <w:t> </w:t>
      </w:r>
      <w:r>
        <w:rPr>
          <w:rFonts w:ascii="Arial"/>
          <w:i/>
          <w:sz w:val="20"/>
        </w:rPr>
        <w:t>(1842)</w:t>
      </w:r>
      <w:r>
        <w:rPr>
          <w:rFonts w:ascii="Arial"/>
          <w:i/>
          <w:spacing w:val="20"/>
          <w:sz w:val="20"/>
        </w:rPr>
        <w:t> </w:t>
      </w:r>
      <w:r>
        <w:rPr>
          <w:rFonts w:ascii="Arial"/>
          <w:i/>
          <w:sz w:val="20"/>
        </w:rPr>
        <w:t>10</w:t>
      </w:r>
      <w:r>
        <w:rPr>
          <w:rFonts w:ascii="Arial"/>
          <w:i/>
          <w:spacing w:val="20"/>
          <w:sz w:val="20"/>
        </w:rPr>
        <w:t> </w:t>
      </w:r>
      <w:r>
        <w:rPr>
          <w:rFonts w:ascii="Arial"/>
          <w:i/>
          <w:sz w:val="20"/>
        </w:rPr>
        <w:t>M.</w:t>
      </w:r>
      <w:r>
        <w:rPr>
          <w:rFonts w:ascii="Arial"/>
          <w:i/>
          <w:spacing w:val="20"/>
          <w:sz w:val="20"/>
        </w:rPr>
        <w:t> </w:t>
      </w:r>
      <w:r>
        <w:rPr>
          <w:rFonts w:ascii="Arial"/>
          <w:i/>
          <w:sz w:val="20"/>
        </w:rPr>
        <w:t>&amp;</w:t>
      </w:r>
      <w:r>
        <w:rPr>
          <w:rFonts w:ascii="Arial"/>
          <w:i/>
          <w:spacing w:val="20"/>
          <w:sz w:val="20"/>
        </w:rPr>
        <w:t> </w:t>
      </w:r>
      <w:r>
        <w:rPr>
          <w:rFonts w:ascii="Arial"/>
          <w:i/>
          <w:sz w:val="20"/>
        </w:rPr>
        <w:t>W.</w:t>
      </w:r>
      <w:r>
        <w:rPr>
          <w:rFonts w:ascii="Arial"/>
          <w:i/>
          <w:spacing w:val="20"/>
          <w:sz w:val="20"/>
        </w:rPr>
        <w:t> </w:t>
      </w:r>
      <w:r>
        <w:rPr>
          <w:rFonts w:ascii="Arial"/>
          <w:i/>
          <w:sz w:val="20"/>
        </w:rPr>
        <w:t>147,</w:t>
      </w:r>
      <w:r>
        <w:rPr>
          <w:rFonts w:ascii="Arial"/>
          <w:i/>
          <w:spacing w:val="20"/>
          <w:sz w:val="20"/>
        </w:rPr>
        <w:t> </w:t>
      </w:r>
      <w:r>
        <w:rPr>
          <w:rFonts w:ascii="Arial"/>
          <w:i/>
          <w:sz w:val="20"/>
        </w:rPr>
        <w:t>157</w:t>
      </w:r>
      <w:r>
        <w:rPr>
          <w:sz w:val="20"/>
        </w:rPr>
        <w:t>.</w:t>
      </w:r>
      <w:r>
        <w:rPr>
          <w:spacing w:val="20"/>
          <w:sz w:val="20"/>
        </w:rPr>
        <w:t> </w:t>
      </w:r>
      <w:r>
        <w:rPr>
          <w:sz w:val="20"/>
        </w:rPr>
        <w:t>It</w:t>
      </w:r>
      <w:r>
        <w:rPr>
          <w:spacing w:val="20"/>
          <w:sz w:val="20"/>
        </w:rPr>
        <w:t> </w:t>
      </w:r>
      <w:r>
        <w:rPr>
          <w:sz w:val="20"/>
        </w:rPr>
        <w:t>is</w:t>
      </w:r>
      <w:r>
        <w:rPr>
          <w:spacing w:val="20"/>
          <w:sz w:val="20"/>
        </w:rPr>
        <w:t> </w:t>
      </w:r>
      <w:r>
        <w:rPr>
          <w:sz w:val="20"/>
        </w:rPr>
        <w:t>otherwise</w:t>
      </w:r>
      <w:r>
        <w:rPr>
          <w:spacing w:val="20"/>
          <w:sz w:val="20"/>
        </w:rPr>
        <w:t> </w:t>
      </w:r>
      <w:r>
        <w:rPr>
          <w:sz w:val="20"/>
        </w:rPr>
        <w:t>of</w:t>
      </w:r>
      <w:r>
        <w:rPr>
          <w:spacing w:val="20"/>
          <w:sz w:val="20"/>
        </w:rPr>
        <w:t> </w:t>
      </w:r>
      <w:r>
        <w:rPr>
          <w:sz w:val="20"/>
        </w:rPr>
        <w:t>course</w:t>
      </w:r>
      <w:r>
        <w:rPr>
          <w:spacing w:val="20"/>
          <w:sz w:val="20"/>
        </w:rPr>
        <w:t> </w:t>
      </w:r>
      <w:r>
        <w:rPr>
          <w:sz w:val="20"/>
        </w:rPr>
        <w:t>if</w:t>
      </w:r>
      <w:r>
        <w:rPr>
          <w:spacing w:val="20"/>
          <w:sz w:val="20"/>
        </w:rPr>
        <w:t> </w:t>
      </w:r>
      <w:r>
        <w:rPr>
          <w:sz w:val="20"/>
        </w:rPr>
        <w:t>the common law obligation is superseded by a term in the contract itself.</w:t>
      </w:r>
    </w:p>
    <w:p>
      <w:pPr>
        <w:pStyle w:val="BodyText"/>
        <w:spacing w:before="7"/>
      </w:pPr>
    </w:p>
    <w:p>
      <w:pPr>
        <w:pStyle w:val="BodyText"/>
        <w:tabs>
          <w:tab w:pos="705" w:val="left" w:leader="none"/>
        </w:tabs>
        <w:spacing w:line="235" w:lineRule="auto"/>
        <w:ind w:left="705" w:right="168" w:hanging="541"/>
      </w:pPr>
      <w:bookmarkStart w:name="_bookmark1439" w:id="1441"/>
      <w:bookmarkEnd w:id="1441"/>
      <w:r>
        <w:rPr/>
      </w:r>
      <w:hyperlink w:history="true" w:anchor="_bookmark1387">
        <w:r>
          <w:rPr>
            <w:color w:val="005DA1"/>
            <w:spacing w:val="-4"/>
            <w:position w:val="5"/>
            <w:sz w:val="14"/>
            <w:u w:val="single" w:color="005DA1"/>
          </w:rPr>
          <w:t>735</w:t>
        </w:r>
      </w:hyperlink>
      <w:r>
        <w:rPr>
          <w:spacing w:val="-4"/>
          <w:position w:val="5"/>
          <w:sz w:val="14"/>
        </w:rPr>
        <w:t>.</w:t>
      </w:r>
      <w:r>
        <w:rPr>
          <w:position w:val="5"/>
          <w:sz w:val="14"/>
        </w:rPr>
        <w:tab/>
      </w:r>
      <w:r>
        <w:rPr/>
        <w:t>Insurance Act 2015 ss.22 and 23. Pt 2 (which includes the duty to make a fair presentation) </w:t>
      </w:r>
      <w:r>
        <w:rPr/>
        <w:t>will apply also to subsequent variations of contracts made at any time: s.22(1)(b).</w:t>
      </w:r>
    </w:p>
    <w:p>
      <w:pPr>
        <w:pStyle w:val="BodyText"/>
        <w:spacing w:before="9"/>
      </w:pPr>
    </w:p>
    <w:p>
      <w:pPr>
        <w:pStyle w:val="BodyText"/>
        <w:spacing w:line="235" w:lineRule="auto"/>
        <w:ind w:left="705" w:right="167" w:hanging="541"/>
        <w:jc w:val="both"/>
      </w:pPr>
      <w:bookmarkStart w:name="_bookmark1440" w:id="1442"/>
      <w:bookmarkEnd w:id="1442"/>
      <w:r>
        <w:rPr/>
      </w:r>
      <w:hyperlink w:history="true" w:anchor="_bookmark1388">
        <w:r>
          <w:rPr>
            <w:color w:val="005DA1"/>
            <w:position w:val="5"/>
            <w:sz w:val="14"/>
            <w:u w:val="single" w:color="005DA1"/>
          </w:rPr>
          <w:t>736</w:t>
        </w:r>
      </w:hyperlink>
      <w:r>
        <w:rPr>
          <w:position w:val="5"/>
          <w:sz w:val="14"/>
        </w:rPr>
        <w:t>.</w:t>
      </w:r>
      <w:r>
        <w:rPr>
          <w:spacing w:val="80"/>
          <w:position w:val="5"/>
          <w:sz w:val="14"/>
        </w:rPr>
        <w:t>  </w:t>
      </w:r>
      <w:r>
        <w:rPr/>
        <w:t>An account of the FSA Regulations and the FOS practice will be found in Law Commission,</w:t>
      </w:r>
      <w:r>
        <w:rPr>
          <w:spacing w:val="40"/>
        </w:rPr>
        <w:t> </w:t>
      </w:r>
      <w:r>
        <w:rPr/>
        <w:t>Joint Consultation Paper, Insurance Contract Law: Misrepresentation, Non-disclosure </w:t>
      </w:r>
      <w:r>
        <w:rPr/>
        <w:t>and Breach</w:t>
      </w:r>
      <w:r>
        <w:rPr>
          <w:spacing w:val="20"/>
        </w:rPr>
        <w:t> </w:t>
      </w:r>
      <w:r>
        <w:rPr/>
        <w:t>of</w:t>
      </w:r>
      <w:r>
        <w:rPr>
          <w:spacing w:val="20"/>
        </w:rPr>
        <w:t> </w:t>
      </w:r>
      <w:r>
        <w:rPr/>
        <w:t>Warranty</w:t>
      </w:r>
      <w:r>
        <w:rPr>
          <w:spacing w:val="20"/>
        </w:rPr>
        <w:t> </w:t>
      </w:r>
      <w:r>
        <w:rPr/>
        <w:t>by</w:t>
      </w:r>
      <w:r>
        <w:rPr>
          <w:spacing w:val="20"/>
        </w:rPr>
        <w:t> </w:t>
      </w:r>
      <w:r>
        <w:rPr/>
        <w:t>the</w:t>
      </w:r>
      <w:r>
        <w:rPr>
          <w:spacing w:val="20"/>
        </w:rPr>
        <w:t> </w:t>
      </w:r>
      <w:r>
        <w:rPr/>
        <w:t>Insured</w:t>
      </w:r>
      <w:r>
        <w:rPr>
          <w:spacing w:val="20"/>
        </w:rPr>
        <w:t> </w:t>
      </w:r>
      <w:r>
        <w:rPr/>
        <w:t>(LCCP</w:t>
      </w:r>
      <w:r>
        <w:rPr>
          <w:spacing w:val="20"/>
        </w:rPr>
        <w:t> </w:t>
      </w:r>
      <w:r>
        <w:rPr/>
        <w:t>182,</w:t>
      </w:r>
      <w:r>
        <w:rPr>
          <w:spacing w:val="20"/>
        </w:rPr>
        <w:t> </w:t>
      </w:r>
      <w:r>
        <w:rPr/>
        <w:t>SLCDP</w:t>
      </w:r>
      <w:r>
        <w:rPr>
          <w:spacing w:val="20"/>
        </w:rPr>
        <w:t> </w:t>
      </w:r>
      <w:r>
        <w:rPr/>
        <w:t>134,</w:t>
      </w:r>
      <w:r>
        <w:rPr>
          <w:spacing w:val="20"/>
        </w:rPr>
        <w:t> </w:t>
      </w:r>
      <w:r>
        <w:rPr/>
        <w:t>2007)</w:t>
      </w:r>
      <w:r>
        <w:rPr>
          <w:spacing w:val="20"/>
        </w:rPr>
        <w:t> </w:t>
      </w:r>
      <w:r>
        <w:rPr/>
        <w:t>paras</w:t>
      </w:r>
      <w:r>
        <w:rPr>
          <w:spacing w:val="20"/>
        </w:rPr>
        <w:t> </w:t>
      </w:r>
      <w:r>
        <w:rPr/>
        <w:t>3.5–3.54.</w:t>
      </w:r>
      <w:r>
        <w:rPr>
          <w:spacing w:val="20"/>
        </w:rPr>
        <w:t> </w:t>
      </w:r>
      <w:r>
        <w:rPr/>
        <w:t>The</w:t>
      </w:r>
      <w:r>
        <w:rPr>
          <w:spacing w:val="20"/>
        </w:rPr>
        <w:t> </w:t>
      </w:r>
      <w:r>
        <w:rPr>
          <w:spacing w:val="-5"/>
        </w:rPr>
        <w:t>FOS</w:t>
      </w:r>
    </w:p>
    <w:p>
      <w:pPr>
        <w:pStyle w:val="BodyText"/>
        <w:spacing w:after="0" w:line="235" w:lineRule="auto"/>
        <w:jc w:val="both"/>
        <w:sectPr>
          <w:pgSz w:w="11900" w:h="16840"/>
          <w:pgMar w:header="971" w:footer="0" w:top="1160" w:bottom="280" w:left="1275" w:right="1275"/>
        </w:sectPr>
      </w:pPr>
    </w:p>
    <w:p>
      <w:pPr>
        <w:pStyle w:val="BodyText"/>
        <w:spacing w:before="81"/>
      </w:pPr>
    </w:p>
    <w:p>
      <w:pPr>
        <w:pStyle w:val="BodyText"/>
        <w:ind w:left="705"/>
      </w:pPr>
      <w:r>
        <w:rPr/>
        <w:t>applies the same approach in favour of some small business: </w:t>
      </w:r>
      <w:r>
        <w:rPr>
          <w:spacing w:val="-2"/>
        </w:rPr>
        <w:t>para.5.165.</w:t>
      </w:r>
    </w:p>
    <w:p>
      <w:pPr>
        <w:pStyle w:val="BodyText"/>
        <w:spacing w:before="9"/>
      </w:pPr>
    </w:p>
    <w:p>
      <w:pPr>
        <w:pStyle w:val="BodyText"/>
        <w:spacing w:line="235" w:lineRule="auto"/>
        <w:ind w:left="705" w:right="167" w:hanging="541"/>
        <w:jc w:val="both"/>
      </w:pPr>
      <w:bookmarkStart w:name="_bookmark1441" w:id="1443"/>
      <w:bookmarkEnd w:id="1443"/>
      <w:r>
        <w:rPr/>
      </w:r>
      <w:hyperlink w:history="true" w:anchor="_bookmark1389">
        <w:r>
          <w:rPr>
            <w:color w:val="005DA1"/>
            <w:position w:val="5"/>
            <w:sz w:val="14"/>
            <w:u w:val="single" w:color="005DA1"/>
          </w:rPr>
          <w:t>737</w:t>
        </w:r>
      </w:hyperlink>
      <w:r>
        <w:rPr>
          <w:position w:val="5"/>
          <w:sz w:val="14"/>
        </w:rPr>
        <w:t>.</w:t>
      </w:r>
      <w:r>
        <w:rPr>
          <w:spacing w:val="80"/>
          <w:position w:val="5"/>
          <w:sz w:val="14"/>
        </w:rPr>
        <w:t>  </w:t>
      </w:r>
      <w:r>
        <w:rPr/>
        <w:t>The Act came into force on April 6, 2013: SI 2013/450. Proposals for reform of the law </w:t>
      </w:r>
      <w:r>
        <w:rPr/>
        <w:t>were made by the Law Commission in 1980, see Law Com. No.104, Cmnd.8064 (1980). They were not implemented. The Law Commission for England and Wales and the Scottish Law Commission have taken the matter up again. The Consumer Insurance (Disclosure and Representations)</w:t>
      </w:r>
      <w:r>
        <w:rPr>
          <w:spacing w:val="80"/>
        </w:rPr>
        <w:t> </w:t>
      </w:r>
      <w:r>
        <w:rPr/>
        <w:t>Act</w:t>
      </w:r>
      <w:r>
        <w:rPr>
          <w:spacing w:val="80"/>
        </w:rPr>
        <w:t> </w:t>
      </w:r>
      <w:r>
        <w:rPr/>
        <w:t>2012</w:t>
      </w:r>
      <w:r>
        <w:rPr>
          <w:spacing w:val="80"/>
        </w:rPr>
        <w:t> </w:t>
      </w:r>
      <w:r>
        <w:rPr/>
        <w:t>implemented</w:t>
      </w:r>
      <w:r>
        <w:rPr>
          <w:spacing w:val="80"/>
        </w:rPr>
        <w:t> </w:t>
      </w:r>
      <w:r>
        <w:rPr/>
        <w:t>their</w:t>
      </w:r>
      <w:r>
        <w:rPr>
          <w:spacing w:val="80"/>
        </w:rPr>
        <w:t> </w:t>
      </w:r>
      <w:r>
        <w:rPr/>
        <w:t>joint</w:t>
      </w:r>
      <w:r>
        <w:rPr>
          <w:spacing w:val="80"/>
        </w:rPr>
        <w:t> </w:t>
      </w:r>
      <w:r>
        <w:rPr/>
        <w:t>report,</w:t>
      </w:r>
      <w:r>
        <w:rPr>
          <w:spacing w:val="80"/>
        </w:rPr>
        <w:t> </w:t>
      </w:r>
      <w:r>
        <w:rPr/>
        <w:t>Consumer</w:t>
      </w:r>
      <w:r>
        <w:rPr>
          <w:spacing w:val="80"/>
        </w:rPr>
        <w:t> </w:t>
      </w:r>
      <w:r>
        <w:rPr/>
        <w:t>Insurance</w:t>
      </w:r>
      <w:r>
        <w:rPr>
          <w:spacing w:val="80"/>
        </w:rPr>
        <w:t> </w:t>
      </w:r>
      <w:r>
        <w:rPr/>
        <w:t>Law: Pre-Contract Disclosure and Misrepresentation (Law Com. No.319, Scot. Law Com. No.219, 2009).</w:t>
      </w:r>
      <w:r>
        <w:rPr>
          <w:spacing w:val="40"/>
        </w:rPr>
        <w:t> </w:t>
      </w:r>
      <w:r>
        <w:rPr/>
        <w:t>For</w:t>
      </w:r>
      <w:r>
        <w:rPr>
          <w:spacing w:val="40"/>
        </w:rPr>
        <w:t> </w:t>
      </w:r>
      <w:r>
        <w:rPr/>
        <w:t>their</w:t>
      </w:r>
      <w:r>
        <w:rPr>
          <w:spacing w:val="40"/>
        </w:rPr>
        <w:t> </w:t>
      </w:r>
      <w:r>
        <w:rPr/>
        <w:t>consultation</w:t>
      </w:r>
      <w:r>
        <w:rPr>
          <w:spacing w:val="40"/>
        </w:rPr>
        <w:t> </w:t>
      </w:r>
      <w:r>
        <w:rPr/>
        <w:t>paper</w:t>
      </w:r>
      <w:r>
        <w:rPr>
          <w:spacing w:val="40"/>
        </w:rPr>
        <w:t> </w:t>
      </w:r>
      <w:r>
        <w:rPr/>
        <w:t>and</w:t>
      </w:r>
      <w:r>
        <w:rPr>
          <w:spacing w:val="40"/>
        </w:rPr>
        <w:t> </w:t>
      </w:r>
      <w:r>
        <w:rPr/>
        <w:t>report</w:t>
      </w:r>
      <w:r>
        <w:rPr>
          <w:spacing w:val="40"/>
        </w:rPr>
        <w:t> </w:t>
      </w:r>
      <w:r>
        <w:rPr/>
        <w:t>on</w:t>
      </w:r>
      <w:r>
        <w:rPr>
          <w:spacing w:val="40"/>
        </w:rPr>
        <w:t> </w:t>
      </w:r>
      <w:r>
        <w:rPr/>
        <w:t>non-consumer</w:t>
      </w:r>
      <w:r>
        <w:rPr>
          <w:spacing w:val="40"/>
        </w:rPr>
        <w:t> </w:t>
      </w:r>
      <w:r>
        <w:rPr/>
        <w:t>insurance,</w:t>
      </w:r>
      <w:r>
        <w:rPr>
          <w:spacing w:val="40"/>
        </w:rPr>
        <w:t> </w:t>
      </w:r>
      <w:r>
        <w:rPr/>
        <w:t>see</w:t>
      </w:r>
      <w:r>
        <w:rPr>
          <w:spacing w:val="40"/>
        </w:rPr>
        <w:t> </w:t>
      </w:r>
      <w:r>
        <w:rPr/>
        <w:t>below, para.7-159 n.716.</w:t>
      </w:r>
    </w:p>
    <w:p>
      <w:pPr>
        <w:pStyle w:val="BodyText"/>
        <w:spacing w:before="3"/>
      </w:pPr>
    </w:p>
    <w:p>
      <w:pPr>
        <w:pStyle w:val="BodyText"/>
        <w:tabs>
          <w:tab w:pos="705" w:val="left" w:leader="none"/>
        </w:tabs>
        <w:ind w:left="165"/>
      </w:pPr>
      <w:bookmarkStart w:name="_bookmark1442" w:id="1444"/>
      <w:bookmarkEnd w:id="1444"/>
      <w:r>
        <w:rPr/>
      </w:r>
      <w:hyperlink w:history="true" w:anchor="_bookmark1390">
        <w:r>
          <w:rPr>
            <w:color w:val="005DA1"/>
            <w:spacing w:val="-4"/>
            <w:position w:val="5"/>
            <w:sz w:val="14"/>
            <w:u w:val="single" w:color="005DA1"/>
          </w:rPr>
          <w:t>738</w:t>
        </w:r>
      </w:hyperlink>
      <w:r>
        <w:rPr>
          <w:spacing w:val="-4"/>
          <w:position w:val="5"/>
          <w:sz w:val="14"/>
        </w:rPr>
        <w:t>.</w:t>
      </w:r>
      <w:r>
        <w:rPr>
          <w:position w:val="5"/>
          <w:sz w:val="14"/>
        </w:rPr>
        <w:tab/>
      </w:r>
      <w:r>
        <w:rPr/>
        <w:t>s.2. See further below, para.42-</w:t>
      </w:r>
      <w:r>
        <w:rPr>
          <w:spacing w:val="-4"/>
        </w:rPr>
        <w:t>046.</w:t>
      </w:r>
    </w:p>
    <w:p>
      <w:pPr>
        <w:pStyle w:val="BodyText"/>
        <w:spacing w:before="9"/>
      </w:pPr>
    </w:p>
    <w:p>
      <w:pPr>
        <w:pStyle w:val="BodyText"/>
        <w:spacing w:line="235" w:lineRule="auto"/>
        <w:ind w:left="705" w:right="167" w:hanging="541"/>
        <w:jc w:val="both"/>
      </w:pPr>
      <w:bookmarkStart w:name="_bookmark1443" w:id="1445"/>
      <w:bookmarkEnd w:id="1445"/>
      <w:r>
        <w:rPr/>
      </w:r>
      <w:hyperlink w:history="true" w:anchor="_bookmark1391">
        <w:r>
          <w:rPr>
            <w:color w:val="005DA1"/>
            <w:position w:val="5"/>
            <w:sz w:val="14"/>
            <w:u w:val="single" w:color="005DA1"/>
          </w:rPr>
          <w:t>739</w:t>
        </w:r>
      </w:hyperlink>
      <w:r>
        <w:rPr>
          <w:position w:val="5"/>
          <w:sz w:val="14"/>
        </w:rPr>
        <w:t>.</w:t>
      </w:r>
      <w:r>
        <w:rPr>
          <w:spacing w:val="80"/>
          <w:w w:val="150"/>
          <w:position w:val="5"/>
          <w:sz w:val="14"/>
        </w:rPr>
        <w:t> </w:t>
      </w:r>
      <w:r>
        <w:rPr/>
        <w:t>For a detailed explanation, see below, Vol.II, paras 42-051 et seq. The Act implements in </w:t>
      </w:r>
      <w:r>
        <w:rPr/>
        <w:t>part further recommendations by the Law Commissions: see Insurance Contract Law: The Business Insured’s Duty of Disclosure and the Law of Warranties (Law Com. Consultation Paper No.204, Scot. Law Com. Consultation Paper No.155, 2012) and Insurance Contract Law: Business Disclosure; Warranties; Insurers’ Remedies for Fraudulent Claims; and Late Payment (Law</w:t>
      </w:r>
      <w:r>
        <w:rPr>
          <w:spacing w:val="40"/>
        </w:rPr>
        <w:t> </w:t>
      </w:r>
      <w:r>
        <w:rPr/>
        <w:t>Com Report No.353, Scot Law Com Report No.238, 2014).</w:t>
      </w:r>
    </w:p>
    <w:p>
      <w:pPr>
        <w:pStyle w:val="BodyText"/>
        <w:spacing w:before="4"/>
      </w:pPr>
    </w:p>
    <w:p>
      <w:pPr>
        <w:pStyle w:val="BodyText"/>
        <w:tabs>
          <w:tab w:pos="705" w:val="left" w:leader="none"/>
        </w:tabs>
        <w:ind w:left="165"/>
      </w:pPr>
      <w:bookmarkStart w:name="_bookmark1444" w:id="1446"/>
      <w:bookmarkEnd w:id="1446"/>
      <w:r>
        <w:rPr/>
      </w:r>
      <w:hyperlink w:history="true" w:anchor="_bookmark1392">
        <w:r>
          <w:rPr>
            <w:color w:val="005DA1"/>
            <w:spacing w:val="-4"/>
            <w:position w:val="5"/>
            <w:sz w:val="14"/>
            <w:u w:val="single" w:color="005DA1"/>
          </w:rPr>
          <w:t>740</w:t>
        </w:r>
      </w:hyperlink>
      <w:r>
        <w:rPr>
          <w:spacing w:val="-4"/>
          <w:position w:val="5"/>
          <w:sz w:val="14"/>
        </w:rPr>
        <w:t>.</w:t>
      </w:r>
      <w:r>
        <w:rPr>
          <w:position w:val="5"/>
          <w:sz w:val="14"/>
        </w:rPr>
        <w:tab/>
      </w:r>
      <w:r>
        <w:rPr/>
        <w:t>Insurance Act 2015 </w:t>
      </w:r>
      <w:r>
        <w:rPr>
          <w:spacing w:val="-2"/>
        </w:rPr>
        <w:t>s.3(1).</w:t>
      </w:r>
    </w:p>
    <w:p>
      <w:pPr>
        <w:pStyle w:val="BodyText"/>
        <w:spacing w:before="8"/>
      </w:pPr>
    </w:p>
    <w:p>
      <w:pPr>
        <w:pStyle w:val="BodyText"/>
        <w:spacing w:line="235" w:lineRule="auto" w:before="1"/>
        <w:ind w:left="705" w:right="167" w:hanging="541"/>
        <w:jc w:val="both"/>
      </w:pPr>
      <w:bookmarkStart w:name="_bookmark1445" w:id="1447"/>
      <w:bookmarkEnd w:id="1447"/>
      <w:r>
        <w:rPr/>
      </w:r>
      <w:hyperlink w:history="true" w:anchor="_bookmark1393">
        <w:r>
          <w:rPr>
            <w:color w:val="005DA1"/>
            <w:position w:val="5"/>
            <w:sz w:val="14"/>
            <w:u w:val="single" w:color="005DA1"/>
          </w:rPr>
          <w:t>741</w:t>
        </w:r>
      </w:hyperlink>
      <w:r>
        <w:rPr>
          <w:position w:val="5"/>
          <w:sz w:val="14"/>
        </w:rPr>
        <w:t>.</w:t>
      </w:r>
      <w:r>
        <w:rPr>
          <w:spacing w:val="40"/>
          <w:position w:val="5"/>
          <w:sz w:val="14"/>
        </w:rPr>
        <w:t>  </w:t>
      </w:r>
      <w:r>
        <w:rPr/>
        <w:t>s.3(4). Section 3(5) creates a number of exceptions for example for information that the insurer knows,</w:t>
      </w:r>
      <w:r>
        <w:rPr>
          <w:spacing w:val="-1"/>
        </w:rPr>
        <w:t> </w:t>
      </w:r>
      <w:r>
        <w:rPr/>
        <w:t>ought</w:t>
      </w:r>
      <w:r>
        <w:rPr>
          <w:spacing w:val="-1"/>
        </w:rPr>
        <w:t> </w:t>
      </w:r>
      <w:r>
        <w:rPr/>
        <w:t>to</w:t>
      </w:r>
      <w:r>
        <w:rPr>
          <w:spacing w:val="-1"/>
        </w:rPr>
        <w:t> </w:t>
      </w:r>
      <w:r>
        <w:rPr/>
        <w:t>know</w:t>
      </w:r>
      <w:r>
        <w:rPr>
          <w:spacing w:val="-1"/>
        </w:rPr>
        <w:t> </w:t>
      </w:r>
      <w:r>
        <w:rPr/>
        <w:t>or</w:t>
      </w:r>
      <w:r>
        <w:rPr>
          <w:spacing w:val="-1"/>
        </w:rPr>
        <w:t> </w:t>
      </w:r>
      <w:r>
        <w:rPr/>
        <w:t>is</w:t>
      </w:r>
      <w:r>
        <w:rPr>
          <w:spacing w:val="-1"/>
        </w:rPr>
        <w:t> </w:t>
      </w:r>
      <w:r>
        <w:rPr/>
        <w:t>presumed</w:t>
      </w:r>
      <w:r>
        <w:rPr>
          <w:spacing w:val="-1"/>
        </w:rPr>
        <w:t> </w:t>
      </w:r>
      <w:r>
        <w:rPr/>
        <w:t>to</w:t>
      </w:r>
      <w:r>
        <w:rPr>
          <w:spacing w:val="-1"/>
        </w:rPr>
        <w:t> </w:t>
      </w:r>
      <w:r>
        <w:rPr/>
        <w:t>know.</w:t>
      </w:r>
      <w:r>
        <w:rPr>
          <w:spacing w:val="-1"/>
        </w:rPr>
        <w:t> </w:t>
      </w:r>
      <w:r>
        <w:rPr/>
        <w:t>Sections</w:t>
      </w:r>
      <w:r>
        <w:rPr>
          <w:spacing w:val="-1"/>
        </w:rPr>
        <w:t> </w:t>
      </w:r>
      <w:r>
        <w:rPr/>
        <w:t>4,</w:t>
      </w:r>
      <w:r>
        <w:rPr>
          <w:spacing w:val="-1"/>
        </w:rPr>
        <w:t> </w:t>
      </w:r>
      <w:r>
        <w:rPr/>
        <w:t>5</w:t>
      </w:r>
      <w:r>
        <w:rPr>
          <w:spacing w:val="-1"/>
        </w:rPr>
        <w:t> </w:t>
      </w:r>
      <w:r>
        <w:rPr/>
        <w:t>and</w:t>
      </w:r>
      <w:r>
        <w:rPr>
          <w:spacing w:val="-1"/>
        </w:rPr>
        <w:t> </w:t>
      </w:r>
      <w:r>
        <w:rPr/>
        <w:t>6</w:t>
      </w:r>
      <w:r>
        <w:rPr>
          <w:spacing w:val="-1"/>
        </w:rPr>
        <w:t> </w:t>
      </w:r>
      <w:r>
        <w:rPr/>
        <w:t>set</w:t>
      </w:r>
      <w:r>
        <w:rPr>
          <w:spacing w:val="-1"/>
        </w:rPr>
        <w:t> </w:t>
      </w:r>
      <w:r>
        <w:rPr/>
        <w:t>out</w:t>
      </w:r>
      <w:r>
        <w:rPr>
          <w:spacing w:val="-1"/>
        </w:rPr>
        <w:t> </w:t>
      </w:r>
      <w:r>
        <w:rPr/>
        <w:t>what</w:t>
      </w:r>
      <w:r>
        <w:rPr>
          <w:spacing w:val="-1"/>
        </w:rPr>
        <w:t> </w:t>
      </w:r>
      <w:r>
        <w:rPr/>
        <w:t>the</w:t>
      </w:r>
      <w:r>
        <w:rPr>
          <w:spacing w:val="-1"/>
        </w:rPr>
        <w:t> </w:t>
      </w:r>
      <w:r>
        <w:rPr/>
        <w:t>insured</w:t>
      </w:r>
      <w:r>
        <w:rPr>
          <w:spacing w:val="-1"/>
        </w:rPr>
        <w:t> </w:t>
      </w:r>
      <w:r>
        <w:rPr/>
        <w:t>and the insurer know or ought to know.</w:t>
      </w:r>
    </w:p>
    <w:p>
      <w:pPr>
        <w:pStyle w:val="BodyText"/>
        <w:spacing w:before="8"/>
      </w:pPr>
    </w:p>
    <w:p>
      <w:pPr>
        <w:tabs>
          <w:tab w:pos="705" w:val="left" w:leader="none"/>
        </w:tabs>
        <w:spacing w:line="235" w:lineRule="auto" w:before="0"/>
        <w:ind w:left="705" w:right="168" w:hanging="541"/>
        <w:jc w:val="left"/>
        <w:rPr>
          <w:sz w:val="20"/>
        </w:rPr>
      </w:pPr>
      <w:bookmarkStart w:name="_bookmark1446" w:id="1448"/>
      <w:bookmarkEnd w:id="1448"/>
      <w:r>
        <w:rPr/>
      </w:r>
      <w:hyperlink w:history="true" w:anchor="_bookmark1394">
        <w:r>
          <w:rPr>
            <w:color w:val="005DA1"/>
            <w:spacing w:val="-4"/>
            <w:position w:val="5"/>
            <w:sz w:val="14"/>
            <w:u w:val="single" w:color="005DA1"/>
          </w:rPr>
          <w:t>742</w:t>
        </w:r>
      </w:hyperlink>
      <w:r>
        <w:rPr>
          <w:spacing w:val="-4"/>
          <w:position w:val="5"/>
          <w:sz w:val="14"/>
        </w:rPr>
        <w:t>.</w:t>
      </w:r>
      <w:r>
        <w:rPr>
          <w:position w:val="5"/>
          <w:sz w:val="14"/>
        </w:rPr>
        <w:tab/>
      </w:r>
      <w:r>
        <w:rPr>
          <w:rFonts w:ascii="Arial" w:hAnsi="Arial"/>
          <w:i/>
          <w:sz w:val="20"/>
        </w:rPr>
        <w:t>[1936]</w:t>
      </w:r>
      <w:r>
        <w:rPr>
          <w:rFonts w:ascii="Arial" w:hAnsi="Arial"/>
          <w:i/>
          <w:spacing w:val="28"/>
          <w:sz w:val="20"/>
        </w:rPr>
        <w:t> </w:t>
      </w:r>
      <w:r>
        <w:rPr>
          <w:rFonts w:ascii="Arial" w:hAnsi="Arial"/>
          <w:i/>
          <w:sz w:val="20"/>
        </w:rPr>
        <w:t>1</w:t>
      </w:r>
      <w:r>
        <w:rPr>
          <w:rFonts w:ascii="Arial" w:hAnsi="Arial"/>
          <w:i/>
          <w:spacing w:val="28"/>
          <w:sz w:val="20"/>
        </w:rPr>
        <w:t> </w:t>
      </w:r>
      <w:r>
        <w:rPr>
          <w:rFonts w:ascii="Arial" w:hAnsi="Arial"/>
          <w:i/>
          <w:sz w:val="20"/>
        </w:rPr>
        <w:t>K.B.</w:t>
      </w:r>
      <w:r>
        <w:rPr>
          <w:rFonts w:ascii="Arial" w:hAnsi="Arial"/>
          <w:i/>
          <w:spacing w:val="28"/>
          <w:sz w:val="20"/>
        </w:rPr>
        <w:t> </w:t>
      </w:r>
      <w:r>
        <w:rPr>
          <w:rFonts w:ascii="Arial" w:hAnsi="Arial"/>
          <w:i/>
          <w:sz w:val="20"/>
        </w:rPr>
        <w:t>408,</w:t>
      </w:r>
      <w:r>
        <w:rPr>
          <w:rFonts w:ascii="Arial" w:hAnsi="Arial"/>
          <w:i/>
          <w:spacing w:val="28"/>
          <w:sz w:val="20"/>
        </w:rPr>
        <w:t> </w:t>
      </w:r>
      <w:r>
        <w:rPr>
          <w:rFonts w:ascii="Arial" w:hAnsi="Arial"/>
          <w:i/>
          <w:sz w:val="20"/>
        </w:rPr>
        <w:t>415</w:t>
      </w:r>
      <w:r>
        <w:rPr>
          <w:sz w:val="20"/>
        </w:rPr>
        <w:t>.</w:t>
      </w:r>
      <w:r>
        <w:rPr>
          <w:spacing w:val="28"/>
          <w:sz w:val="20"/>
        </w:rPr>
        <w:t> </w:t>
      </w:r>
      <w:r>
        <w:rPr>
          <w:sz w:val="20"/>
        </w:rPr>
        <w:t>This</w:t>
      </w:r>
      <w:r>
        <w:rPr>
          <w:spacing w:val="28"/>
          <w:sz w:val="20"/>
        </w:rPr>
        <w:t> </w:t>
      </w:r>
      <w:r>
        <w:rPr>
          <w:sz w:val="20"/>
        </w:rPr>
        <w:t>was</w:t>
      </w:r>
      <w:r>
        <w:rPr>
          <w:spacing w:val="28"/>
          <w:sz w:val="20"/>
        </w:rPr>
        <w:t> </w:t>
      </w:r>
      <w:r>
        <w:rPr>
          <w:sz w:val="20"/>
        </w:rPr>
        <w:t>also</w:t>
      </w:r>
      <w:r>
        <w:rPr>
          <w:spacing w:val="28"/>
          <w:sz w:val="20"/>
        </w:rPr>
        <w:t> </w:t>
      </w:r>
      <w:r>
        <w:rPr>
          <w:sz w:val="20"/>
        </w:rPr>
        <w:t>the</w:t>
      </w:r>
      <w:r>
        <w:rPr>
          <w:spacing w:val="28"/>
          <w:sz w:val="20"/>
        </w:rPr>
        <w:t> </w:t>
      </w:r>
      <w:r>
        <w:rPr>
          <w:sz w:val="20"/>
        </w:rPr>
        <w:t>test</w:t>
      </w:r>
      <w:r>
        <w:rPr>
          <w:spacing w:val="28"/>
          <w:sz w:val="20"/>
        </w:rPr>
        <w:t> </w:t>
      </w:r>
      <w:r>
        <w:rPr>
          <w:sz w:val="20"/>
        </w:rPr>
        <w:t>applied</w:t>
      </w:r>
      <w:r>
        <w:rPr>
          <w:spacing w:val="28"/>
          <w:sz w:val="20"/>
        </w:rPr>
        <w:t> </w:t>
      </w:r>
      <w:r>
        <w:rPr>
          <w:sz w:val="20"/>
        </w:rPr>
        <w:t>in</w:t>
      </w:r>
      <w:r>
        <w:rPr>
          <w:spacing w:val="27"/>
          <w:sz w:val="20"/>
        </w:rPr>
        <w:t> </w:t>
      </w:r>
      <w:r>
        <w:rPr>
          <w:rFonts w:ascii="Arial" w:hAnsi="Arial"/>
          <w:i/>
          <w:sz w:val="20"/>
        </w:rPr>
        <w:t>Lambert</w:t>
      </w:r>
      <w:r>
        <w:rPr>
          <w:rFonts w:ascii="Arial" w:hAnsi="Arial"/>
          <w:i/>
          <w:spacing w:val="28"/>
          <w:sz w:val="20"/>
        </w:rPr>
        <w:t> </w:t>
      </w:r>
      <w:r>
        <w:rPr>
          <w:rFonts w:ascii="Arial" w:hAnsi="Arial"/>
          <w:i/>
          <w:sz w:val="20"/>
        </w:rPr>
        <w:t>v</w:t>
      </w:r>
      <w:r>
        <w:rPr>
          <w:rFonts w:ascii="Arial" w:hAnsi="Arial"/>
          <w:i/>
          <w:spacing w:val="28"/>
          <w:sz w:val="20"/>
        </w:rPr>
        <w:t> </w:t>
      </w:r>
      <w:r>
        <w:rPr>
          <w:rFonts w:ascii="Arial" w:hAnsi="Arial"/>
          <w:i/>
          <w:sz w:val="20"/>
        </w:rPr>
        <w:t>Co-operative</w:t>
      </w:r>
      <w:r>
        <w:rPr>
          <w:rFonts w:ascii="Arial" w:hAnsi="Arial"/>
          <w:i/>
          <w:spacing w:val="28"/>
          <w:sz w:val="20"/>
        </w:rPr>
        <w:t> </w:t>
      </w:r>
      <w:r>
        <w:rPr>
          <w:rFonts w:ascii="Arial" w:hAnsi="Arial"/>
          <w:i/>
          <w:sz w:val="20"/>
        </w:rPr>
        <w:t>Insurance Society Ltd [1975] 2 Lloyd’s Rep. 485</w:t>
      </w:r>
      <w:r>
        <w:rPr>
          <w:sz w:val="20"/>
        </w:rPr>
        <w:t>.</w:t>
      </w:r>
    </w:p>
    <w:p>
      <w:pPr>
        <w:pStyle w:val="BodyText"/>
        <w:spacing w:before="6"/>
      </w:pPr>
    </w:p>
    <w:p>
      <w:pPr>
        <w:tabs>
          <w:tab w:pos="705" w:val="left" w:leader="none"/>
        </w:tabs>
        <w:spacing w:before="0"/>
        <w:ind w:left="165" w:right="0" w:firstLine="0"/>
        <w:jc w:val="left"/>
        <w:rPr>
          <w:sz w:val="20"/>
        </w:rPr>
      </w:pPr>
      <w:bookmarkStart w:name="_bookmark1447" w:id="1449"/>
      <w:bookmarkEnd w:id="1449"/>
      <w:r>
        <w:rPr/>
      </w:r>
      <w:hyperlink w:history="true" w:anchor="_bookmark1395">
        <w:r>
          <w:rPr>
            <w:color w:val="005DA1"/>
            <w:spacing w:val="-4"/>
            <w:position w:val="5"/>
            <w:sz w:val="14"/>
            <w:u w:val="single" w:color="005DA1"/>
          </w:rPr>
          <w:t>743</w:t>
        </w:r>
      </w:hyperlink>
      <w:r>
        <w:rPr>
          <w:spacing w:val="-4"/>
          <w:position w:val="5"/>
          <w:sz w:val="14"/>
        </w:rPr>
        <w:t>.</w:t>
      </w:r>
      <w:r>
        <w:rPr>
          <w:position w:val="5"/>
          <w:sz w:val="14"/>
        </w:rPr>
        <w:tab/>
      </w:r>
      <w:r>
        <w:rPr>
          <w:rFonts w:ascii="Arial"/>
          <w:i/>
          <w:sz w:val="20"/>
        </w:rPr>
        <w:t>[1995]</w:t>
      </w:r>
      <w:r>
        <w:rPr>
          <w:rFonts w:ascii="Arial"/>
          <w:i/>
          <w:spacing w:val="-2"/>
          <w:sz w:val="20"/>
        </w:rPr>
        <w:t> </w:t>
      </w:r>
      <w:r>
        <w:rPr>
          <w:rFonts w:ascii="Arial"/>
          <w:i/>
          <w:sz w:val="20"/>
        </w:rPr>
        <w:t>1 A.C. </w:t>
      </w:r>
      <w:r>
        <w:rPr>
          <w:rFonts w:ascii="Arial"/>
          <w:i/>
          <w:spacing w:val="-4"/>
          <w:sz w:val="20"/>
        </w:rPr>
        <w:t>501</w:t>
      </w:r>
      <w:r>
        <w:rPr>
          <w:spacing w:val="-4"/>
          <w:sz w:val="20"/>
        </w:rPr>
        <w:t>.</w:t>
      </w:r>
    </w:p>
    <w:p>
      <w:pPr>
        <w:pStyle w:val="BodyText"/>
        <w:spacing w:before="5"/>
      </w:pPr>
    </w:p>
    <w:p>
      <w:pPr>
        <w:pStyle w:val="BodyText"/>
        <w:tabs>
          <w:tab w:pos="705" w:val="left" w:leader="none"/>
        </w:tabs>
        <w:ind w:left="165"/>
      </w:pPr>
      <w:bookmarkStart w:name="_bookmark1448" w:id="1450"/>
      <w:bookmarkEnd w:id="1450"/>
      <w:r>
        <w:rPr/>
      </w:r>
      <w:hyperlink w:history="true" w:anchor="_bookmark1396">
        <w:r>
          <w:rPr>
            <w:color w:val="005DA1"/>
            <w:spacing w:val="-4"/>
            <w:position w:val="5"/>
            <w:sz w:val="14"/>
            <w:u w:val="single" w:color="005DA1"/>
          </w:rPr>
          <w:t>744</w:t>
        </w:r>
      </w:hyperlink>
      <w:r>
        <w:rPr>
          <w:spacing w:val="-4"/>
          <w:position w:val="5"/>
          <w:sz w:val="14"/>
        </w:rPr>
        <w:t>.</w:t>
      </w:r>
      <w:r>
        <w:rPr>
          <w:position w:val="5"/>
          <w:sz w:val="14"/>
        </w:rPr>
        <w:tab/>
      </w:r>
      <w:r>
        <w:rPr/>
        <w:t>See further below, Vol.II, para.42-</w:t>
      </w:r>
      <w:r>
        <w:rPr>
          <w:spacing w:val="-4"/>
        </w:rPr>
        <w:t>034.</w:t>
      </w:r>
    </w:p>
    <w:p>
      <w:pPr>
        <w:pStyle w:val="BodyText"/>
        <w:spacing w:before="5"/>
      </w:pPr>
    </w:p>
    <w:p>
      <w:pPr>
        <w:tabs>
          <w:tab w:pos="705" w:val="left" w:leader="none"/>
        </w:tabs>
        <w:spacing w:before="0"/>
        <w:ind w:left="165" w:right="0" w:firstLine="0"/>
        <w:jc w:val="left"/>
        <w:rPr>
          <w:sz w:val="20"/>
        </w:rPr>
      </w:pPr>
      <w:bookmarkStart w:name="_bookmark1449" w:id="1451"/>
      <w:bookmarkEnd w:id="1451"/>
      <w:r>
        <w:rPr/>
      </w:r>
      <w:hyperlink w:history="true" w:anchor="_bookmark1397">
        <w:r>
          <w:rPr>
            <w:color w:val="005DA1"/>
            <w:spacing w:val="-4"/>
            <w:position w:val="5"/>
            <w:sz w:val="14"/>
            <w:u w:val="single" w:color="005DA1"/>
          </w:rPr>
          <w:t>745</w:t>
        </w:r>
      </w:hyperlink>
      <w:r>
        <w:rPr>
          <w:spacing w:val="-4"/>
          <w:position w:val="5"/>
          <w:sz w:val="14"/>
        </w:rPr>
        <w:t>.</w:t>
      </w:r>
      <w:r>
        <w:rPr>
          <w:position w:val="5"/>
          <w:sz w:val="14"/>
        </w:rPr>
        <w:tab/>
      </w:r>
      <w:r>
        <w:rPr>
          <w:rFonts w:ascii="Arial"/>
          <w:i/>
          <w:sz w:val="20"/>
        </w:rPr>
        <w:t>[1996] 1 All E.R. </w:t>
      </w:r>
      <w:r>
        <w:rPr>
          <w:rFonts w:ascii="Arial"/>
          <w:i/>
          <w:spacing w:val="-5"/>
          <w:sz w:val="20"/>
        </w:rPr>
        <w:t>96</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450" w:id="1452"/>
      <w:bookmarkEnd w:id="1452"/>
      <w:r>
        <w:rPr/>
      </w:r>
      <w:hyperlink w:history="true" w:anchor="_bookmark1398">
        <w:r>
          <w:rPr>
            <w:color w:val="005DA1"/>
            <w:spacing w:val="-4"/>
            <w:position w:val="5"/>
            <w:sz w:val="14"/>
            <w:u w:val="single" w:color="005DA1"/>
          </w:rPr>
          <w:t>746</w:t>
        </w:r>
      </w:hyperlink>
      <w:r>
        <w:rPr>
          <w:spacing w:val="-4"/>
          <w:position w:val="5"/>
          <w:sz w:val="14"/>
        </w:rPr>
        <w:t>.</w:t>
      </w:r>
      <w:r>
        <w:rPr>
          <w:position w:val="5"/>
          <w:sz w:val="14"/>
        </w:rPr>
        <w:tab/>
      </w:r>
      <w:r>
        <w:rPr>
          <w:rFonts w:ascii="Arial"/>
          <w:i/>
          <w:sz w:val="20"/>
        </w:rPr>
        <w:t>[1996] 1 All E.R. 96, </w:t>
      </w:r>
      <w:r>
        <w:rPr>
          <w:rFonts w:ascii="Arial"/>
          <w:i/>
          <w:spacing w:val="-4"/>
          <w:sz w:val="20"/>
        </w:rPr>
        <w:t>107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451" w:id="1453"/>
      <w:bookmarkEnd w:id="1453"/>
      <w:r>
        <w:rPr/>
      </w:r>
      <w:hyperlink w:history="true" w:anchor="_bookmark1399">
        <w:r>
          <w:rPr>
            <w:color w:val="005DA1"/>
            <w:spacing w:val="-4"/>
            <w:position w:val="5"/>
            <w:sz w:val="14"/>
            <w:u w:val="single" w:color="005DA1"/>
          </w:rPr>
          <w:t>747</w:t>
        </w:r>
      </w:hyperlink>
      <w:r>
        <w:rPr>
          <w:spacing w:val="-4"/>
          <w:position w:val="5"/>
          <w:sz w:val="14"/>
        </w:rPr>
        <w:t>.</w:t>
      </w:r>
      <w:r>
        <w:rPr>
          <w:position w:val="5"/>
          <w:sz w:val="14"/>
        </w:rPr>
        <w:tab/>
      </w:r>
      <w:r>
        <w:rPr>
          <w:rFonts w:ascii="Arial" w:hAnsi="Arial"/>
          <w:i/>
          <w:sz w:val="20"/>
        </w:rPr>
        <w:t>[1995] 1 A.C. 501, </w:t>
      </w:r>
      <w:r>
        <w:rPr>
          <w:rFonts w:ascii="Arial" w:hAnsi="Arial"/>
          <w:i/>
          <w:spacing w:val="-2"/>
          <w:sz w:val="20"/>
        </w:rPr>
        <w:t>549–550</w:t>
      </w:r>
      <w:r>
        <w:rPr>
          <w:spacing w:val="-2"/>
          <w:sz w:val="20"/>
        </w:rPr>
        <w:t>.</w:t>
      </w:r>
    </w:p>
    <w:p>
      <w:pPr>
        <w:pStyle w:val="BodyText"/>
        <w:spacing w:before="5"/>
      </w:pPr>
    </w:p>
    <w:p>
      <w:pPr>
        <w:pStyle w:val="BodyText"/>
        <w:tabs>
          <w:tab w:pos="705" w:val="left" w:leader="none"/>
        </w:tabs>
        <w:ind w:left="165"/>
      </w:pPr>
      <w:bookmarkStart w:name="_bookmark1452" w:id="1454"/>
      <w:bookmarkEnd w:id="1454"/>
      <w:r>
        <w:rPr/>
      </w:r>
      <w:hyperlink w:history="true" w:anchor="_bookmark1400">
        <w:r>
          <w:rPr>
            <w:color w:val="005DA1"/>
            <w:spacing w:val="-4"/>
            <w:position w:val="5"/>
            <w:sz w:val="14"/>
            <w:u w:val="single" w:color="005DA1"/>
          </w:rPr>
          <w:t>748</w:t>
        </w:r>
      </w:hyperlink>
      <w:r>
        <w:rPr>
          <w:spacing w:val="-4"/>
          <w:position w:val="5"/>
          <w:sz w:val="14"/>
        </w:rPr>
        <w:t>.</w:t>
      </w:r>
      <w:r>
        <w:rPr>
          <w:position w:val="5"/>
          <w:sz w:val="14"/>
        </w:rPr>
        <w:tab/>
      </w:r>
      <w:r>
        <w:rPr/>
        <w:t>See above, paras 7-035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1453" w:id="1455"/>
      <w:bookmarkEnd w:id="1455"/>
      <w:r>
        <w:rPr/>
      </w:r>
      <w:hyperlink w:history="true" w:anchor="_bookmark1400">
        <w:r>
          <w:rPr>
            <w:color w:val="005DA1"/>
            <w:spacing w:val="-4"/>
            <w:position w:val="5"/>
            <w:sz w:val="14"/>
            <w:u w:val="single" w:color="005DA1"/>
          </w:rPr>
          <w:t>749</w:t>
        </w:r>
      </w:hyperlink>
      <w:r>
        <w:rPr>
          <w:spacing w:val="-4"/>
          <w:position w:val="5"/>
          <w:sz w:val="14"/>
        </w:rPr>
        <w:t>.</w:t>
      </w:r>
      <w:r>
        <w:rPr>
          <w:position w:val="5"/>
          <w:sz w:val="14"/>
        </w:rPr>
        <w:tab/>
      </w:r>
      <w:r>
        <w:rPr>
          <w:rFonts w:ascii="Arial"/>
          <w:i/>
          <w:sz w:val="20"/>
        </w:rPr>
        <w:t>[1995]</w:t>
      </w:r>
      <w:r>
        <w:rPr>
          <w:rFonts w:ascii="Arial"/>
          <w:i/>
          <w:spacing w:val="-2"/>
          <w:sz w:val="20"/>
        </w:rPr>
        <w:t> </w:t>
      </w:r>
      <w:r>
        <w:rPr>
          <w:rFonts w:ascii="Arial"/>
          <w:i/>
          <w:sz w:val="20"/>
        </w:rPr>
        <w:t>1 A.C. 501, </w:t>
      </w:r>
      <w:r>
        <w:rPr>
          <w:rFonts w:ascii="Arial"/>
          <w:i/>
          <w:spacing w:val="-4"/>
          <w:sz w:val="20"/>
        </w:rPr>
        <w:t>542</w:t>
      </w:r>
      <w:r>
        <w:rPr>
          <w:spacing w:val="-4"/>
          <w:sz w:val="20"/>
        </w:rPr>
        <w:t>.</w:t>
      </w:r>
    </w:p>
    <w:p>
      <w:pPr>
        <w:pStyle w:val="BodyText"/>
        <w:spacing w:before="9"/>
      </w:pPr>
    </w:p>
    <w:p>
      <w:pPr>
        <w:tabs>
          <w:tab w:pos="705" w:val="left" w:leader="none"/>
        </w:tabs>
        <w:spacing w:line="235" w:lineRule="auto" w:before="0"/>
        <w:ind w:left="705" w:right="169" w:hanging="541"/>
        <w:jc w:val="left"/>
        <w:rPr>
          <w:sz w:val="20"/>
        </w:rPr>
      </w:pPr>
      <w:bookmarkStart w:name="_bookmark1454" w:id="1456"/>
      <w:bookmarkEnd w:id="1456"/>
      <w:r>
        <w:rPr/>
      </w:r>
      <w:hyperlink w:history="true" w:anchor="_bookmark1401">
        <w:r>
          <w:rPr>
            <w:color w:val="005DA1"/>
            <w:spacing w:val="-4"/>
            <w:position w:val="5"/>
            <w:sz w:val="14"/>
            <w:u w:val="single" w:color="005DA1"/>
          </w:rPr>
          <w:t>750</w:t>
        </w:r>
      </w:hyperlink>
      <w:r>
        <w:rPr>
          <w:spacing w:val="-4"/>
          <w:position w:val="5"/>
          <w:sz w:val="14"/>
        </w:rPr>
        <w:t>.</w:t>
      </w:r>
      <w:r>
        <w:rPr>
          <w:position w:val="5"/>
          <w:sz w:val="14"/>
        </w:rPr>
        <w:tab/>
      </w:r>
      <w:r>
        <w:rPr>
          <w:sz w:val="20"/>
        </w:rPr>
        <w:t>See above, para.7-038 n.200; and also </w:t>
      </w:r>
      <w:r>
        <w:rPr>
          <w:rFonts w:ascii="Arial"/>
          <w:i/>
          <w:sz w:val="20"/>
        </w:rPr>
        <w:t>St Paul Fire and Marine Insurance Co Ltd v </w:t>
      </w:r>
      <w:r>
        <w:rPr>
          <w:rFonts w:ascii="Arial"/>
          <w:i/>
          <w:sz w:val="20"/>
        </w:rPr>
        <w:t>McConnell Dowell Constructors Ltd [1996] 1 All E.R. 96, 112</w:t>
      </w:r>
      <w:r>
        <w:rPr>
          <w:sz w:val="20"/>
        </w:rPr>
        <w:t>.</w:t>
      </w:r>
    </w:p>
    <w:p>
      <w:pPr>
        <w:pStyle w:val="BodyText"/>
        <w:spacing w:before="5"/>
      </w:pPr>
    </w:p>
    <w:p>
      <w:pPr>
        <w:pStyle w:val="BodyText"/>
        <w:tabs>
          <w:tab w:pos="705" w:val="left" w:leader="none"/>
        </w:tabs>
        <w:ind w:left="165"/>
      </w:pPr>
      <w:bookmarkStart w:name="_bookmark1455" w:id="1457"/>
      <w:bookmarkEnd w:id="1457"/>
      <w:r>
        <w:rPr/>
      </w:r>
      <w:hyperlink w:history="true" w:anchor="_bookmark1402">
        <w:r>
          <w:rPr>
            <w:color w:val="005DA1"/>
            <w:spacing w:val="-4"/>
            <w:position w:val="5"/>
            <w:sz w:val="14"/>
            <w:u w:val="single" w:color="005DA1"/>
          </w:rPr>
          <w:t>751</w:t>
        </w:r>
      </w:hyperlink>
      <w:r>
        <w:rPr>
          <w:spacing w:val="-4"/>
          <w:position w:val="5"/>
          <w:sz w:val="14"/>
        </w:rPr>
        <w:t>.</w:t>
      </w:r>
      <w:r>
        <w:rPr>
          <w:position w:val="5"/>
          <w:sz w:val="14"/>
        </w:rPr>
        <w:tab/>
      </w:r>
      <w:r>
        <w:rPr/>
        <w:t>Insurance Act 2015 s.7(3). See further below, para.42-</w:t>
      </w:r>
      <w:r>
        <w:rPr>
          <w:spacing w:val="-4"/>
        </w:rPr>
        <w:t>053.</w:t>
      </w:r>
    </w:p>
    <w:p>
      <w:pPr>
        <w:pStyle w:val="BodyText"/>
        <w:spacing w:before="9"/>
      </w:pPr>
    </w:p>
    <w:p>
      <w:pPr>
        <w:spacing w:line="235" w:lineRule="auto" w:before="0"/>
        <w:ind w:left="705" w:right="167" w:hanging="541"/>
        <w:jc w:val="both"/>
        <w:rPr>
          <w:sz w:val="20"/>
        </w:rPr>
      </w:pPr>
      <w:bookmarkStart w:name="_bookmark1456" w:id="1458"/>
      <w:bookmarkEnd w:id="1458"/>
      <w:r>
        <w:rPr/>
      </w:r>
      <w:hyperlink w:history="true" w:anchor="_bookmark1403">
        <w:r>
          <w:rPr>
            <w:color w:val="005DA1"/>
            <w:position w:val="5"/>
            <w:sz w:val="14"/>
            <w:u w:val="single" w:color="005DA1"/>
          </w:rPr>
          <w:t>752</w:t>
        </w:r>
      </w:hyperlink>
      <w:r>
        <w:rPr>
          <w:position w:val="5"/>
          <w:sz w:val="14"/>
        </w:rPr>
        <w:t>.</w:t>
      </w:r>
      <w:r>
        <w:rPr>
          <w:spacing w:val="80"/>
          <w:position w:val="5"/>
          <w:sz w:val="14"/>
        </w:rPr>
        <w:t>  </w:t>
      </w:r>
      <w:r>
        <w:rPr>
          <w:rFonts w:ascii="Arial" w:hAnsi="Arial"/>
          <w:i/>
          <w:sz w:val="20"/>
        </w:rPr>
        <w:t>Carter v Boehm (1766) 3 Burr. 1905</w:t>
      </w:r>
      <w:r>
        <w:rPr>
          <w:sz w:val="20"/>
        </w:rPr>
        <w:t>; </w:t>
      </w:r>
      <w:r>
        <w:rPr>
          <w:rFonts w:ascii="Arial" w:hAnsi="Arial"/>
          <w:i/>
          <w:sz w:val="20"/>
        </w:rPr>
        <w:t>Banque Keyser Ullman SA v Skandia (UK) Insurance Co Ltd [1990] 1 Q.B. 665, 770–772</w:t>
      </w:r>
      <w:r>
        <w:rPr>
          <w:sz w:val="20"/>
        </w:rPr>
        <w:t>, affirmed on other grounds but without disapproval of this statement of principle, </w:t>
      </w:r>
      <w:r>
        <w:rPr>
          <w:rFonts w:ascii="Arial" w:hAnsi="Arial"/>
          <w:i/>
          <w:sz w:val="20"/>
        </w:rPr>
        <w:t>[1991] 2 A.C. 249</w:t>
      </w:r>
      <w:r>
        <w:rPr>
          <w:sz w:val="20"/>
        </w:rPr>
        <w:t>.</w:t>
      </w:r>
    </w:p>
    <w:p>
      <w:pPr>
        <w:pStyle w:val="BodyText"/>
        <w:spacing w:before="5"/>
      </w:pPr>
    </w:p>
    <w:p>
      <w:pPr>
        <w:tabs>
          <w:tab w:pos="705" w:val="left" w:leader="none"/>
        </w:tabs>
        <w:spacing w:before="0"/>
        <w:ind w:left="165" w:right="0" w:firstLine="0"/>
        <w:jc w:val="left"/>
        <w:rPr>
          <w:sz w:val="20"/>
        </w:rPr>
      </w:pPr>
      <w:bookmarkStart w:name="_bookmark1457" w:id="1459"/>
      <w:bookmarkEnd w:id="1459"/>
      <w:r>
        <w:rPr/>
      </w:r>
      <w:hyperlink w:history="true" w:anchor="_bookmark1404">
        <w:r>
          <w:rPr>
            <w:color w:val="005DA1"/>
            <w:spacing w:val="-4"/>
            <w:position w:val="5"/>
            <w:sz w:val="14"/>
            <w:u w:val="single" w:color="005DA1"/>
          </w:rPr>
          <w:t>753</w:t>
        </w:r>
      </w:hyperlink>
      <w:r>
        <w:rPr>
          <w:spacing w:val="-4"/>
          <w:position w:val="5"/>
          <w:sz w:val="14"/>
        </w:rPr>
        <w:t>.</w:t>
      </w:r>
      <w:r>
        <w:rPr>
          <w:position w:val="5"/>
          <w:sz w:val="14"/>
        </w:rPr>
        <w:tab/>
      </w:r>
      <w:r>
        <w:rPr>
          <w:rFonts w:ascii="Arial"/>
          <w:i/>
          <w:sz w:val="20"/>
        </w:rPr>
        <w:t>[1990]</w:t>
      </w:r>
      <w:r>
        <w:rPr>
          <w:rFonts w:ascii="Arial"/>
          <w:i/>
          <w:spacing w:val="-2"/>
          <w:sz w:val="20"/>
        </w:rPr>
        <w:t> </w:t>
      </w:r>
      <w:r>
        <w:rPr>
          <w:rFonts w:ascii="Arial"/>
          <w:i/>
          <w:sz w:val="20"/>
        </w:rPr>
        <w:t>1 Q.B. 665, </w:t>
      </w:r>
      <w:r>
        <w:rPr>
          <w:rFonts w:ascii="Arial"/>
          <w:i/>
          <w:spacing w:val="-4"/>
          <w:sz w:val="20"/>
        </w:rPr>
        <w:t>772</w:t>
      </w:r>
      <w:r>
        <w:rPr>
          <w:spacing w:val="-4"/>
          <w:sz w:val="20"/>
        </w:rPr>
        <w:t>.</w:t>
      </w:r>
    </w:p>
    <w:p>
      <w:pPr>
        <w:pStyle w:val="BodyText"/>
        <w:spacing w:before="5"/>
      </w:pPr>
    </w:p>
    <w:p>
      <w:pPr>
        <w:pStyle w:val="BodyText"/>
        <w:tabs>
          <w:tab w:pos="705" w:val="left" w:leader="none"/>
        </w:tabs>
        <w:ind w:left="165"/>
      </w:pPr>
      <w:bookmarkStart w:name="_bookmark1458" w:id="1460"/>
      <w:bookmarkEnd w:id="1460"/>
      <w:r>
        <w:rPr/>
      </w:r>
      <w:hyperlink w:history="true" w:anchor="_bookmark1405">
        <w:r>
          <w:rPr>
            <w:color w:val="005DA1"/>
            <w:spacing w:val="-4"/>
            <w:position w:val="5"/>
            <w:sz w:val="14"/>
            <w:u w:val="single" w:color="005DA1"/>
          </w:rPr>
          <w:t>754</w:t>
        </w:r>
      </w:hyperlink>
      <w:r>
        <w:rPr>
          <w:spacing w:val="-4"/>
          <w:position w:val="5"/>
          <w:sz w:val="14"/>
        </w:rPr>
        <w:t>.</w:t>
      </w:r>
      <w:r>
        <w:rPr>
          <w:position w:val="5"/>
          <w:sz w:val="14"/>
        </w:rPr>
        <w:tab/>
      </w:r>
      <w:r>
        <w:rPr/>
        <w:t>Insurance Act 2015 s.3, see above, para.7-</w:t>
      </w:r>
      <w:r>
        <w:rPr>
          <w:spacing w:val="-4"/>
        </w:rPr>
        <w:t>159.</w:t>
      </w:r>
    </w:p>
    <w:p>
      <w:pPr>
        <w:pStyle w:val="BodyText"/>
        <w:spacing w:before="5"/>
      </w:pPr>
    </w:p>
    <w:p>
      <w:pPr>
        <w:pStyle w:val="BodyText"/>
        <w:tabs>
          <w:tab w:pos="705" w:val="left" w:leader="none"/>
        </w:tabs>
        <w:ind w:left="165"/>
      </w:pPr>
      <w:bookmarkStart w:name="_bookmark1459" w:id="1461"/>
      <w:bookmarkEnd w:id="1461"/>
      <w:r>
        <w:rPr/>
      </w:r>
      <w:hyperlink w:history="true" w:anchor="_bookmark1406">
        <w:r>
          <w:rPr>
            <w:color w:val="005DA1"/>
            <w:spacing w:val="-4"/>
            <w:position w:val="5"/>
            <w:sz w:val="14"/>
            <w:u w:val="single" w:color="005DA1"/>
          </w:rPr>
          <w:t>755</w:t>
        </w:r>
      </w:hyperlink>
      <w:r>
        <w:rPr>
          <w:spacing w:val="-4"/>
          <w:position w:val="5"/>
          <w:sz w:val="14"/>
        </w:rPr>
        <w:t>.</w:t>
      </w:r>
      <w:r>
        <w:rPr>
          <w:position w:val="5"/>
          <w:sz w:val="14"/>
        </w:rPr>
        <w:tab/>
      </w:r>
      <w:r>
        <w:rPr/>
        <w:t>Insurance</w:t>
      </w:r>
      <w:r>
        <w:rPr>
          <w:spacing w:val="-2"/>
        </w:rPr>
        <w:t> </w:t>
      </w:r>
      <w:r>
        <w:rPr/>
        <w:t>Act 2015 s.14(1), see above, para.7-155 </w:t>
      </w:r>
      <w:r>
        <w:rPr>
          <w:spacing w:val="-2"/>
        </w:rPr>
        <w:t>n.691.</w:t>
      </w:r>
    </w:p>
    <w:p>
      <w:pPr>
        <w:pStyle w:val="BodyText"/>
        <w:spacing w:before="5"/>
      </w:pPr>
    </w:p>
    <w:p>
      <w:pPr>
        <w:pStyle w:val="BodyText"/>
        <w:tabs>
          <w:tab w:pos="705" w:val="left" w:leader="none"/>
        </w:tabs>
        <w:ind w:left="165"/>
      </w:pPr>
      <w:bookmarkStart w:name="_bookmark1460" w:id="1462"/>
      <w:bookmarkEnd w:id="1462"/>
      <w:r>
        <w:rPr/>
      </w:r>
      <w:hyperlink w:history="true" w:anchor="_bookmark1407">
        <w:r>
          <w:rPr>
            <w:color w:val="005DA1"/>
            <w:spacing w:val="-4"/>
            <w:position w:val="5"/>
            <w:sz w:val="14"/>
            <w:u w:val="single" w:color="005DA1"/>
          </w:rPr>
          <w:t>756</w:t>
        </w:r>
      </w:hyperlink>
      <w:r>
        <w:rPr>
          <w:spacing w:val="-4"/>
          <w:position w:val="5"/>
          <w:sz w:val="14"/>
        </w:rPr>
        <w:t>.</w:t>
      </w:r>
      <w:r>
        <w:rPr>
          <w:position w:val="5"/>
          <w:sz w:val="14"/>
        </w:rPr>
        <w:tab/>
      </w:r>
      <w:r>
        <w:rPr/>
        <w:t>Report</w:t>
      </w:r>
      <w:r>
        <w:rPr>
          <w:spacing w:val="-2"/>
        </w:rPr>
        <w:t> </w:t>
      </w:r>
      <w:r>
        <w:rPr/>
        <w:t>No.353, </w:t>
      </w:r>
      <w:r>
        <w:rPr>
          <w:spacing w:val="-2"/>
        </w:rPr>
        <w:t>para.30–34.</w:t>
      </w:r>
    </w:p>
    <w:p>
      <w:pPr>
        <w:pStyle w:val="BodyText"/>
        <w:spacing w:after="0"/>
        <w:sectPr>
          <w:pgSz w:w="11900" w:h="16840"/>
          <w:pgMar w:header="971" w:footer="0" w:top="1160" w:bottom="280" w:left="1275" w:right="1275"/>
        </w:sectPr>
      </w:pPr>
    </w:p>
    <w:p>
      <w:pPr>
        <w:pStyle w:val="BodyText"/>
        <w:spacing w:before="81"/>
      </w:pPr>
    </w:p>
    <w:p>
      <w:pPr>
        <w:tabs>
          <w:tab w:pos="705" w:val="left" w:leader="none"/>
        </w:tabs>
        <w:spacing w:before="0"/>
        <w:ind w:left="165" w:right="0" w:firstLine="0"/>
        <w:jc w:val="left"/>
        <w:rPr>
          <w:sz w:val="20"/>
        </w:rPr>
      </w:pPr>
      <w:hyperlink w:history="true" w:anchor="_bookmark1408">
        <w:r>
          <w:rPr>
            <w:color w:val="005DA1"/>
            <w:spacing w:val="-4"/>
            <w:position w:val="5"/>
            <w:sz w:val="14"/>
            <w:u w:val="single" w:color="005DA1"/>
          </w:rPr>
          <w:t>757</w:t>
        </w:r>
      </w:hyperlink>
      <w:r>
        <w:rPr>
          <w:spacing w:val="-4"/>
          <w:position w:val="5"/>
          <w:sz w:val="14"/>
        </w:rPr>
        <w:t>.</w:t>
      </w:r>
      <w:r>
        <w:rPr>
          <w:position w:val="5"/>
          <w:sz w:val="14"/>
        </w:rPr>
        <w:tab/>
      </w:r>
      <w:r>
        <w:rPr>
          <w:rFonts w:ascii="Arial"/>
          <w:i/>
          <w:sz w:val="20"/>
        </w:rPr>
        <w:t>Ionides</w:t>
      </w:r>
      <w:r>
        <w:rPr>
          <w:rFonts w:ascii="Arial"/>
          <w:i/>
          <w:spacing w:val="-1"/>
          <w:sz w:val="20"/>
        </w:rPr>
        <w:t> </w:t>
      </w:r>
      <w:r>
        <w:rPr>
          <w:rFonts w:ascii="Arial"/>
          <w:i/>
          <w:sz w:val="20"/>
        </w:rPr>
        <w:t>v Pender (1874) L.R. 9 Q.B. 531</w:t>
      </w:r>
      <w:r>
        <w:rPr>
          <w:sz w:val="20"/>
        </w:rPr>
        <w:t>; </w:t>
      </w:r>
      <w:r>
        <w:rPr>
          <w:rFonts w:ascii="Arial"/>
          <w:i/>
          <w:sz w:val="20"/>
        </w:rPr>
        <w:t>Gooding v White (1913) 29 T.L.R. </w:t>
      </w:r>
      <w:r>
        <w:rPr>
          <w:rFonts w:ascii="Arial"/>
          <w:i/>
          <w:spacing w:val="-4"/>
          <w:sz w:val="20"/>
        </w:rPr>
        <w:t>312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461" w:id="1463"/>
      <w:bookmarkEnd w:id="1463"/>
      <w:r>
        <w:rPr/>
      </w:r>
      <w:hyperlink w:history="true" w:anchor="_bookmark1409">
        <w:r>
          <w:rPr>
            <w:color w:val="005DA1"/>
            <w:spacing w:val="-4"/>
            <w:position w:val="5"/>
            <w:sz w:val="14"/>
            <w:u w:val="single" w:color="005DA1"/>
          </w:rPr>
          <w:t>758</w:t>
        </w:r>
      </w:hyperlink>
      <w:r>
        <w:rPr>
          <w:spacing w:val="-4"/>
          <w:position w:val="5"/>
          <w:sz w:val="14"/>
        </w:rPr>
        <w:t>.</w:t>
      </w:r>
      <w:r>
        <w:rPr>
          <w:position w:val="5"/>
          <w:sz w:val="14"/>
        </w:rPr>
        <w:tab/>
      </w:r>
      <w:r>
        <w:rPr>
          <w:rFonts w:ascii="Arial"/>
          <w:i/>
          <w:sz w:val="20"/>
        </w:rPr>
        <w:t>Thames and Mersey Marine Insurance Co v Gunford Ship Co Ltd [1911] A.C. </w:t>
      </w:r>
      <w:r>
        <w:rPr>
          <w:rFonts w:ascii="Arial"/>
          <w:i/>
          <w:spacing w:val="-4"/>
          <w:sz w:val="20"/>
        </w:rPr>
        <w:t>529</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462" w:id="1464"/>
      <w:bookmarkEnd w:id="1464"/>
      <w:r>
        <w:rPr/>
      </w:r>
      <w:hyperlink w:history="true" w:anchor="_bookmark1410">
        <w:r>
          <w:rPr>
            <w:color w:val="005DA1"/>
            <w:spacing w:val="-4"/>
            <w:position w:val="5"/>
            <w:sz w:val="14"/>
            <w:u w:val="single" w:color="005DA1"/>
          </w:rPr>
          <w:t>759</w:t>
        </w:r>
      </w:hyperlink>
      <w:r>
        <w:rPr>
          <w:spacing w:val="-4"/>
          <w:position w:val="5"/>
          <w:sz w:val="14"/>
        </w:rPr>
        <w:t>.</w:t>
      </w:r>
      <w:r>
        <w:rPr>
          <w:position w:val="5"/>
          <w:sz w:val="14"/>
        </w:rPr>
        <w:tab/>
      </w:r>
      <w:r>
        <w:rPr>
          <w:rFonts w:ascii="Arial"/>
          <w:i/>
          <w:sz w:val="20"/>
        </w:rPr>
        <w:t>Horne</w:t>
      </w:r>
      <w:r>
        <w:rPr>
          <w:rFonts w:ascii="Arial"/>
          <w:i/>
          <w:spacing w:val="-3"/>
          <w:sz w:val="20"/>
        </w:rPr>
        <w:t> </w:t>
      </w:r>
      <w:r>
        <w:rPr>
          <w:rFonts w:ascii="Arial"/>
          <w:i/>
          <w:sz w:val="20"/>
        </w:rPr>
        <w:t>v</w:t>
      </w:r>
      <w:r>
        <w:rPr>
          <w:rFonts w:ascii="Arial"/>
          <w:i/>
          <w:spacing w:val="-3"/>
          <w:sz w:val="20"/>
        </w:rPr>
        <w:t> </w:t>
      </w:r>
      <w:r>
        <w:rPr>
          <w:rFonts w:ascii="Arial"/>
          <w:i/>
          <w:sz w:val="20"/>
        </w:rPr>
        <w:t>Poland</w:t>
      </w:r>
      <w:r>
        <w:rPr>
          <w:rFonts w:ascii="Arial"/>
          <w:i/>
          <w:spacing w:val="-3"/>
          <w:sz w:val="20"/>
        </w:rPr>
        <w:t> </w:t>
      </w:r>
      <w:r>
        <w:rPr>
          <w:rFonts w:ascii="Arial"/>
          <w:i/>
          <w:sz w:val="20"/>
        </w:rPr>
        <w:t>[1922]</w:t>
      </w:r>
      <w:r>
        <w:rPr>
          <w:rFonts w:ascii="Arial"/>
          <w:i/>
          <w:spacing w:val="-3"/>
          <w:sz w:val="20"/>
        </w:rPr>
        <w:t> </w:t>
      </w:r>
      <w:r>
        <w:rPr>
          <w:rFonts w:ascii="Arial"/>
          <w:i/>
          <w:sz w:val="20"/>
        </w:rPr>
        <w:t>2</w:t>
      </w:r>
      <w:r>
        <w:rPr>
          <w:rFonts w:ascii="Arial"/>
          <w:i/>
          <w:spacing w:val="-3"/>
          <w:sz w:val="20"/>
        </w:rPr>
        <w:t> </w:t>
      </w:r>
      <w:r>
        <w:rPr>
          <w:rFonts w:ascii="Arial"/>
          <w:i/>
          <w:sz w:val="20"/>
        </w:rPr>
        <w:t>K.B.</w:t>
      </w:r>
      <w:r>
        <w:rPr>
          <w:rFonts w:ascii="Arial"/>
          <w:i/>
          <w:spacing w:val="-3"/>
          <w:sz w:val="20"/>
        </w:rPr>
        <w:t> </w:t>
      </w:r>
      <w:r>
        <w:rPr>
          <w:rFonts w:ascii="Arial"/>
          <w:i/>
          <w:sz w:val="20"/>
        </w:rPr>
        <w:t>364</w:t>
      </w:r>
      <w:r>
        <w:rPr>
          <w:sz w:val="20"/>
        </w:rPr>
        <w:t>.</w:t>
      </w:r>
      <w:r>
        <w:rPr>
          <w:spacing w:val="-3"/>
          <w:sz w:val="20"/>
        </w:rPr>
        <w:t> </w:t>
      </w:r>
      <w:r>
        <w:rPr>
          <w:sz w:val="20"/>
        </w:rPr>
        <w:t>But</w:t>
      </w:r>
      <w:r>
        <w:rPr>
          <w:spacing w:val="-3"/>
          <w:sz w:val="20"/>
        </w:rPr>
        <w:t> </w:t>
      </w:r>
      <w:r>
        <w:rPr>
          <w:sz w:val="20"/>
        </w:rPr>
        <w:t>cf.</w:t>
      </w:r>
      <w:r>
        <w:rPr>
          <w:spacing w:val="-3"/>
          <w:sz w:val="20"/>
        </w:rPr>
        <w:t> </w:t>
      </w:r>
      <w:r>
        <w:rPr>
          <w:rFonts w:ascii="Arial"/>
          <w:i/>
          <w:sz w:val="20"/>
        </w:rPr>
        <w:t>Associated</w:t>
      </w:r>
      <w:r>
        <w:rPr>
          <w:rFonts w:ascii="Arial"/>
          <w:i/>
          <w:spacing w:val="-3"/>
          <w:sz w:val="20"/>
        </w:rPr>
        <w:t> </w:t>
      </w:r>
      <w:r>
        <w:rPr>
          <w:rFonts w:ascii="Arial"/>
          <w:i/>
          <w:sz w:val="20"/>
        </w:rPr>
        <w:t>Oil</w:t>
      </w:r>
      <w:r>
        <w:rPr>
          <w:rFonts w:ascii="Arial"/>
          <w:i/>
          <w:spacing w:val="-3"/>
          <w:sz w:val="20"/>
        </w:rPr>
        <w:t> </w:t>
      </w:r>
      <w:r>
        <w:rPr>
          <w:rFonts w:ascii="Arial"/>
          <w:i/>
          <w:sz w:val="20"/>
        </w:rPr>
        <w:t>Carriers</w:t>
      </w:r>
      <w:r>
        <w:rPr>
          <w:rFonts w:ascii="Arial"/>
          <w:i/>
          <w:spacing w:val="-3"/>
          <w:sz w:val="20"/>
        </w:rPr>
        <w:t> </w:t>
      </w:r>
      <w:r>
        <w:rPr>
          <w:rFonts w:ascii="Arial"/>
          <w:i/>
          <w:sz w:val="20"/>
        </w:rPr>
        <w:t>Ltd</w:t>
      </w:r>
      <w:r>
        <w:rPr>
          <w:rFonts w:ascii="Arial"/>
          <w:i/>
          <w:spacing w:val="-3"/>
          <w:sz w:val="20"/>
        </w:rPr>
        <w:t> </w:t>
      </w:r>
      <w:r>
        <w:rPr>
          <w:rFonts w:ascii="Arial"/>
          <w:i/>
          <w:sz w:val="20"/>
        </w:rPr>
        <w:t>v</w:t>
      </w:r>
      <w:r>
        <w:rPr>
          <w:rFonts w:ascii="Arial"/>
          <w:i/>
          <w:spacing w:val="-3"/>
          <w:sz w:val="20"/>
        </w:rPr>
        <w:t> </w:t>
      </w:r>
      <w:r>
        <w:rPr>
          <w:rFonts w:ascii="Arial"/>
          <w:i/>
          <w:sz w:val="20"/>
        </w:rPr>
        <w:t>Union</w:t>
      </w:r>
      <w:r>
        <w:rPr>
          <w:rFonts w:ascii="Arial"/>
          <w:i/>
          <w:spacing w:val="-3"/>
          <w:sz w:val="20"/>
        </w:rPr>
        <w:t> </w:t>
      </w:r>
      <w:r>
        <w:rPr>
          <w:rFonts w:ascii="Arial"/>
          <w:i/>
          <w:sz w:val="20"/>
        </w:rPr>
        <w:t>Insurance</w:t>
      </w:r>
      <w:r>
        <w:rPr>
          <w:rFonts w:ascii="Arial"/>
          <w:i/>
          <w:spacing w:val="-3"/>
          <w:sz w:val="20"/>
        </w:rPr>
        <w:t> </w:t>
      </w:r>
      <w:r>
        <w:rPr>
          <w:rFonts w:ascii="Arial"/>
          <w:i/>
          <w:sz w:val="20"/>
        </w:rPr>
        <w:t>Society [1917] 2 K.B. 184</w:t>
      </w:r>
      <w:r>
        <w:rPr>
          <w:sz w:val="20"/>
        </w:rPr>
        <w:t>.</w:t>
      </w:r>
    </w:p>
    <w:p>
      <w:pPr>
        <w:pStyle w:val="BodyText"/>
        <w:spacing w:before="9"/>
      </w:pPr>
    </w:p>
    <w:p>
      <w:pPr>
        <w:spacing w:line="235" w:lineRule="auto" w:before="0"/>
        <w:ind w:left="705" w:right="167" w:hanging="541"/>
        <w:jc w:val="both"/>
        <w:rPr>
          <w:sz w:val="20"/>
        </w:rPr>
      </w:pPr>
      <w:bookmarkStart w:name="_bookmark1463" w:id="1465"/>
      <w:bookmarkEnd w:id="1465"/>
      <w:r>
        <w:rPr/>
      </w:r>
      <w:hyperlink w:history="true" w:anchor="_bookmark1411">
        <w:r>
          <w:rPr>
            <w:color w:val="005DA1"/>
            <w:position w:val="5"/>
            <w:sz w:val="14"/>
            <w:u w:val="single" w:color="005DA1"/>
          </w:rPr>
          <w:t>760</w:t>
        </w:r>
      </w:hyperlink>
      <w:r>
        <w:rPr>
          <w:position w:val="5"/>
          <w:sz w:val="14"/>
        </w:rPr>
        <w:t>.</w:t>
      </w:r>
      <w:r>
        <w:rPr>
          <w:spacing w:val="80"/>
          <w:w w:val="150"/>
          <w:position w:val="5"/>
          <w:sz w:val="14"/>
        </w:rPr>
        <w:t> </w:t>
      </w:r>
      <w:r>
        <w:rPr>
          <w:rFonts w:ascii="Arial" w:hAnsi="Arial"/>
          <w:i/>
          <w:sz w:val="20"/>
        </w:rPr>
        <w:t>Woolcott v Sun Alliance &amp; London Insurance Ltd [1978] 1 W.L.R. 493</w:t>
      </w:r>
      <w:r>
        <w:rPr>
          <w:sz w:val="20"/>
        </w:rPr>
        <w:t>; contrast </w:t>
      </w:r>
      <w:r>
        <w:rPr>
          <w:rFonts w:ascii="Arial" w:hAnsi="Arial"/>
          <w:i/>
          <w:sz w:val="20"/>
        </w:rPr>
        <w:t>Reynolds and Anderson v Phoenix Assurance Co Ltd [1978] 2 Lloyd’s Rep. 440 </w:t>
      </w:r>
      <w:r>
        <w:rPr>
          <w:sz w:val="20"/>
        </w:rPr>
        <w:t>(mere allegation of fraud</w:t>
      </w:r>
      <w:r>
        <w:rPr>
          <w:spacing w:val="40"/>
          <w:sz w:val="20"/>
        </w:rPr>
        <w:t> </w:t>
      </w:r>
      <w:r>
        <w:rPr>
          <w:sz w:val="20"/>
        </w:rPr>
        <w:t>need not be disclosed). Note the effect of the Rehabilitation of Offenders Act 1974 on cases </w:t>
      </w:r>
      <w:r>
        <w:rPr>
          <w:sz w:val="20"/>
        </w:rPr>
        <w:t>of this kind, see s.4(2) and (3).</w:t>
      </w:r>
    </w:p>
    <w:p>
      <w:pPr>
        <w:pStyle w:val="BodyText"/>
        <w:spacing w:before="5"/>
      </w:pPr>
    </w:p>
    <w:p>
      <w:pPr>
        <w:tabs>
          <w:tab w:pos="705" w:val="left" w:leader="none"/>
        </w:tabs>
        <w:spacing w:before="0"/>
        <w:ind w:left="165" w:right="0" w:firstLine="0"/>
        <w:jc w:val="left"/>
        <w:rPr>
          <w:sz w:val="20"/>
        </w:rPr>
      </w:pPr>
      <w:bookmarkStart w:name="_bookmark1464" w:id="1466"/>
      <w:bookmarkEnd w:id="1466"/>
      <w:r>
        <w:rPr/>
      </w:r>
      <w:hyperlink w:history="true" w:anchor="_bookmark1412">
        <w:r>
          <w:rPr>
            <w:color w:val="005DA1"/>
            <w:spacing w:val="-4"/>
            <w:position w:val="5"/>
            <w:sz w:val="14"/>
            <w:u w:val="single" w:color="005DA1"/>
          </w:rPr>
          <w:t>761</w:t>
        </w:r>
      </w:hyperlink>
      <w:r>
        <w:rPr>
          <w:spacing w:val="-4"/>
          <w:position w:val="5"/>
          <w:sz w:val="14"/>
        </w:rPr>
        <w:t>.</w:t>
      </w:r>
      <w:r>
        <w:rPr>
          <w:position w:val="5"/>
          <w:sz w:val="14"/>
        </w:rPr>
        <w:tab/>
      </w:r>
      <w:r>
        <w:rPr>
          <w:rFonts w:ascii="Arial"/>
          <w:i/>
          <w:sz w:val="20"/>
        </w:rPr>
        <w:t>Farra v Hetherington (1931) 47 T.L.R. </w:t>
      </w:r>
      <w:r>
        <w:rPr>
          <w:rFonts w:ascii="Arial"/>
          <w:i/>
          <w:spacing w:val="-4"/>
          <w:sz w:val="20"/>
        </w:rPr>
        <w:t>465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465" w:id="1467"/>
      <w:bookmarkEnd w:id="1467"/>
      <w:r>
        <w:rPr/>
      </w:r>
      <w:hyperlink w:history="true" w:anchor="_bookmark1412">
        <w:r>
          <w:rPr>
            <w:color w:val="005DA1"/>
            <w:spacing w:val="-4"/>
            <w:position w:val="5"/>
            <w:sz w:val="14"/>
            <w:u w:val="single" w:color="005DA1"/>
          </w:rPr>
          <w:t>762</w:t>
        </w:r>
      </w:hyperlink>
      <w:r>
        <w:rPr>
          <w:spacing w:val="-4"/>
          <w:position w:val="5"/>
          <w:sz w:val="14"/>
        </w:rPr>
        <w:t>.</w:t>
      </w:r>
      <w:r>
        <w:rPr>
          <w:position w:val="5"/>
          <w:sz w:val="14"/>
        </w:rPr>
        <w:tab/>
      </w:r>
      <w:r>
        <w:rPr>
          <w:rFonts w:ascii="Arial"/>
          <w:i/>
          <w:sz w:val="20"/>
        </w:rPr>
        <w:t>Perrins v Marine Insurance Society (1859) 2 E. &amp; E. </w:t>
      </w:r>
      <w:r>
        <w:rPr>
          <w:rFonts w:ascii="Arial"/>
          <w:i/>
          <w:spacing w:val="-4"/>
          <w:sz w:val="20"/>
        </w:rPr>
        <w:t>317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466" w:id="1468"/>
      <w:bookmarkEnd w:id="1468"/>
      <w:r>
        <w:rPr/>
      </w:r>
      <w:hyperlink w:history="true" w:anchor="_bookmark1413">
        <w:r>
          <w:rPr>
            <w:color w:val="005DA1"/>
            <w:spacing w:val="-4"/>
            <w:position w:val="5"/>
            <w:sz w:val="14"/>
            <w:u w:val="single" w:color="005DA1"/>
          </w:rPr>
          <w:t>763</w:t>
        </w:r>
      </w:hyperlink>
      <w:r>
        <w:rPr>
          <w:spacing w:val="-4"/>
          <w:position w:val="5"/>
          <w:sz w:val="14"/>
        </w:rPr>
        <w:t>.</w:t>
      </w:r>
      <w:r>
        <w:rPr>
          <w:position w:val="5"/>
          <w:sz w:val="14"/>
        </w:rPr>
        <w:tab/>
      </w:r>
      <w:r>
        <w:rPr>
          <w:rFonts w:ascii="Arial"/>
          <w:i/>
          <w:sz w:val="20"/>
        </w:rPr>
        <w:t>Dawsons Ltd v Bonnin [1922] 2 A.C. </w:t>
      </w:r>
      <w:r>
        <w:rPr>
          <w:rFonts w:ascii="Arial"/>
          <w:i/>
          <w:spacing w:val="-4"/>
          <w:sz w:val="20"/>
        </w:rPr>
        <w:t>413</w:t>
      </w:r>
      <w:r>
        <w:rPr>
          <w:spacing w:val="-4"/>
          <w:sz w:val="20"/>
        </w:rPr>
        <w:t>.</w:t>
      </w:r>
    </w:p>
    <w:p>
      <w:pPr>
        <w:pStyle w:val="BodyText"/>
        <w:spacing w:before="5"/>
      </w:pPr>
    </w:p>
    <w:p>
      <w:pPr>
        <w:spacing w:line="227" w:lineRule="exact" w:before="0"/>
        <w:ind w:left="165" w:right="0" w:firstLine="0"/>
        <w:jc w:val="both"/>
        <w:rPr>
          <w:rFonts w:ascii="Arial"/>
          <w:i/>
          <w:sz w:val="20"/>
        </w:rPr>
      </w:pPr>
      <w:bookmarkStart w:name="_bookmark1467" w:id="1469"/>
      <w:bookmarkEnd w:id="1469"/>
      <w:r>
        <w:rPr/>
      </w:r>
      <w:hyperlink w:history="true" w:anchor="_bookmark1414">
        <w:r>
          <w:rPr>
            <w:color w:val="005DA1"/>
            <w:position w:val="5"/>
            <w:sz w:val="14"/>
            <w:u w:val="single" w:color="005DA1"/>
          </w:rPr>
          <w:t>764</w:t>
        </w:r>
      </w:hyperlink>
      <w:r>
        <w:rPr>
          <w:position w:val="5"/>
          <w:sz w:val="14"/>
        </w:rPr>
        <w:t>.</w:t>
      </w:r>
      <w:r>
        <w:rPr>
          <w:spacing w:val="75"/>
          <w:w w:val="150"/>
          <w:position w:val="5"/>
          <w:sz w:val="14"/>
        </w:rPr>
        <w:t>  </w:t>
      </w:r>
      <w:r>
        <w:rPr>
          <w:rFonts w:ascii="Arial"/>
          <w:i/>
          <w:sz w:val="20"/>
        </w:rPr>
        <w:t>London</w:t>
      </w:r>
      <w:r>
        <w:rPr>
          <w:rFonts w:ascii="Arial"/>
          <w:i/>
          <w:spacing w:val="6"/>
          <w:sz w:val="20"/>
        </w:rPr>
        <w:t> </w:t>
      </w:r>
      <w:r>
        <w:rPr>
          <w:rFonts w:ascii="Arial"/>
          <w:i/>
          <w:sz w:val="20"/>
        </w:rPr>
        <w:t>Assurance</w:t>
      </w:r>
      <w:r>
        <w:rPr>
          <w:rFonts w:ascii="Arial"/>
          <w:i/>
          <w:spacing w:val="6"/>
          <w:sz w:val="20"/>
        </w:rPr>
        <w:t> </w:t>
      </w:r>
      <w:r>
        <w:rPr>
          <w:rFonts w:ascii="Arial"/>
          <w:i/>
          <w:sz w:val="20"/>
        </w:rPr>
        <w:t>Co</w:t>
      </w:r>
      <w:r>
        <w:rPr>
          <w:rFonts w:ascii="Arial"/>
          <w:i/>
          <w:spacing w:val="6"/>
          <w:sz w:val="20"/>
        </w:rPr>
        <w:t> </w:t>
      </w:r>
      <w:r>
        <w:rPr>
          <w:rFonts w:ascii="Arial"/>
          <w:i/>
          <w:sz w:val="20"/>
        </w:rPr>
        <w:t>v</w:t>
      </w:r>
      <w:r>
        <w:rPr>
          <w:rFonts w:ascii="Arial"/>
          <w:i/>
          <w:spacing w:val="6"/>
          <w:sz w:val="20"/>
        </w:rPr>
        <w:t> </w:t>
      </w:r>
      <w:r>
        <w:rPr>
          <w:rFonts w:ascii="Arial"/>
          <w:i/>
          <w:sz w:val="20"/>
        </w:rPr>
        <w:t>Mansel</w:t>
      </w:r>
      <w:r>
        <w:rPr>
          <w:rFonts w:ascii="Arial"/>
          <w:i/>
          <w:spacing w:val="6"/>
          <w:sz w:val="20"/>
        </w:rPr>
        <w:t> </w:t>
      </w:r>
      <w:r>
        <w:rPr>
          <w:rFonts w:ascii="Arial"/>
          <w:i/>
          <w:sz w:val="20"/>
        </w:rPr>
        <w:t>(1879)</w:t>
      </w:r>
      <w:r>
        <w:rPr>
          <w:rFonts w:ascii="Arial"/>
          <w:i/>
          <w:spacing w:val="6"/>
          <w:sz w:val="20"/>
        </w:rPr>
        <w:t> </w:t>
      </w:r>
      <w:r>
        <w:rPr>
          <w:rFonts w:ascii="Arial"/>
          <w:i/>
          <w:sz w:val="20"/>
        </w:rPr>
        <w:t>11</w:t>
      </w:r>
      <w:r>
        <w:rPr>
          <w:rFonts w:ascii="Arial"/>
          <w:i/>
          <w:spacing w:val="6"/>
          <w:sz w:val="20"/>
        </w:rPr>
        <w:t> </w:t>
      </w:r>
      <w:r>
        <w:rPr>
          <w:rFonts w:ascii="Arial"/>
          <w:i/>
          <w:sz w:val="20"/>
        </w:rPr>
        <w:t>Ch.</w:t>
      </w:r>
      <w:r>
        <w:rPr>
          <w:rFonts w:ascii="Arial"/>
          <w:i/>
          <w:spacing w:val="5"/>
          <w:sz w:val="20"/>
        </w:rPr>
        <w:t> </w:t>
      </w:r>
      <w:r>
        <w:rPr>
          <w:rFonts w:ascii="Arial"/>
          <w:i/>
          <w:sz w:val="20"/>
        </w:rPr>
        <w:t>D.</w:t>
      </w:r>
      <w:r>
        <w:rPr>
          <w:rFonts w:ascii="Arial"/>
          <w:i/>
          <w:spacing w:val="6"/>
          <w:sz w:val="20"/>
        </w:rPr>
        <w:t> </w:t>
      </w:r>
      <w:r>
        <w:rPr>
          <w:rFonts w:ascii="Arial"/>
          <w:i/>
          <w:sz w:val="20"/>
        </w:rPr>
        <w:t>363</w:t>
      </w:r>
      <w:r>
        <w:rPr>
          <w:sz w:val="20"/>
        </w:rPr>
        <w:t>;</w:t>
      </w:r>
      <w:r>
        <w:rPr>
          <w:spacing w:val="6"/>
          <w:sz w:val="20"/>
        </w:rPr>
        <w:t> </w:t>
      </w:r>
      <w:r>
        <w:rPr>
          <w:rFonts w:ascii="Arial"/>
          <w:i/>
          <w:sz w:val="20"/>
        </w:rPr>
        <w:t>Yager</w:t>
      </w:r>
      <w:r>
        <w:rPr>
          <w:rFonts w:ascii="Arial"/>
          <w:i/>
          <w:spacing w:val="6"/>
          <w:sz w:val="20"/>
        </w:rPr>
        <w:t> </w:t>
      </w:r>
      <w:r>
        <w:rPr>
          <w:rFonts w:ascii="Arial"/>
          <w:i/>
          <w:sz w:val="20"/>
        </w:rPr>
        <w:t>v</w:t>
      </w:r>
      <w:r>
        <w:rPr>
          <w:rFonts w:ascii="Arial"/>
          <w:i/>
          <w:spacing w:val="6"/>
          <w:sz w:val="20"/>
        </w:rPr>
        <w:t> </w:t>
      </w:r>
      <w:r>
        <w:rPr>
          <w:rFonts w:ascii="Arial"/>
          <w:i/>
          <w:sz w:val="20"/>
        </w:rPr>
        <w:t>Guardian</w:t>
      </w:r>
      <w:r>
        <w:rPr>
          <w:rFonts w:ascii="Arial"/>
          <w:i/>
          <w:spacing w:val="6"/>
          <w:sz w:val="20"/>
        </w:rPr>
        <w:t> </w:t>
      </w:r>
      <w:r>
        <w:rPr>
          <w:rFonts w:ascii="Arial"/>
          <w:i/>
          <w:sz w:val="20"/>
        </w:rPr>
        <w:t>Assurance</w:t>
      </w:r>
      <w:r>
        <w:rPr>
          <w:rFonts w:ascii="Arial"/>
          <w:i/>
          <w:spacing w:val="6"/>
          <w:sz w:val="20"/>
        </w:rPr>
        <w:t> </w:t>
      </w:r>
      <w:r>
        <w:rPr>
          <w:rFonts w:ascii="Arial"/>
          <w:i/>
          <w:sz w:val="20"/>
        </w:rPr>
        <w:t>Co</w:t>
      </w:r>
      <w:r>
        <w:rPr>
          <w:rFonts w:ascii="Arial"/>
          <w:i/>
          <w:spacing w:val="6"/>
          <w:sz w:val="20"/>
        </w:rPr>
        <w:t> </w:t>
      </w:r>
      <w:r>
        <w:rPr>
          <w:rFonts w:ascii="Arial"/>
          <w:i/>
          <w:spacing w:val="-2"/>
          <w:sz w:val="20"/>
        </w:rPr>
        <w:t>(1912)</w:t>
      </w:r>
    </w:p>
    <w:p>
      <w:pPr>
        <w:spacing w:line="235" w:lineRule="auto" w:before="1"/>
        <w:ind w:left="705" w:right="168" w:firstLine="0"/>
        <w:jc w:val="both"/>
        <w:rPr>
          <w:sz w:val="20"/>
        </w:rPr>
      </w:pPr>
      <w:r>
        <w:rPr>
          <w:rFonts w:ascii="Arial" w:hAnsi="Arial"/>
          <w:i/>
          <w:sz w:val="20"/>
        </w:rPr>
        <w:t>29 T.L.R. 53</w:t>
      </w:r>
      <w:r>
        <w:rPr>
          <w:sz w:val="20"/>
        </w:rPr>
        <w:t>; </w:t>
      </w:r>
      <w:r>
        <w:rPr>
          <w:rFonts w:ascii="Arial" w:hAnsi="Arial"/>
          <w:i/>
          <w:sz w:val="20"/>
        </w:rPr>
        <w:t>Glicksman v Lancashire and General Assurance Co [1927] A.C. 139</w:t>
      </w:r>
      <w:r>
        <w:rPr>
          <w:sz w:val="20"/>
        </w:rPr>
        <w:t>; </w:t>
      </w:r>
      <w:r>
        <w:rPr>
          <w:rFonts w:ascii="Arial" w:hAnsi="Arial"/>
          <w:i/>
          <w:sz w:val="20"/>
        </w:rPr>
        <w:t>Holts’ Motors v South East Lancashire Insurance Co (1930) 35 Com. Cas. 281</w:t>
      </w:r>
      <w:r>
        <w:rPr>
          <w:sz w:val="20"/>
        </w:rPr>
        <w:t>; </w:t>
      </w:r>
      <w:r>
        <w:rPr>
          <w:rFonts w:ascii="Arial" w:hAnsi="Arial"/>
          <w:i/>
          <w:sz w:val="20"/>
        </w:rPr>
        <w:t>Locker and Woolf </w:t>
      </w:r>
      <w:r>
        <w:rPr>
          <w:rFonts w:ascii="Arial" w:hAnsi="Arial"/>
          <w:i/>
          <w:sz w:val="20"/>
        </w:rPr>
        <w:t>Ltd v Western Australian Insurance Co [1936] 1 K.B. 408</w:t>
      </w:r>
      <w:r>
        <w:rPr>
          <w:sz w:val="20"/>
        </w:rPr>
        <w:t>.</w:t>
      </w:r>
    </w:p>
    <w:p>
      <w:pPr>
        <w:pStyle w:val="BodyText"/>
        <w:spacing w:before="9"/>
      </w:pPr>
    </w:p>
    <w:p>
      <w:pPr>
        <w:spacing w:line="235" w:lineRule="auto" w:before="0"/>
        <w:ind w:left="705" w:right="168" w:hanging="541"/>
        <w:jc w:val="both"/>
        <w:rPr>
          <w:sz w:val="20"/>
        </w:rPr>
      </w:pPr>
      <w:bookmarkStart w:name="_bookmark1468" w:id="1470"/>
      <w:bookmarkEnd w:id="1470"/>
      <w:r>
        <w:rPr/>
      </w:r>
      <w:hyperlink w:history="true" w:anchor="_bookmark1415">
        <w:r>
          <w:rPr>
            <w:color w:val="005DA1"/>
            <w:position w:val="5"/>
            <w:sz w:val="14"/>
            <w:u w:val="single" w:color="005DA1"/>
          </w:rPr>
          <w:t>765</w:t>
        </w:r>
      </w:hyperlink>
      <w:r>
        <w:rPr>
          <w:position w:val="5"/>
          <w:sz w:val="14"/>
        </w:rPr>
        <w:t>.</w:t>
      </w:r>
      <w:r>
        <w:rPr>
          <w:spacing w:val="80"/>
          <w:position w:val="5"/>
          <w:sz w:val="14"/>
        </w:rPr>
        <w:t>  </w:t>
      </w:r>
      <w:r>
        <w:rPr>
          <w:rFonts w:ascii="Arial" w:hAnsi="Arial"/>
          <w:i/>
          <w:sz w:val="20"/>
        </w:rPr>
        <w:t>Lindenau v Desborough (1828) 8 B. &amp; C. 586, 592</w:t>
      </w:r>
      <w:r>
        <w:rPr>
          <w:sz w:val="20"/>
        </w:rPr>
        <w:t>; </w:t>
      </w:r>
      <w:r>
        <w:rPr>
          <w:rFonts w:ascii="Arial" w:hAnsi="Arial"/>
          <w:i/>
          <w:sz w:val="20"/>
        </w:rPr>
        <w:t>London Assurance Co v Mansel (1879) 11 Ch. D. 363</w:t>
      </w:r>
      <w:r>
        <w:rPr>
          <w:sz w:val="20"/>
        </w:rPr>
        <w:t>; </w:t>
      </w:r>
      <w:r>
        <w:rPr>
          <w:rFonts w:ascii="Arial" w:hAnsi="Arial"/>
          <w:i/>
          <w:sz w:val="20"/>
        </w:rPr>
        <w:t>Joel v Law Union and Crown Insurance Co [1908] 2 K.B. 863, 884</w:t>
      </w:r>
      <w:r>
        <w:rPr>
          <w:sz w:val="20"/>
        </w:rPr>
        <w:t>; </w:t>
      </w:r>
      <w:r>
        <w:rPr>
          <w:rFonts w:ascii="Arial" w:hAnsi="Arial"/>
          <w:i/>
          <w:sz w:val="20"/>
        </w:rPr>
        <w:t>Godfrey </w:t>
      </w:r>
      <w:r>
        <w:rPr>
          <w:rFonts w:ascii="Arial" w:hAnsi="Arial"/>
          <w:i/>
          <w:sz w:val="20"/>
        </w:rPr>
        <w:t>v Britannic Assurance Co Ltd [1963] 2 Lloyd’s Rep. 515</w:t>
      </w:r>
      <w:r>
        <w:rPr>
          <w:sz w:val="20"/>
        </w:rPr>
        <w:t>; </w:t>
      </w:r>
      <w:r>
        <w:rPr>
          <w:rFonts w:ascii="Arial" w:hAnsi="Arial"/>
          <w:i/>
          <w:sz w:val="20"/>
        </w:rPr>
        <w:t>Lambert v Co-operative Insurance Society Ltd [1975] 2 Lloyd’s Rep. 485</w:t>
      </w:r>
      <w:r>
        <w:rPr>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1469" w:id="1471"/>
      <w:bookmarkEnd w:id="1471"/>
      <w:r>
        <w:rPr/>
      </w:r>
      <w:hyperlink w:history="true" w:anchor="_bookmark1416">
        <w:r>
          <w:rPr>
            <w:color w:val="005DA1"/>
            <w:spacing w:val="-4"/>
            <w:position w:val="5"/>
            <w:sz w:val="14"/>
            <w:u w:val="single" w:color="005DA1"/>
          </w:rPr>
          <w:t>766</w:t>
        </w:r>
      </w:hyperlink>
      <w:r>
        <w:rPr>
          <w:spacing w:val="-4"/>
          <w:position w:val="5"/>
          <w:sz w:val="14"/>
        </w:rPr>
        <w:t>.</w:t>
      </w:r>
      <w:r>
        <w:rPr>
          <w:position w:val="5"/>
          <w:sz w:val="14"/>
        </w:rPr>
        <w:tab/>
      </w:r>
      <w:r>
        <w:rPr>
          <w:sz w:val="20"/>
        </w:rPr>
        <w:t>Marine Insurance Act 1906 s.18(1). On the interpretation of this section see </w:t>
      </w:r>
      <w:r>
        <w:rPr>
          <w:rFonts w:ascii="Arial"/>
          <w:i/>
          <w:sz w:val="20"/>
        </w:rPr>
        <w:t>PCW Syndicates </w:t>
      </w:r>
      <w:r>
        <w:rPr>
          <w:rFonts w:ascii="Arial"/>
          <w:i/>
          <w:sz w:val="20"/>
        </w:rPr>
        <w:t>v PCW Reinsurers [1996] 1 W.L.R. 1136</w:t>
      </w:r>
      <w:r>
        <w:rPr>
          <w:sz w:val="20"/>
        </w:rPr>
        <w:t>.</w:t>
      </w:r>
    </w:p>
    <w:p>
      <w:pPr>
        <w:pStyle w:val="BodyText"/>
        <w:spacing w:before="9"/>
      </w:pPr>
    </w:p>
    <w:p>
      <w:pPr>
        <w:spacing w:line="235" w:lineRule="auto" w:before="0"/>
        <w:ind w:left="705" w:right="167" w:hanging="541"/>
        <w:jc w:val="both"/>
        <w:rPr>
          <w:sz w:val="20"/>
        </w:rPr>
      </w:pPr>
      <w:bookmarkStart w:name="_bookmark1470" w:id="1472"/>
      <w:bookmarkEnd w:id="1472"/>
      <w:r>
        <w:rPr/>
      </w:r>
      <w:hyperlink w:history="true" w:anchor="_bookmark1417">
        <w:r>
          <w:rPr>
            <w:color w:val="005DA1"/>
            <w:position w:val="5"/>
            <w:sz w:val="14"/>
            <w:u w:val="single" w:color="005DA1"/>
          </w:rPr>
          <w:t>767</w:t>
        </w:r>
      </w:hyperlink>
      <w:r>
        <w:rPr>
          <w:position w:val="5"/>
          <w:sz w:val="14"/>
        </w:rPr>
        <w:t>.</w:t>
      </w:r>
      <w:r>
        <w:rPr>
          <w:spacing w:val="40"/>
          <w:position w:val="5"/>
          <w:sz w:val="14"/>
        </w:rPr>
        <w:t>  </w:t>
      </w:r>
      <w:r>
        <w:rPr>
          <w:rFonts w:ascii="Arial" w:hAnsi="Arial"/>
          <w:i/>
          <w:sz w:val="20"/>
        </w:rPr>
        <w:t>Blackburn, Low &amp; Co v Vigors (1887) 12 App. Cas. 531 </w:t>
      </w:r>
      <w:r>
        <w:rPr>
          <w:sz w:val="20"/>
        </w:rPr>
        <w:t>(a marine insurance case before </w:t>
      </w:r>
      <w:r>
        <w:rPr>
          <w:sz w:val="20"/>
        </w:rPr>
        <w:t>the Marine Insurance Act 1906); </w:t>
      </w:r>
      <w:r>
        <w:rPr>
          <w:rFonts w:ascii="Arial" w:hAnsi="Arial"/>
          <w:i/>
          <w:sz w:val="20"/>
        </w:rPr>
        <w:t>Joel v Law Union and Crown Insurance Co [1908] 2 K.B. 863, 884–885</w:t>
      </w:r>
      <w:r>
        <w:rPr>
          <w:sz w:val="20"/>
        </w:rPr>
        <w:t>. In the </w:t>
      </w:r>
      <w:r>
        <w:rPr>
          <w:rFonts w:ascii="Arial" w:hAnsi="Arial"/>
          <w:i/>
          <w:sz w:val="20"/>
        </w:rPr>
        <w:t>Economides v Commercial Union Assurance Co Plc [1998] Q.B. 587 </w:t>
      </w:r>
      <w:r>
        <w:rPr>
          <w:sz w:val="20"/>
        </w:rPr>
        <w:t>it was</w:t>
      </w:r>
      <w:r>
        <w:rPr>
          <w:spacing w:val="40"/>
          <w:sz w:val="20"/>
        </w:rPr>
        <w:t> </w:t>
      </w:r>
      <w:r>
        <w:rPr>
          <w:sz w:val="20"/>
        </w:rPr>
        <w:t>held that an insured who is not acting in the course of business has only to disclose material facts actually known to him; provided that he did not wilfully shut his eyes to the truth (so-called “Nelsonian blindness”), he is not under a duty to inquire further, for example by checking that</w:t>
      </w:r>
      <w:r>
        <w:rPr>
          <w:spacing w:val="40"/>
          <w:sz w:val="20"/>
        </w:rPr>
        <w:t> </w:t>
      </w:r>
      <w:r>
        <w:rPr>
          <w:sz w:val="20"/>
        </w:rPr>
        <w:t>his honest belief in the value of the property is in fact accurate. But see Vol.II, para.42-038.</w:t>
      </w:r>
    </w:p>
    <w:p>
      <w:pPr>
        <w:pStyle w:val="BodyText"/>
        <w:spacing w:before="7"/>
      </w:pPr>
    </w:p>
    <w:p>
      <w:pPr>
        <w:tabs>
          <w:tab w:pos="705" w:val="left" w:leader="none"/>
        </w:tabs>
        <w:spacing w:line="235" w:lineRule="auto" w:before="0"/>
        <w:ind w:left="705" w:right="168" w:hanging="541"/>
        <w:jc w:val="left"/>
        <w:rPr>
          <w:sz w:val="20"/>
        </w:rPr>
      </w:pPr>
      <w:bookmarkStart w:name="_bookmark1471" w:id="1473"/>
      <w:bookmarkEnd w:id="1473"/>
      <w:r>
        <w:rPr/>
      </w:r>
      <w:hyperlink w:history="true" w:anchor="_bookmark1418">
        <w:r>
          <w:rPr>
            <w:color w:val="005DA1"/>
            <w:spacing w:val="-4"/>
            <w:position w:val="5"/>
            <w:sz w:val="14"/>
            <w:u w:val="single" w:color="005DA1"/>
          </w:rPr>
          <w:t>768</w:t>
        </w:r>
      </w:hyperlink>
      <w:r>
        <w:rPr>
          <w:spacing w:val="-4"/>
          <w:position w:val="5"/>
          <w:sz w:val="14"/>
        </w:rPr>
        <w:t>.</w:t>
      </w:r>
      <w:r>
        <w:rPr>
          <w:position w:val="5"/>
          <w:sz w:val="14"/>
        </w:rPr>
        <w:tab/>
      </w:r>
      <w:r>
        <w:rPr>
          <w:rFonts w:ascii="Arial"/>
          <w:i/>
          <w:sz w:val="20"/>
        </w:rPr>
        <w:t>Wheelton</w:t>
      </w:r>
      <w:r>
        <w:rPr>
          <w:rFonts w:ascii="Arial"/>
          <w:i/>
          <w:spacing w:val="34"/>
          <w:sz w:val="20"/>
        </w:rPr>
        <w:t> </w:t>
      </w:r>
      <w:r>
        <w:rPr>
          <w:rFonts w:ascii="Arial"/>
          <w:i/>
          <w:sz w:val="20"/>
        </w:rPr>
        <w:t>v</w:t>
      </w:r>
      <w:r>
        <w:rPr>
          <w:rFonts w:ascii="Arial"/>
          <w:i/>
          <w:spacing w:val="34"/>
          <w:sz w:val="20"/>
        </w:rPr>
        <w:t> </w:t>
      </w:r>
      <w:r>
        <w:rPr>
          <w:rFonts w:ascii="Arial"/>
          <w:i/>
          <w:sz w:val="20"/>
        </w:rPr>
        <w:t>Hardisty</w:t>
      </w:r>
      <w:r>
        <w:rPr>
          <w:rFonts w:ascii="Arial"/>
          <w:i/>
          <w:spacing w:val="34"/>
          <w:sz w:val="20"/>
        </w:rPr>
        <w:t> </w:t>
      </w:r>
      <w:r>
        <w:rPr>
          <w:rFonts w:ascii="Arial"/>
          <w:i/>
          <w:sz w:val="20"/>
        </w:rPr>
        <w:t>(1857)</w:t>
      </w:r>
      <w:r>
        <w:rPr>
          <w:rFonts w:ascii="Arial"/>
          <w:i/>
          <w:spacing w:val="34"/>
          <w:sz w:val="20"/>
        </w:rPr>
        <w:t> </w:t>
      </w:r>
      <w:r>
        <w:rPr>
          <w:rFonts w:ascii="Arial"/>
          <w:i/>
          <w:sz w:val="20"/>
        </w:rPr>
        <w:t>8</w:t>
      </w:r>
      <w:r>
        <w:rPr>
          <w:rFonts w:ascii="Arial"/>
          <w:i/>
          <w:spacing w:val="34"/>
          <w:sz w:val="20"/>
        </w:rPr>
        <w:t> </w:t>
      </w:r>
      <w:r>
        <w:rPr>
          <w:rFonts w:ascii="Arial"/>
          <w:i/>
          <w:sz w:val="20"/>
        </w:rPr>
        <w:t>E.</w:t>
      </w:r>
      <w:r>
        <w:rPr>
          <w:rFonts w:ascii="Arial"/>
          <w:i/>
          <w:spacing w:val="34"/>
          <w:sz w:val="20"/>
        </w:rPr>
        <w:t> </w:t>
      </w:r>
      <w:r>
        <w:rPr>
          <w:rFonts w:ascii="Arial"/>
          <w:i/>
          <w:sz w:val="20"/>
        </w:rPr>
        <w:t>&amp;</w:t>
      </w:r>
      <w:r>
        <w:rPr>
          <w:rFonts w:ascii="Arial"/>
          <w:i/>
          <w:spacing w:val="34"/>
          <w:sz w:val="20"/>
        </w:rPr>
        <w:t> </w:t>
      </w:r>
      <w:r>
        <w:rPr>
          <w:rFonts w:ascii="Arial"/>
          <w:i/>
          <w:sz w:val="20"/>
        </w:rPr>
        <w:t>B.</w:t>
      </w:r>
      <w:r>
        <w:rPr>
          <w:rFonts w:ascii="Arial"/>
          <w:i/>
          <w:spacing w:val="34"/>
          <w:sz w:val="20"/>
        </w:rPr>
        <w:t> </w:t>
      </w:r>
      <w:r>
        <w:rPr>
          <w:rFonts w:ascii="Arial"/>
          <w:i/>
          <w:sz w:val="20"/>
        </w:rPr>
        <w:t>232</w:t>
      </w:r>
      <w:r>
        <w:rPr>
          <w:sz w:val="20"/>
        </w:rPr>
        <w:t>.</w:t>
      </w:r>
      <w:r>
        <w:rPr>
          <w:spacing w:val="34"/>
          <w:sz w:val="20"/>
        </w:rPr>
        <w:t> </w:t>
      </w:r>
      <w:r>
        <w:rPr>
          <w:sz w:val="20"/>
        </w:rPr>
        <w:t>But</w:t>
      </w:r>
      <w:r>
        <w:rPr>
          <w:spacing w:val="34"/>
          <w:sz w:val="20"/>
        </w:rPr>
        <w:t> </w:t>
      </w:r>
      <w:r>
        <w:rPr>
          <w:sz w:val="20"/>
        </w:rPr>
        <w:t>see</w:t>
      </w:r>
      <w:r>
        <w:rPr>
          <w:spacing w:val="34"/>
          <w:sz w:val="20"/>
        </w:rPr>
        <w:t> </w:t>
      </w:r>
      <w:r>
        <w:rPr>
          <w:rFonts w:ascii="Arial"/>
          <w:i/>
          <w:sz w:val="20"/>
        </w:rPr>
        <w:t>Macdonald</w:t>
      </w:r>
      <w:r>
        <w:rPr>
          <w:rFonts w:ascii="Arial"/>
          <w:i/>
          <w:spacing w:val="34"/>
          <w:sz w:val="20"/>
        </w:rPr>
        <w:t> </w:t>
      </w:r>
      <w:r>
        <w:rPr>
          <w:rFonts w:ascii="Arial"/>
          <w:i/>
          <w:sz w:val="20"/>
        </w:rPr>
        <w:t>v</w:t>
      </w:r>
      <w:r>
        <w:rPr>
          <w:rFonts w:ascii="Arial"/>
          <w:i/>
          <w:spacing w:val="34"/>
          <w:sz w:val="20"/>
        </w:rPr>
        <w:t> </w:t>
      </w:r>
      <w:r>
        <w:rPr>
          <w:rFonts w:ascii="Arial"/>
          <w:i/>
          <w:sz w:val="20"/>
        </w:rPr>
        <w:t>Law</w:t>
      </w:r>
      <w:r>
        <w:rPr>
          <w:rFonts w:ascii="Arial"/>
          <w:i/>
          <w:spacing w:val="34"/>
          <w:sz w:val="20"/>
        </w:rPr>
        <w:t> </w:t>
      </w:r>
      <w:r>
        <w:rPr>
          <w:rFonts w:ascii="Arial"/>
          <w:i/>
          <w:sz w:val="20"/>
        </w:rPr>
        <w:t>Union</w:t>
      </w:r>
      <w:r>
        <w:rPr>
          <w:rFonts w:ascii="Arial"/>
          <w:i/>
          <w:spacing w:val="34"/>
          <w:sz w:val="20"/>
        </w:rPr>
        <w:t> </w:t>
      </w:r>
      <w:r>
        <w:rPr>
          <w:rFonts w:ascii="Arial"/>
          <w:i/>
          <w:sz w:val="20"/>
        </w:rPr>
        <w:t>Insurance</w:t>
      </w:r>
      <w:r>
        <w:rPr>
          <w:rFonts w:ascii="Arial"/>
          <w:i/>
          <w:spacing w:val="34"/>
          <w:sz w:val="20"/>
        </w:rPr>
        <w:t> </w:t>
      </w:r>
      <w:r>
        <w:rPr>
          <w:rFonts w:ascii="Arial"/>
          <w:i/>
          <w:sz w:val="20"/>
        </w:rPr>
        <w:t>Co (1874) L.R. 9 Q.B. 328</w:t>
      </w:r>
      <w:r>
        <w:rPr>
          <w:sz w:val="20"/>
        </w:rPr>
        <w:t>.</w:t>
      </w:r>
    </w:p>
    <w:p>
      <w:pPr>
        <w:pStyle w:val="BodyText"/>
        <w:spacing w:before="5"/>
      </w:pPr>
    </w:p>
    <w:p>
      <w:pPr>
        <w:tabs>
          <w:tab w:pos="705" w:val="left" w:leader="none"/>
        </w:tabs>
        <w:spacing w:before="1"/>
        <w:ind w:left="165" w:right="0" w:firstLine="0"/>
        <w:jc w:val="left"/>
        <w:rPr>
          <w:sz w:val="20"/>
        </w:rPr>
      </w:pPr>
      <w:bookmarkStart w:name="_bookmark1472" w:id="1474"/>
      <w:bookmarkEnd w:id="1474"/>
      <w:r>
        <w:rPr/>
      </w:r>
      <w:hyperlink w:history="true" w:anchor="_bookmark1419">
        <w:r>
          <w:rPr>
            <w:color w:val="005DA1"/>
            <w:spacing w:val="-4"/>
            <w:position w:val="5"/>
            <w:sz w:val="14"/>
            <w:u w:val="single" w:color="005DA1"/>
          </w:rPr>
          <w:t>769</w:t>
        </w:r>
      </w:hyperlink>
      <w:r>
        <w:rPr>
          <w:spacing w:val="-4"/>
          <w:position w:val="5"/>
          <w:sz w:val="14"/>
        </w:rPr>
        <w:t>.</w:t>
      </w:r>
      <w:r>
        <w:rPr>
          <w:position w:val="5"/>
          <w:sz w:val="14"/>
        </w:rPr>
        <w:tab/>
      </w:r>
      <w:r>
        <w:rPr>
          <w:rFonts w:ascii="Arial" w:hAnsi="Arial"/>
          <w:i/>
          <w:sz w:val="20"/>
        </w:rPr>
        <w:t>Lambert v Co-operative Insurance Society Ltd [1975] 2 Lloyd’s Rep. </w:t>
      </w:r>
      <w:r>
        <w:rPr>
          <w:rFonts w:ascii="Arial" w:hAnsi="Arial"/>
          <w:i/>
          <w:spacing w:val="-4"/>
          <w:sz w:val="20"/>
        </w:rPr>
        <w:t>485</w:t>
      </w:r>
      <w:r>
        <w:rPr>
          <w:spacing w:val="-4"/>
          <w:sz w:val="20"/>
        </w:rPr>
        <w:t>.</w:t>
      </w:r>
    </w:p>
    <w:p>
      <w:pPr>
        <w:pStyle w:val="BodyText"/>
        <w:spacing w:before="4"/>
      </w:pPr>
    </w:p>
    <w:p>
      <w:pPr>
        <w:pStyle w:val="BodyText"/>
        <w:tabs>
          <w:tab w:pos="705" w:val="left" w:leader="none"/>
        </w:tabs>
        <w:spacing w:before="1"/>
        <w:ind w:left="165"/>
      </w:pPr>
      <w:bookmarkStart w:name="_bookmark1473" w:id="1475"/>
      <w:bookmarkEnd w:id="1475"/>
      <w:r>
        <w:rPr/>
      </w:r>
      <w:hyperlink w:history="true" w:anchor="_bookmark1420">
        <w:r>
          <w:rPr>
            <w:color w:val="005DA1"/>
            <w:spacing w:val="-4"/>
            <w:position w:val="5"/>
            <w:sz w:val="14"/>
            <w:u w:val="single" w:color="005DA1"/>
          </w:rPr>
          <w:t>770</w:t>
        </w:r>
      </w:hyperlink>
      <w:r>
        <w:rPr>
          <w:spacing w:val="-4"/>
          <w:position w:val="5"/>
          <w:sz w:val="14"/>
        </w:rPr>
        <w:t>.</w:t>
      </w:r>
      <w:r>
        <w:rPr>
          <w:position w:val="5"/>
          <w:sz w:val="14"/>
        </w:rPr>
        <w:tab/>
      </w:r>
      <w:r>
        <w:rPr/>
        <w:t>See below, Vol.II, para.42-</w:t>
      </w:r>
      <w:r>
        <w:rPr>
          <w:spacing w:val="-4"/>
        </w:rPr>
        <w:t>042.</w:t>
      </w:r>
    </w:p>
    <w:p>
      <w:pPr>
        <w:pStyle w:val="BodyText"/>
        <w:spacing w:before="8"/>
      </w:pPr>
    </w:p>
    <w:p>
      <w:pPr>
        <w:pStyle w:val="BodyText"/>
        <w:spacing w:line="235" w:lineRule="auto"/>
        <w:ind w:left="705" w:right="167" w:hanging="541"/>
        <w:jc w:val="both"/>
      </w:pPr>
      <w:bookmarkStart w:name="_bookmark1474" w:id="1476"/>
      <w:bookmarkEnd w:id="1476"/>
      <w:r>
        <w:rPr/>
      </w:r>
      <w:hyperlink w:history="true" w:anchor="_bookmark1421">
        <w:r>
          <w:rPr>
            <w:color w:val="005DA1"/>
            <w:position w:val="5"/>
            <w:sz w:val="14"/>
            <w:u w:val="single" w:color="005DA1"/>
          </w:rPr>
          <w:t>771</w:t>
        </w:r>
      </w:hyperlink>
      <w:r>
        <w:rPr>
          <w:position w:val="5"/>
          <w:sz w:val="14"/>
        </w:rPr>
        <w:t>.</w:t>
      </w:r>
      <w:r>
        <w:rPr>
          <w:spacing w:val="40"/>
          <w:position w:val="5"/>
          <w:sz w:val="14"/>
        </w:rPr>
        <w:t>  </w:t>
      </w:r>
      <w:r>
        <w:rPr/>
        <w:t>Consumer Insurance (Disclosure and Representations) Act 2012 Sch.1 para.2 (the </w:t>
      </w:r>
      <w:r>
        <w:rPr/>
        <w:t>premium must be returned to the extent that it would be unfair to the insured to retain it: para.2(b)); Insurance Act 2015 Sch.1 para.2 (no return of premium: para.2(b)).</w:t>
      </w:r>
    </w:p>
    <w:p>
      <w:pPr>
        <w:pStyle w:val="BodyText"/>
        <w:spacing w:before="9"/>
      </w:pPr>
    </w:p>
    <w:p>
      <w:pPr>
        <w:pStyle w:val="BodyText"/>
        <w:tabs>
          <w:tab w:pos="705" w:val="left" w:leader="none"/>
        </w:tabs>
        <w:spacing w:line="235" w:lineRule="auto"/>
        <w:ind w:left="705" w:right="168" w:hanging="541"/>
      </w:pPr>
      <w:bookmarkStart w:name="_bookmark1475" w:id="1477"/>
      <w:bookmarkEnd w:id="1477"/>
      <w:r>
        <w:rPr/>
      </w:r>
      <w:hyperlink w:history="true" w:anchor="_bookmark1422">
        <w:r>
          <w:rPr>
            <w:color w:val="005DA1"/>
            <w:spacing w:val="-4"/>
            <w:position w:val="5"/>
            <w:sz w:val="14"/>
            <w:u w:val="single" w:color="005DA1"/>
          </w:rPr>
          <w:t>772</w:t>
        </w:r>
      </w:hyperlink>
      <w:r>
        <w:rPr>
          <w:spacing w:val="-4"/>
          <w:position w:val="5"/>
          <w:sz w:val="14"/>
        </w:rPr>
        <w:t>.</w:t>
      </w:r>
      <w:r>
        <w:rPr>
          <w:position w:val="5"/>
          <w:sz w:val="14"/>
        </w:rPr>
        <w:tab/>
      </w:r>
      <w:r>
        <w:rPr/>
        <w:t>Consumer Insurance (Disclosure and Representations) Act 2012 Sch.1 para.5; Insurance </w:t>
      </w:r>
      <w:r>
        <w:rPr/>
        <w:t>Act 2015 Sch.1 para.4. In each case the premium must be returned.</w:t>
      </w:r>
    </w:p>
    <w:p>
      <w:pPr>
        <w:pStyle w:val="BodyText"/>
        <w:spacing w:before="9"/>
      </w:pPr>
    </w:p>
    <w:p>
      <w:pPr>
        <w:pStyle w:val="BodyText"/>
        <w:tabs>
          <w:tab w:pos="705" w:val="left" w:leader="none"/>
        </w:tabs>
        <w:spacing w:line="235" w:lineRule="auto" w:before="1"/>
        <w:ind w:left="705" w:right="168" w:hanging="541"/>
      </w:pPr>
      <w:bookmarkStart w:name="_bookmark1476" w:id="1478"/>
      <w:bookmarkEnd w:id="1478"/>
      <w:r>
        <w:rPr/>
      </w:r>
      <w:hyperlink w:history="true" w:anchor="_bookmark1423">
        <w:r>
          <w:rPr>
            <w:color w:val="005DA1"/>
            <w:spacing w:val="-4"/>
            <w:position w:val="5"/>
            <w:sz w:val="14"/>
            <w:u w:val="single" w:color="005DA1"/>
          </w:rPr>
          <w:t>773</w:t>
        </w:r>
      </w:hyperlink>
      <w:r>
        <w:rPr>
          <w:spacing w:val="-4"/>
          <w:position w:val="5"/>
          <w:sz w:val="14"/>
        </w:rPr>
        <w:t>.</w:t>
      </w:r>
      <w:r>
        <w:rPr>
          <w:position w:val="5"/>
          <w:sz w:val="14"/>
        </w:rPr>
        <w:tab/>
      </w:r>
      <w:r>
        <w:rPr/>
        <w:t>Consumer Insurance (Disclosure and Representations) Act 2012 Sch.1 para.5; Insurance </w:t>
      </w:r>
      <w:r>
        <w:rPr/>
        <w:t>Act 2015 Sch.1 para.6.</w:t>
      </w:r>
    </w:p>
    <w:p>
      <w:pPr>
        <w:pStyle w:val="BodyText"/>
        <w:spacing w:before="9"/>
      </w:pPr>
    </w:p>
    <w:p>
      <w:pPr>
        <w:pStyle w:val="BodyText"/>
        <w:tabs>
          <w:tab w:pos="705" w:val="left" w:leader="none"/>
        </w:tabs>
        <w:spacing w:line="235" w:lineRule="auto"/>
        <w:ind w:left="705" w:right="168" w:hanging="541"/>
      </w:pPr>
      <w:bookmarkStart w:name="_bookmark1477" w:id="1479"/>
      <w:bookmarkEnd w:id="1479"/>
      <w:r>
        <w:rPr/>
      </w:r>
      <w:hyperlink w:history="true" w:anchor="_bookmark1424">
        <w:r>
          <w:rPr>
            <w:color w:val="005DA1"/>
            <w:spacing w:val="-4"/>
            <w:position w:val="5"/>
            <w:sz w:val="14"/>
            <w:u w:val="single" w:color="005DA1"/>
          </w:rPr>
          <w:t>774</w:t>
        </w:r>
      </w:hyperlink>
      <w:r>
        <w:rPr>
          <w:spacing w:val="-4"/>
          <w:position w:val="5"/>
          <w:sz w:val="14"/>
        </w:rPr>
        <w:t>.</w:t>
      </w:r>
      <w:r>
        <w:rPr>
          <w:position w:val="5"/>
          <w:sz w:val="14"/>
        </w:rPr>
        <w:tab/>
      </w:r>
      <w:r>
        <w:rPr/>
        <w:t>Consumer Insurance (Disclosure and Representations) Act 2012 Sch.1 paras 7–8; Insurance</w:t>
      </w:r>
      <w:r>
        <w:rPr>
          <w:spacing w:val="40"/>
        </w:rPr>
        <w:t> </w:t>
      </w:r>
      <w:r>
        <w:rPr/>
        <w:t>Act 2015 Sch.1 paras 5–6.</w:t>
      </w:r>
    </w:p>
    <w:p>
      <w:pPr>
        <w:pStyle w:val="BodyText"/>
        <w:spacing w:before="5"/>
      </w:pPr>
    </w:p>
    <w:p>
      <w:pPr>
        <w:tabs>
          <w:tab w:pos="705" w:val="left" w:leader="none"/>
        </w:tabs>
        <w:spacing w:before="0"/>
        <w:ind w:left="165" w:right="0" w:firstLine="0"/>
        <w:jc w:val="left"/>
        <w:rPr>
          <w:rFonts w:ascii="Arial"/>
          <w:i/>
          <w:sz w:val="20"/>
        </w:rPr>
      </w:pPr>
      <w:bookmarkStart w:name="_bookmark1478" w:id="1480"/>
      <w:bookmarkEnd w:id="1480"/>
      <w:r>
        <w:rPr/>
      </w:r>
      <w:hyperlink w:history="true" w:anchor="_bookmark1425">
        <w:r>
          <w:rPr>
            <w:color w:val="005DA1"/>
            <w:spacing w:val="-4"/>
            <w:position w:val="5"/>
            <w:sz w:val="14"/>
            <w:u w:val="single" w:color="005DA1"/>
          </w:rPr>
          <w:t>775</w:t>
        </w:r>
      </w:hyperlink>
      <w:r>
        <w:rPr>
          <w:spacing w:val="-4"/>
          <w:position w:val="5"/>
          <w:sz w:val="14"/>
        </w:rPr>
        <w:t>.</w:t>
      </w:r>
      <w:r>
        <w:rPr>
          <w:position w:val="5"/>
          <w:sz w:val="14"/>
        </w:rPr>
        <w:tab/>
      </w:r>
      <w:r>
        <w:rPr>
          <w:sz w:val="20"/>
        </w:rPr>
        <w:t>See</w:t>
      </w:r>
      <w:r>
        <w:rPr>
          <w:spacing w:val="27"/>
          <w:sz w:val="20"/>
        </w:rPr>
        <w:t> </w:t>
      </w:r>
      <w:r>
        <w:rPr>
          <w:rFonts w:ascii="Arial"/>
          <w:i/>
          <w:sz w:val="20"/>
        </w:rPr>
        <w:t>Bank</w:t>
      </w:r>
      <w:r>
        <w:rPr>
          <w:rFonts w:ascii="Arial"/>
          <w:i/>
          <w:spacing w:val="29"/>
          <w:sz w:val="20"/>
        </w:rPr>
        <w:t> </w:t>
      </w:r>
      <w:r>
        <w:rPr>
          <w:rFonts w:ascii="Arial"/>
          <w:i/>
          <w:sz w:val="20"/>
        </w:rPr>
        <w:t>of</w:t>
      </w:r>
      <w:r>
        <w:rPr>
          <w:rFonts w:ascii="Arial"/>
          <w:i/>
          <w:spacing w:val="29"/>
          <w:sz w:val="20"/>
        </w:rPr>
        <w:t> </w:t>
      </w:r>
      <w:r>
        <w:rPr>
          <w:rFonts w:ascii="Arial"/>
          <w:i/>
          <w:sz w:val="20"/>
        </w:rPr>
        <w:t>Nova</w:t>
      </w:r>
      <w:r>
        <w:rPr>
          <w:rFonts w:ascii="Arial"/>
          <w:i/>
          <w:spacing w:val="29"/>
          <w:sz w:val="20"/>
        </w:rPr>
        <w:t> </w:t>
      </w:r>
      <w:r>
        <w:rPr>
          <w:rFonts w:ascii="Arial"/>
          <w:i/>
          <w:sz w:val="20"/>
        </w:rPr>
        <w:t>Scotia</w:t>
      </w:r>
      <w:r>
        <w:rPr>
          <w:rFonts w:ascii="Arial"/>
          <w:i/>
          <w:spacing w:val="29"/>
          <w:sz w:val="20"/>
        </w:rPr>
        <w:t> </w:t>
      </w:r>
      <w:r>
        <w:rPr>
          <w:rFonts w:ascii="Arial"/>
          <w:i/>
          <w:sz w:val="20"/>
        </w:rPr>
        <w:t>v</w:t>
      </w:r>
      <w:r>
        <w:rPr>
          <w:rFonts w:ascii="Arial"/>
          <w:i/>
          <w:spacing w:val="29"/>
          <w:sz w:val="20"/>
        </w:rPr>
        <w:t> </w:t>
      </w:r>
      <w:r>
        <w:rPr>
          <w:rFonts w:ascii="Arial"/>
          <w:i/>
          <w:sz w:val="20"/>
        </w:rPr>
        <w:t>Hellenic</w:t>
      </w:r>
      <w:r>
        <w:rPr>
          <w:rFonts w:ascii="Arial"/>
          <w:i/>
          <w:spacing w:val="29"/>
          <w:sz w:val="20"/>
        </w:rPr>
        <w:t> </w:t>
      </w:r>
      <w:r>
        <w:rPr>
          <w:rFonts w:ascii="Arial"/>
          <w:i/>
          <w:sz w:val="20"/>
        </w:rPr>
        <w:t>Mutual</w:t>
      </w:r>
      <w:r>
        <w:rPr>
          <w:rFonts w:ascii="Arial"/>
          <w:i/>
          <w:spacing w:val="29"/>
          <w:sz w:val="20"/>
        </w:rPr>
        <w:t> </w:t>
      </w:r>
      <w:r>
        <w:rPr>
          <w:rFonts w:ascii="Arial"/>
          <w:i/>
          <w:sz w:val="20"/>
        </w:rPr>
        <w:t>War</w:t>
      </w:r>
      <w:r>
        <w:rPr>
          <w:rFonts w:ascii="Arial"/>
          <w:i/>
          <w:spacing w:val="29"/>
          <w:sz w:val="20"/>
        </w:rPr>
        <w:t> </w:t>
      </w:r>
      <w:r>
        <w:rPr>
          <w:rFonts w:ascii="Arial"/>
          <w:i/>
          <w:sz w:val="20"/>
        </w:rPr>
        <w:t>Risks</w:t>
      </w:r>
      <w:r>
        <w:rPr>
          <w:rFonts w:ascii="Arial"/>
          <w:i/>
          <w:spacing w:val="29"/>
          <w:sz w:val="20"/>
        </w:rPr>
        <w:t> </w:t>
      </w:r>
      <w:r>
        <w:rPr>
          <w:rFonts w:ascii="Arial"/>
          <w:i/>
          <w:sz w:val="20"/>
        </w:rPr>
        <w:t>(The</w:t>
      </w:r>
      <w:r>
        <w:rPr>
          <w:rFonts w:ascii="Arial"/>
          <w:i/>
          <w:spacing w:val="29"/>
          <w:sz w:val="20"/>
        </w:rPr>
        <w:t> </w:t>
      </w:r>
      <w:r>
        <w:rPr>
          <w:rFonts w:ascii="Arial"/>
          <w:i/>
          <w:sz w:val="20"/>
        </w:rPr>
        <w:t>Good</w:t>
      </w:r>
      <w:r>
        <w:rPr>
          <w:rFonts w:ascii="Arial"/>
          <w:i/>
          <w:spacing w:val="29"/>
          <w:sz w:val="20"/>
        </w:rPr>
        <w:t> </w:t>
      </w:r>
      <w:r>
        <w:rPr>
          <w:rFonts w:ascii="Arial"/>
          <w:i/>
          <w:sz w:val="20"/>
        </w:rPr>
        <w:t>Luck)</w:t>
      </w:r>
      <w:r>
        <w:rPr>
          <w:rFonts w:ascii="Arial"/>
          <w:i/>
          <w:spacing w:val="29"/>
          <w:sz w:val="20"/>
        </w:rPr>
        <w:t> </w:t>
      </w:r>
      <w:r>
        <w:rPr>
          <w:rFonts w:ascii="Arial"/>
          <w:i/>
          <w:sz w:val="20"/>
        </w:rPr>
        <w:t>[1992]</w:t>
      </w:r>
      <w:r>
        <w:rPr>
          <w:rFonts w:ascii="Arial"/>
          <w:i/>
          <w:spacing w:val="29"/>
          <w:sz w:val="20"/>
        </w:rPr>
        <w:t> </w:t>
      </w:r>
      <w:r>
        <w:rPr>
          <w:rFonts w:ascii="Arial"/>
          <w:i/>
          <w:sz w:val="20"/>
        </w:rPr>
        <w:t>1</w:t>
      </w:r>
      <w:r>
        <w:rPr>
          <w:rFonts w:ascii="Arial"/>
          <w:i/>
          <w:spacing w:val="29"/>
          <w:sz w:val="20"/>
        </w:rPr>
        <w:t> </w:t>
      </w:r>
      <w:r>
        <w:rPr>
          <w:rFonts w:ascii="Arial"/>
          <w:i/>
          <w:sz w:val="20"/>
        </w:rPr>
        <w:t>A.C.</w:t>
      </w:r>
      <w:r>
        <w:rPr>
          <w:rFonts w:ascii="Arial"/>
          <w:i/>
          <w:spacing w:val="29"/>
          <w:sz w:val="20"/>
        </w:rPr>
        <w:t> </w:t>
      </w:r>
      <w:r>
        <w:rPr>
          <w:rFonts w:ascii="Arial"/>
          <w:i/>
          <w:spacing w:val="-4"/>
          <w:sz w:val="20"/>
        </w:rPr>
        <w:t>233,</w:t>
      </w:r>
    </w:p>
    <w:p>
      <w:pPr>
        <w:spacing w:after="0"/>
        <w:jc w:val="left"/>
        <w:rPr>
          <w:rFonts w:ascii="Arial"/>
          <w:i/>
          <w:sz w:val="20"/>
        </w:rPr>
        <w:sectPr>
          <w:pgSz w:w="11900" w:h="16840"/>
          <w:pgMar w:header="971" w:footer="0" w:top="1160" w:bottom="280" w:left="1275" w:right="1275"/>
        </w:sectPr>
      </w:pPr>
    </w:p>
    <w:p>
      <w:pPr>
        <w:pStyle w:val="BodyText"/>
        <w:spacing w:before="24"/>
        <w:rPr>
          <w:rFonts w:ascii="Arial"/>
          <w:i/>
        </w:rPr>
      </w:pPr>
    </w:p>
    <w:p>
      <w:pPr>
        <w:pStyle w:val="BodyText"/>
        <w:spacing w:line="235" w:lineRule="auto" w:before="1"/>
        <w:ind w:left="705"/>
      </w:pPr>
      <w:r>
        <w:rPr>
          <w:rFonts w:ascii="Arial" w:hAnsi="Arial"/>
          <w:i/>
        </w:rPr>
        <w:t>263–4</w:t>
      </w:r>
      <w:r>
        <w:rPr/>
        <w:t>. The insurer may waive the breach and affirm the contract: Marine Insurance Act 1906</w:t>
      </w:r>
      <w:r>
        <w:rPr>
          <w:spacing w:val="40"/>
        </w:rPr>
        <w:t> </w:t>
      </w:r>
      <w:r>
        <w:rPr>
          <w:spacing w:val="-2"/>
        </w:rPr>
        <w:t>s.34(3).</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479" w:id="1481"/>
      <w:bookmarkEnd w:id="1481"/>
      <w:r>
        <w:rPr/>
      </w:r>
      <w:hyperlink w:history="true" w:anchor="_bookmark1425">
        <w:r>
          <w:rPr>
            <w:color w:val="005DA1"/>
            <w:spacing w:val="-4"/>
            <w:position w:val="5"/>
            <w:sz w:val="14"/>
            <w:u w:val="single" w:color="005DA1"/>
          </w:rPr>
          <w:t>776</w:t>
        </w:r>
      </w:hyperlink>
      <w:r>
        <w:rPr>
          <w:spacing w:val="-4"/>
          <w:position w:val="5"/>
          <w:sz w:val="14"/>
        </w:rPr>
        <w:t>.</w:t>
      </w:r>
      <w:r>
        <w:rPr>
          <w:position w:val="5"/>
          <w:sz w:val="14"/>
        </w:rPr>
        <w:tab/>
      </w:r>
      <w:r>
        <w:rPr>
          <w:rFonts w:ascii="Arial"/>
          <w:i/>
          <w:sz w:val="20"/>
        </w:rPr>
        <w:t>Anderson</w:t>
      </w:r>
      <w:r>
        <w:rPr>
          <w:rFonts w:ascii="Arial"/>
          <w:i/>
          <w:spacing w:val="26"/>
          <w:sz w:val="20"/>
        </w:rPr>
        <w:t> </w:t>
      </w:r>
      <w:r>
        <w:rPr>
          <w:rFonts w:ascii="Arial"/>
          <w:i/>
          <w:sz w:val="20"/>
        </w:rPr>
        <w:t>v</w:t>
      </w:r>
      <w:r>
        <w:rPr>
          <w:rFonts w:ascii="Arial"/>
          <w:i/>
          <w:spacing w:val="27"/>
          <w:sz w:val="20"/>
        </w:rPr>
        <w:t> </w:t>
      </w:r>
      <w:r>
        <w:rPr>
          <w:rFonts w:ascii="Arial"/>
          <w:i/>
          <w:sz w:val="20"/>
        </w:rPr>
        <w:t>Fitzgerald</w:t>
      </w:r>
      <w:r>
        <w:rPr>
          <w:rFonts w:ascii="Arial"/>
          <w:i/>
          <w:spacing w:val="27"/>
          <w:sz w:val="20"/>
        </w:rPr>
        <w:t> </w:t>
      </w:r>
      <w:r>
        <w:rPr>
          <w:rFonts w:ascii="Arial"/>
          <w:i/>
          <w:sz w:val="20"/>
        </w:rPr>
        <w:t>(1853)</w:t>
      </w:r>
      <w:r>
        <w:rPr>
          <w:rFonts w:ascii="Arial"/>
          <w:i/>
          <w:spacing w:val="27"/>
          <w:sz w:val="20"/>
        </w:rPr>
        <w:t> </w:t>
      </w:r>
      <w:r>
        <w:rPr>
          <w:rFonts w:ascii="Arial"/>
          <w:i/>
          <w:sz w:val="20"/>
        </w:rPr>
        <w:t>4</w:t>
      </w:r>
      <w:r>
        <w:rPr>
          <w:rFonts w:ascii="Arial"/>
          <w:i/>
          <w:spacing w:val="27"/>
          <w:sz w:val="20"/>
        </w:rPr>
        <w:t> </w:t>
      </w:r>
      <w:r>
        <w:rPr>
          <w:rFonts w:ascii="Arial"/>
          <w:i/>
          <w:sz w:val="20"/>
        </w:rPr>
        <w:t>H.L.C.</w:t>
      </w:r>
      <w:r>
        <w:rPr>
          <w:rFonts w:ascii="Arial"/>
          <w:i/>
          <w:spacing w:val="27"/>
          <w:sz w:val="20"/>
        </w:rPr>
        <w:t> </w:t>
      </w:r>
      <w:r>
        <w:rPr>
          <w:rFonts w:ascii="Arial"/>
          <w:i/>
          <w:sz w:val="20"/>
        </w:rPr>
        <w:t>484</w:t>
      </w:r>
      <w:r>
        <w:rPr>
          <w:sz w:val="20"/>
        </w:rPr>
        <w:t>;</w:t>
      </w:r>
      <w:r>
        <w:rPr>
          <w:spacing w:val="27"/>
          <w:sz w:val="20"/>
        </w:rPr>
        <w:t> </w:t>
      </w:r>
      <w:r>
        <w:rPr>
          <w:rFonts w:ascii="Arial"/>
          <w:i/>
          <w:sz w:val="20"/>
        </w:rPr>
        <w:t>Condogianis</w:t>
      </w:r>
      <w:r>
        <w:rPr>
          <w:rFonts w:ascii="Arial"/>
          <w:i/>
          <w:spacing w:val="27"/>
          <w:sz w:val="20"/>
        </w:rPr>
        <w:t> </w:t>
      </w:r>
      <w:r>
        <w:rPr>
          <w:rFonts w:ascii="Arial"/>
          <w:i/>
          <w:sz w:val="20"/>
        </w:rPr>
        <w:t>v</w:t>
      </w:r>
      <w:r>
        <w:rPr>
          <w:rFonts w:ascii="Arial"/>
          <w:i/>
          <w:spacing w:val="27"/>
          <w:sz w:val="20"/>
        </w:rPr>
        <w:t> </w:t>
      </w:r>
      <w:r>
        <w:rPr>
          <w:rFonts w:ascii="Arial"/>
          <w:i/>
          <w:sz w:val="20"/>
        </w:rPr>
        <w:t>Guardian</w:t>
      </w:r>
      <w:r>
        <w:rPr>
          <w:rFonts w:ascii="Arial"/>
          <w:i/>
          <w:spacing w:val="27"/>
          <w:sz w:val="20"/>
        </w:rPr>
        <w:t> </w:t>
      </w:r>
      <w:r>
        <w:rPr>
          <w:rFonts w:ascii="Arial"/>
          <w:i/>
          <w:sz w:val="20"/>
        </w:rPr>
        <w:t>Assurance</w:t>
      </w:r>
      <w:r>
        <w:rPr>
          <w:rFonts w:ascii="Arial"/>
          <w:i/>
          <w:spacing w:val="27"/>
          <w:sz w:val="20"/>
        </w:rPr>
        <w:t> </w:t>
      </w:r>
      <w:r>
        <w:rPr>
          <w:rFonts w:ascii="Arial"/>
          <w:i/>
          <w:sz w:val="20"/>
        </w:rPr>
        <w:t>Co</w:t>
      </w:r>
      <w:r>
        <w:rPr>
          <w:rFonts w:ascii="Arial"/>
          <w:i/>
          <w:spacing w:val="27"/>
          <w:sz w:val="20"/>
        </w:rPr>
        <w:t> </w:t>
      </w:r>
      <w:r>
        <w:rPr>
          <w:rFonts w:ascii="Arial"/>
          <w:i/>
          <w:sz w:val="20"/>
        </w:rPr>
        <w:t>[1921]</w:t>
      </w:r>
      <w:r>
        <w:rPr>
          <w:rFonts w:ascii="Arial"/>
          <w:i/>
          <w:spacing w:val="27"/>
          <w:sz w:val="20"/>
        </w:rPr>
        <w:t> </w:t>
      </w:r>
      <w:r>
        <w:rPr>
          <w:rFonts w:ascii="Arial"/>
          <w:i/>
          <w:spacing w:val="-10"/>
          <w:sz w:val="20"/>
        </w:rPr>
        <w:t>2</w:t>
      </w:r>
    </w:p>
    <w:p>
      <w:pPr>
        <w:spacing w:line="227" w:lineRule="exact" w:before="0"/>
        <w:ind w:left="705" w:right="0" w:firstLine="0"/>
        <w:jc w:val="left"/>
        <w:rPr>
          <w:sz w:val="20"/>
        </w:rPr>
      </w:pPr>
      <w:r>
        <w:rPr>
          <w:rFonts w:ascii="Arial"/>
          <w:i/>
          <w:sz w:val="20"/>
        </w:rPr>
        <w:t>A.C.</w:t>
      </w:r>
      <w:r>
        <w:rPr>
          <w:rFonts w:ascii="Arial"/>
          <w:i/>
          <w:spacing w:val="-1"/>
          <w:sz w:val="20"/>
        </w:rPr>
        <w:t> </w:t>
      </w:r>
      <w:r>
        <w:rPr>
          <w:rFonts w:ascii="Arial"/>
          <w:i/>
          <w:sz w:val="20"/>
        </w:rPr>
        <w:t>125</w:t>
      </w:r>
      <w:r>
        <w:rPr>
          <w:sz w:val="20"/>
        </w:rPr>
        <w:t>; </w:t>
      </w:r>
      <w:r>
        <w:rPr>
          <w:rFonts w:ascii="Arial"/>
          <w:i/>
          <w:sz w:val="20"/>
        </w:rPr>
        <w:t>Dawsons Ltd v Bonnin [1922]</w:t>
      </w:r>
      <w:r>
        <w:rPr>
          <w:rFonts w:ascii="Arial"/>
          <w:i/>
          <w:spacing w:val="-1"/>
          <w:sz w:val="20"/>
        </w:rPr>
        <w:t> </w:t>
      </w:r>
      <w:r>
        <w:rPr>
          <w:rFonts w:ascii="Arial"/>
          <w:i/>
          <w:sz w:val="20"/>
        </w:rPr>
        <w:t>2 A.C. 413</w:t>
      </w:r>
      <w:r>
        <w:rPr>
          <w:sz w:val="20"/>
        </w:rPr>
        <w:t>. See Vol.II, para.42-</w:t>
      </w:r>
      <w:r>
        <w:rPr>
          <w:spacing w:val="-4"/>
          <w:sz w:val="20"/>
        </w:rPr>
        <w:t>044.</w:t>
      </w:r>
    </w:p>
    <w:p>
      <w:pPr>
        <w:pStyle w:val="BodyText"/>
        <w:spacing w:before="9"/>
      </w:pPr>
    </w:p>
    <w:p>
      <w:pPr>
        <w:pStyle w:val="BodyText"/>
        <w:spacing w:line="235" w:lineRule="auto"/>
        <w:ind w:left="705" w:right="167" w:hanging="541"/>
        <w:jc w:val="both"/>
      </w:pPr>
      <w:bookmarkStart w:name="_bookmark1480" w:id="1482"/>
      <w:bookmarkEnd w:id="1482"/>
      <w:r>
        <w:rPr/>
      </w:r>
      <w:hyperlink w:history="true" w:anchor="_bookmark1426">
        <w:r>
          <w:rPr>
            <w:color w:val="005DA1"/>
            <w:position w:val="5"/>
            <w:sz w:val="14"/>
            <w:u w:val="single" w:color="005DA1"/>
          </w:rPr>
          <w:t>777</w:t>
        </w:r>
      </w:hyperlink>
      <w:r>
        <w:rPr>
          <w:position w:val="5"/>
          <w:sz w:val="14"/>
        </w:rPr>
        <w:t>.</w:t>
      </w:r>
      <w:r>
        <w:rPr>
          <w:spacing w:val="80"/>
          <w:position w:val="5"/>
          <w:sz w:val="14"/>
        </w:rPr>
        <w:t> </w:t>
      </w:r>
      <w:r>
        <w:rPr/>
        <w:t>It</w:t>
      </w:r>
      <w:r>
        <w:rPr>
          <w:spacing w:val="40"/>
        </w:rPr>
        <w:t> </w:t>
      </w:r>
      <w:r>
        <w:rPr/>
        <w:t>was</w:t>
      </w:r>
      <w:r>
        <w:rPr>
          <w:spacing w:val="40"/>
        </w:rPr>
        <w:t> </w:t>
      </w:r>
      <w:r>
        <w:rPr/>
        <w:t>seen</w:t>
      </w:r>
      <w:r>
        <w:rPr>
          <w:spacing w:val="40"/>
        </w:rPr>
        <w:t> </w:t>
      </w:r>
      <w:r>
        <w:rPr/>
        <w:t>earlier</w:t>
      </w:r>
      <w:r>
        <w:rPr>
          <w:spacing w:val="40"/>
        </w:rPr>
        <w:t> </w:t>
      </w:r>
      <w:r>
        <w:rPr/>
        <w:t>(above,</w:t>
      </w:r>
      <w:r>
        <w:rPr>
          <w:spacing w:val="40"/>
        </w:rPr>
        <w:t> </w:t>
      </w:r>
      <w:r>
        <w:rPr/>
        <w:t>para.7-116)</w:t>
      </w:r>
      <w:r>
        <w:rPr>
          <w:spacing w:val="40"/>
        </w:rPr>
        <w:t> </w:t>
      </w:r>
      <w:r>
        <w:rPr/>
        <w:t>that</w:t>
      </w:r>
      <w:r>
        <w:rPr>
          <w:spacing w:val="40"/>
        </w:rPr>
        <w:t> </w:t>
      </w:r>
      <w:r>
        <w:rPr/>
        <w:t>it</w:t>
      </w:r>
      <w:r>
        <w:rPr>
          <w:spacing w:val="40"/>
        </w:rPr>
        <w:t> </w:t>
      </w:r>
      <w:r>
        <w:rPr/>
        <w:t>is</w:t>
      </w:r>
      <w:r>
        <w:rPr>
          <w:spacing w:val="40"/>
        </w:rPr>
        <w:t> </w:t>
      </w:r>
      <w:r>
        <w:rPr/>
        <w:t>not</w:t>
      </w:r>
      <w:r>
        <w:rPr>
          <w:spacing w:val="40"/>
        </w:rPr>
        <w:t> </w:t>
      </w:r>
      <w:r>
        <w:rPr/>
        <w:t>clear</w:t>
      </w:r>
      <w:r>
        <w:rPr>
          <w:spacing w:val="40"/>
        </w:rPr>
        <w:t> </w:t>
      </w:r>
      <w:r>
        <w:rPr/>
        <w:t>whether</w:t>
      </w:r>
      <w:r>
        <w:rPr>
          <w:spacing w:val="40"/>
        </w:rPr>
        <w:t> </w:t>
      </w:r>
      <w:r>
        <w:rPr/>
        <w:t>s.2(2)</w:t>
      </w:r>
      <w:r>
        <w:rPr>
          <w:spacing w:val="40"/>
        </w:rPr>
        <w:t> </w:t>
      </w:r>
      <w:r>
        <w:rPr/>
        <w:t>of</w:t>
      </w:r>
      <w:r>
        <w:rPr>
          <w:spacing w:val="40"/>
        </w:rPr>
        <w:t> </w:t>
      </w:r>
      <w:r>
        <w:rPr/>
        <w:t>the Misrepresentation Act enables a court to refuse to allow rescission for misrepresentation where the statement in question was later incorporated as a term of the contract. If it did have </w:t>
      </w:r>
      <w:r>
        <w:rPr/>
        <w:t>this effect, the totally unexpected result might follow, that an insurer might no longer be able to repudiate liability for an immaterial misrepresentation, or for a material misrepresentation which had</w:t>
      </w:r>
      <w:r>
        <w:rPr>
          <w:spacing w:val="-1"/>
        </w:rPr>
        <w:t> </w:t>
      </w:r>
      <w:r>
        <w:rPr/>
        <w:t>no</w:t>
      </w:r>
      <w:r>
        <w:rPr>
          <w:spacing w:val="-1"/>
        </w:rPr>
        <w:t> </w:t>
      </w:r>
      <w:r>
        <w:rPr/>
        <w:t>bearing</w:t>
      </w:r>
      <w:r>
        <w:rPr>
          <w:spacing w:val="-1"/>
        </w:rPr>
        <w:t> </w:t>
      </w:r>
      <w:r>
        <w:rPr/>
        <w:t>on</w:t>
      </w:r>
      <w:r>
        <w:rPr>
          <w:spacing w:val="-1"/>
        </w:rPr>
        <w:t> </w:t>
      </w:r>
      <w:r>
        <w:rPr/>
        <w:t>the</w:t>
      </w:r>
      <w:r>
        <w:rPr>
          <w:spacing w:val="-1"/>
        </w:rPr>
        <w:t> </w:t>
      </w:r>
      <w:r>
        <w:rPr/>
        <w:t>risk</w:t>
      </w:r>
      <w:r>
        <w:rPr>
          <w:spacing w:val="-1"/>
        </w:rPr>
        <w:t> </w:t>
      </w:r>
      <w:r>
        <w:rPr/>
        <w:t>which</w:t>
      </w:r>
      <w:r>
        <w:rPr>
          <w:spacing w:val="-1"/>
        </w:rPr>
        <w:t> </w:t>
      </w:r>
      <w:r>
        <w:rPr/>
        <w:t>has</w:t>
      </w:r>
      <w:r>
        <w:rPr>
          <w:spacing w:val="-1"/>
        </w:rPr>
        <w:t> </w:t>
      </w:r>
      <w:r>
        <w:rPr/>
        <w:t>occurred,</w:t>
      </w:r>
      <w:r>
        <w:rPr>
          <w:spacing w:val="-1"/>
        </w:rPr>
        <w:t> </w:t>
      </w:r>
      <w:r>
        <w:rPr/>
        <w:t>even</w:t>
      </w:r>
      <w:r>
        <w:rPr>
          <w:spacing w:val="-1"/>
        </w:rPr>
        <w:t> </w:t>
      </w:r>
      <w:r>
        <w:rPr/>
        <w:t>where</w:t>
      </w:r>
      <w:r>
        <w:rPr>
          <w:spacing w:val="-1"/>
        </w:rPr>
        <w:t> </w:t>
      </w:r>
      <w:r>
        <w:rPr/>
        <w:t>the</w:t>
      </w:r>
      <w:r>
        <w:rPr>
          <w:spacing w:val="-1"/>
        </w:rPr>
        <w:t> </w:t>
      </w:r>
      <w:r>
        <w:rPr/>
        <w:t>insured’s</w:t>
      </w:r>
      <w:r>
        <w:rPr>
          <w:spacing w:val="-1"/>
        </w:rPr>
        <w:t> </w:t>
      </w:r>
      <w:r>
        <w:rPr/>
        <w:t>statement</w:t>
      </w:r>
      <w:r>
        <w:rPr>
          <w:spacing w:val="-1"/>
        </w:rPr>
        <w:t> </w:t>
      </w:r>
      <w:r>
        <w:rPr/>
        <w:t>formed</w:t>
      </w:r>
      <w:r>
        <w:rPr>
          <w:spacing w:val="-1"/>
        </w:rPr>
        <w:t> </w:t>
      </w:r>
      <w:r>
        <w:rPr/>
        <w:t>part of</w:t>
      </w:r>
      <w:r>
        <w:rPr>
          <w:spacing w:val="-2"/>
        </w:rPr>
        <w:t> </w:t>
      </w:r>
      <w:r>
        <w:rPr/>
        <w:t>the</w:t>
      </w:r>
      <w:r>
        <w:rPr>
          <w:spacing w:val="-2"/>
        </w:rPr>
        <w:t> </w:t>
      </w:r>
      <w:r>
        <w:rPr/>
        <w:t>basis</w:t>
      </w:r>
      <w:r>
        <w:rPr>
          <w:spacing w:val="-2"/>
        </w:rPr>
        <w:t> </w:t>
      </w:r>
      <w:r>
        <w:rPr/>
        <w:t>of</w:t>
      </w:r>
      <w:r>
        <w:rPr>
          <w:spacing w:val="-2"/>
        </w:rPr>
        <w:t> </w:t>
      </w:r>
      <w:r>
        <w:rPr/>
        <w:t>the</w:t>
      </w:r>
      <w:r>
        <w:rPr>
          <w:spacing w:val="-2"/>
        </w:rPr>
        <w:t> </w:t>
      </w:r>
      <w:r>
        <w:rPr/>
        <w:t>contract.</w:t>
      </w:r>
      <w:r>
        <w:rPr>
          <w:spacing w:val="-2"/>
        </w:rPr>
        <w:t> </w:t>
      </w:r>
      <w:r>
        <w:rPr/>
        <w:t>But</w:t>
      </w:r>
      <w:r>
        <w:rPr>
          <w:spacing w:val="-2"/>
        </w:rPr>
        <w:t> </w:t>
      </w:r>
      <w:r>
        <w:rPr/>
        <w:t>this</w:t>
      </w:r>
      <w:r>
        <w:rPr>
          <w:spacing w:val="-2"/>
        </w:rPr>
        <w:t> </w:t>
      </w:r>
      <w:r>
        <w:rPr/>
        <w:t>is</w:t>
      </w:r>
      <w:r>
        <w:rPr>
          <w:spacing w:val="-2"/>
        </w:rPr>
        <w:t> </w:t>
      </w:r>
      <w:r>
        <w:rPr/>
        <w:t>not</w:t>
      </w:r>
      <w:r>
        <w:rPr>
          <w:spacing w:val="-2"/>
        </w:rPr>
        <w:t> </w:t>
      </w:r>
      <w:r>
        <w:rPr/>
        <w:t>generally</w:t>
      </w:r>
      <w:r>
        <w:rPr>
          <w:spacing w:val="-2"/>
        </w:rPr>
        <w:t> </w:t>
      </w:r>
      <w:r>
        <w:rPr/>
        <w:t>thought</w:t>
      </w:r>
      <w:r>
        <w:rPr>
          <w:spacing w:val="-2"/>
        </w:rPr>
        <w:t> </w:t>
      </w:r>
      <w:r>
        <w:rPr/>
        <w:t>to</w:t>
      </w:r>
      <w:r>
        <w:rPr>
          <w:spacing w:val="-2"/>
        </w:rPr>
        <w:t> </w:t>
      </w:r>
      <w:r>
        <w:rPr/>
        <w:t>be</w:t>
      </w:r>
      <w:r>
        <w:rPr>
          <w:spacing w:val="-2"/>
        </w:rPr>
        <w:t> </w:t>
      </w:r>
      <w:r>
        <w:rPr/>
        <w:t>the</w:t>
      </w:r>
      <w:r>
        <w:rPr>
          <w:spacing w:val="-2"/>
        </w:rPr>
        <w:t> </w:t>
      </w:r>
      <w:r>
        <w:rPr/>
        <w:t>result</w:t>
      </w:r>
      <w:r>
        <w:rPr>
          <w:spacing w:val="-2"/>
        </w:rPr>
        <w:t> </w:t>
      </w:r>
      <w:r>
        <w:rPr/>
        <w:t>of</w:t>
      </w:r>
      <w:r>
        <w:rPr>
          <w:spacing w:val="-2"/>
        </w:rPr>
        <w:t> </w:t>
      </w:r>
      <w:r>
        <w:rPr/>
        <w:t>the</w:t>
      </w:r>
      <w:r>
        <w:rPr>
          <w:spacing w:val="-2"/>
        </w:rPr>
        <w:t> </w:t>
      </w:r>
      <w:r>
        <w:rPr/>
        <w:t>1967</w:t>
      </w:r>
      <w:r>
        <w:rPr>
          <w:spacing w:val="-2"/>
        </w:rPr>
        <w:t> </w:t>
      </w:r>
      <w:r>
        <w:rPr/>
        <w:t>Act</w:t>
      </w:r>
      <w:r>
        <w:rPr>
          <w:spacing w:val="-2"/>
        </w:rPr>
        <w:t> </w:t>
      </w:r>
      <w:r>
        <w:rPr/>
        <w:t>(see Hudson (1969) 85 L.Q.R. 524); and in any event it is very unlikely that the court would exercise its jurisdiction to prevent an insurer rescinding on the ground of misrepresentation by the insured (see above, para.7-110).</w:t>
      </w:r>
    </w:p>
    <w:p>
      <w:pPr>
        <w:pStyle w:val="BodyText"/>
        <w:spacing w:before="2"/>
      </w:pPr>
    </w:p>
    <w:p>
      <w:pPr>
        <w:tabs>
          <w:tab w:pos="705" w:val="left" w:leader="none"/>
        </w:tabs>
        <w:spacing w:line="227" w:lineRule="exact" w:before="0"/>
        <w:ind w:left="165" w:right="0" w:firstLine="0"/>
        <w:jc w:val="left"/>
        <w:rPr>
          <w:rFonts w:ascii="Arial"/>
          <w:i/>
          <w:sz w:val="20"/>
        </w:rPr>
      </w:pPr>
      <w:bookmarkStart w:name="_bookmark1481" w:id="1483"/>
      <w:bookmarkEnd w:id="1483"/>
      <w:r>
        <w:rPr/>
      </w:r>
      <w:hyperlink w:history="true" w:anchor="_bookmark1427">
        <w:r>
          <w:rPr>
            <w:color w:val="005DA1"/>
            <w:spacing w:val="-4"/>
            <w:position w:val="5"/>
            <w:sz w:val="14"/>
            <w:u w:val="single" w:color="005DA1"/>
          </w:rPr>
          <w:t>778</w:t>
        </w:r>
      </w:hyperlink>
      <w:r>
        <w:rPr>
          <w:spacing w:val="-4"/>
          <w:position w:val="5"/>
          <w:sz w:val="14"/>
        </w:rPr>
        <w:t>.</w:t>
      </w:r>
      <w:r>
        <w:rPr>
          <w:position w:val="5"/>
          <w:sz w:val="14"/>
        </w:rPr>
        <w:tab/>
      </w:r>
      <w:r>
        <w:rPr>
          <w:rFonts w:ascii="Arial"/>
          <w:i/>
          <w:sz w:val="20"/>
        </w:rPr>
        <w:t>Anderson</w:t>
      </w:r>
      <w:r>
        <w:rPr>
          <w:rFonts w:ascii="Arial"/>
          <w:i/>
          <w:spacing w:val="1"/>
          <w:sz w:val="20"/>
        </w:rPr>
        <w:t> </w:t>
      </w:r>
      <w:r>
        <w:rPr>
          <w:rFonts w:ascii="Arial"/>
          <w:i/>
          <w:sz w:val="20"/>
        </w:rPr>
        <w:t>v</w:t>
      </w:r>
      <w:r>
        <w:rPr>
          <w:rFonts w:ascii="Arial"/>
          <w:i/>
          <w:spacing w:val="2"/>
          <w:sz w:val="20"/>
        </w:rPr>
        <w:t> </w:t>
      </w:r>
      <w:r>
        <w:rPr>
          <w:rFonts w:ascii="Arial"/>
          <w:i/>
          <w:sz w:val="20"/>
        </w:rPr>
        <w:t>Fitzgerald</w:t>
      </w:r>
      <w:r>
        <w:rPr>
          <w:rFonts w:ascii="Arial"/>
          <w:i/>
          <w:spacing w:val="2"/>
          <w:sz w:val="20"/>
        </w:rPr>
        <w:t> </w:t>
      </w:r>
      <w:r>
        <w:rPr>
          <w:rFonts w:ascii="Arial"/>
          <w:i/>
          <w:sz w:val="20"/>
        </w:rPr>
        <w:t>(1853)</w:t>
      </w:r>
      <w:r>
        <w:rPr>
          <w:rFonts w:ascii="Arial"/>
          <w:i/>
          <w:spacing w:val="2"/>
          <w:sz w:val="20"/>
        </w:rPr>
        <w:t> </w:t>
      </w:r>
      <w:r>
        <w:rPr>
          <w:rFonts w:ascii="Arial"/>
          <w:i/>
          <w:sz w:val="20"/>
        </w:rPr>
        <w:t>4</w:t>
      </w:r>
      <w:r>
        <w:rPr>
          <w:rFonts w:ascii="Arial"/>
          <w:i/>
          <w:spacing w:val="2"/>
          <w:sz w:val="20"/>
        </w:rPr>
        <w:t> </w:t>
      </w:r>
      <w:r>
        <w:rPr>
          <w:rFonts w:ascii="Arial"/>
          <w:i/>
          <w:sz w:val="20"/>
        </w:rPr>
        <w:t>H.L.C.</w:t>
      </w:r>
      <w:r>
        <w:rPr>
          <w:rFonts w:ascii="Arial"/>
          <w:i/>
          <w:spacing w:val="2"/>
          <w:sz w:val="20"/>
        </w:rPr>
        <w:t> </w:t>
      </w:r>
      <w:r>
        <w:rPr>
          <w:rFonts w:ascii="Arial"/>
          <w:i/>
          <w:sz w:val="20"/>
        </w:rPr>
        <w:t>484</w:t>
      </w:r>
      <w:r>
        <w:rPr>
          <w:sz w:val="20"/>
        </w:rPr>
        <w:t>;</w:t>
      </w:r>
      <w:r>
        <w:rPr>
          <w:spacing w:val="2"/>
          <w:sz w:val="20"/>
        </w:rPr>
        <w:t> </w:t>
      </w:r>
      <w:r>
        <w:rPr>
          <w:rFonts w:ascii="Arial"/>
          <w:i/>
          <w:sz w:val="20"/>
        </w:rPr>
        <w:t>Joel</w:t>
      </w:r>
      <w:r>
        <w:rPr>
          <w:rFonts w:ascii="Arial"/>
          <w:i/>
          <w:spacing w:val="2"/>
          <w:sz w:val="20"/>
        </w:rPr>
        <w:t> </w:t>
      </w:r>
      <w:r>
        <w:rPr>
          <w:rFonts w:ascii="Arial"/>
          <w:i/>
          <w:sz w:val="20"/>
        </w:rPr>
        <w:t>v</w:t>
      </w:r>
      <w:r>
        <w:rPr>
          <w:rFonts w:ascii="Arial"/>
          <w:i/>
          <w:spacing w:val="2"/>
          <w:sz w:val="20"/>
        </w:rPr>
        <w:t> </w:t>
      </w:r>
      <w:r>
        <w:rPr>
          <w:rFonts w:ascii="Arial"/>
          <w:i/>
          <w:sz w:val="20"/>
        </w:rPr>
        <w:t>Law</w:t>
      </w:r>
      <w:r>
        <w:rPr>
          <w:rFonts w:ascii="Arial"/>
          <w:i/>
          <w:spacing w:val="2"/>
          <w:sz w:val="20"/>
        </w:rPr>
        <w:t> </w:t>
      </w:r>
      <w:r>
        <w:rPr>
          <w:rFonts w:ascii="Arial"/>
          <w:i/>
          <w:sz w:val="20"/>
        </w:rPr>
        <w:t>Union</w:t>
      </w:r>
      <w:r>
        <w:rPr>
          <w:rFonts w:ascii="Arial"/>
          <w:i/>
          <w:spacing w:val="2"/>
          <w:sz w:val="20"/>
        </w:rPr>
        <w:t> </w:t>
      </w:r>
      <w:r>
        <w:rPr>
          <w:rFonts w:ascii="Arial"/>
          <w:i/>
          <w:sz w:val="20"/>
        </w:rPr>
        <w:t>and</w:t>
      </w:r>
      <w:r>
        <w:rPr>
          <w:rFonts w:ascii="Arial"/>
          <w:i/>
          <w:spacing w:val="2"/>
          <w:sz w:val="20"/>
        </w:rPr>
        <w:t> </w:t>
      </w:r>
      <w:r>
        <w:rPr>
          <w:rFonts w:ascii="Arial"/>
          <w:i/>
          <w:sz w:val="20"/>
        </w:rPr>
        <w:t>Crown</w:t>
      </w:r>
      <w:r>
        <w:rPr>
          <w:rFonts w:ascii="Arial"/>
          <w:i/>
          <w:spacing w:val="2"/>
          <w:sz w:val="20"/>
        </w:rPr>
        <w:t> </w:t>
      </w:r>
      <w:r>
        <w:rPr>
          <w:rFonts w:ascii="Arial"/>
          <w:i/>
          <w:sz w:val="20"/>
        </w:rPr>
        <w:t>Insurance</w:t>
      </w:r>
      <w:r>
        <w:rPr>
          <w:rFonts w:ascii="Arial"/>
          <w:i/>
          <w:spacing w:val="2"/>
          <w:sz w:val="20"/>
        </w:rPr>
        <w:t> </w:t>
      </w:r>
      <w:r>
        <w:rPr>
          <w:rFonts w:ascii="Arial"/>
          <w:i/>
          <w:sz w:val="20"/>
        </w:rPr>
        <w:t>Co</w:t>
      </w:r>
      <w:r>
        <w:rPr>
          <w:rFonts w:ascii="Arial"/>
          <w:i/>
          <w:spacing w:val="2"/>
          <w:sz w:val="20"/>
        </w:rPr>
        <w:t> </w:t>
      </w:r>
      <w:r>
        <w:rPr>
          <w:rFonts w:ascii="Arial"/>
          <w:i/>
          <w:sz w:val="20"/>
        </w:rPr>
        <w:t>[1908]</w:t>
      </w:r>
      <w:r>
        <w:rPr>
          <w:rFonts w:ascii="Arial"/>
          <w:i/>
          <w:spacing w:val="2"/>
          <w:sz w:val="20"/>
        </w:rPr>
        <w:t> </w:t>
      </w:r>
      <w:r>
        <w:rPr>
          <w:rFonts w:ascii="Arial"/>
          <w:i/>
          <w:spacing w:val="-10"/>
          <w:sz w:val="20"/>
        </w:rPr>
        <w:t>2</w:t>
      </w:r>
    </w:p>
    <w:p>
      <w:pPr>
        <w:spacing w:line="227" w:lineRule="exact" w:before="0"/>
        <w:ind w:left="705" w:right="0" w:firstLine="0"/>
        <w:jc w:val="left"/>
        <w:rPr>
          <w:sz w:val="20"/>
        </w:rPr>
      </w:pPr>
      <w:r>
        <w:rPr>
          <w:rFonts w:ascii="Arial"/>
          <w:i/>
          <w:sz w:val="20"/>
        </w:rPr>
        <w:t>K.B.</w:t>
      </w:r>
      <w:r>
        <w:rPr>
          <w:rFonts w:ascii="Arial"/>
          <w:i/>
          <w:spacing w:val="-1"/>
          <w:sz w:val="20"/>
        </w:rPr>
        <w:t> </w:t>
      </w:r>
      <w:r>
        <w:rPr>
          <w:rFonts w:ascii="Arial"/>
          <w:i/>
          <w:sz w:val="20"/>
        </w:rPr>
        <w:t>863</w:t>
      </w:r>
      <w:r>
        <w:rPr>
          <w:sz w:val="20"/>
        </w:rPr>
        <w:t>; </w:t>
      </w:r>
      <w:r>
        <w:rPr>
          <w:rFonts w:ascii="Arial"/>
          <w:i/>
          <w:sz w:val="20"/>
        </w:rPr>
        <w:t>Anstey v British National Premium Life Association Ltd (1908) 99 L.T. </w:t>
      </w:r>
      <w:r>
        <w:rPr>
          <w:rFonts w:ascii="Arial"/>
          <w:i/>
          <w:spacing w:val="-4"/>
          <w:sz w:val="20"/>
        </w:rPr>
        <w:t>765</w:t>
      </w:r>
      <w:r>
        <w:rPr>
          <w:spacing w:val="-4"/>
          <w:sz w:val="20"/>
        </w:rPr>
        <w:t>.</w:t>
      </w:r>
    </w:p>
    <w:p>
      <w:pPr>
        <w:pStyle w:val="BodyText"/>
        <w:spacing w:before="9"/>
      </w:pPr>
    </w:p>
    <w:p>
      <w:pPr>
        <w:spacing w:line="235" w:lineRule="auto" w:before="0"/>
        <w:ind w:left="705" w:right="168" w:hanging="541"/>
        <w:jc w:val="both"/>
        <w:rPr>
          <w:sz w:val="20"/>
        </w:rPr>
      </w:pPr>
      <w:bookmarkStart w:name="_bookmark1482" w:id="1484"/>
      <w:bookmarkEnd w:id="1484"/>
      <w:r>
        <w:rPr/>
      </w:r>
      <w:hyperlink w:history="true" w:anchor="_bookmark1428">
        <w:r>
          <w:rPr>
            <w:color w:val="005DA1"/>
            <w:position w:val="5"/>
            <w:sz w:val="14"/>
            <w:u w:val="single" w:color="005DA1"/>
          </w:rPr>
          <w:t>779</w:t>
        </w:r>
      </w:hyperlink>
      <w:r>
        <w:rPr>
          <w:position w:val="5"/>
          <w:sz w:val="14"/>
        </w:rPr>
        <w:t>.</w:t>
      </w:r>
      <w:r>
        <w:rPr>
          <w:spacing w:val="80"/>
          <w:position w:val="5"/>
          <w:sz w:val="14"/>
        </w:rPr>
        <w:t>  </w:t>
      </w:r>
      <w:r>
        <w:rPr>
          <w:rFonts w:ascii="Arial" w:hAnsi="Arial"/>
          <w:i/>
          <w:sz w:val="20"/>
        </w:rPr>
        <w:t>Newsholme Brothers v Road Transport and General Insurance Co Ltd [1929] 2 K.B. 356</w:t>
      </w:r>
      <w:r>
        <w:rPr>
          <w:sz w:val="20"/>
        </w:rPr>
        <w:t>; </w:t>
      </w:r>
      <w:r>
        <w:rPr>
          <w:rFonts w:ascii="Arial" w:hAnsi="Arial"/>
          <w:i/>
          <w:sz w:val="20"/>
        </w:rPr>
        <w:t>Facer v Vehicle &amp; General Insurance Co Ltd [1965] 1 Lloyd’s Rep. 113</w:t>
      </w:r>
      <w:r>
        <w:rPr>
          <w:sz w:val="20"/>
        </w:rPr>
        <w:t>. Contra, </w:t>
      </w:r>
      <w:r>
        <w:rPr>
          <w:rFonts w:ascii="Arial" w:hAnsi="Arial"/>
          <w:i/>
          <w:sz w:val="20"/>
        </w:rPr>
        <w:t>Bawden v London, Edinburgh and Glasgow Assurance Co Ltd [1892] 2 Q.B. 534</w:t>
      </w:r>
      <w:r>
        <w:rPr>
          <w:sz w:val="20"/>
        </w:rPr>
        <w:t>; this case was treated as virtually overruled by the </w:t>
      </w:r>
      <w:r>
        <w:rPr>
          <w:rFonts w:ascii="Arial" w:hAnsi="Arial"/>
          <w:i/>
          <w:sz w:val="20"/>
        </w:rPr>
        <w:t>Newsholme Bros </w:t>
      </w:r>
      <w:r>
        <w:rPr>
          <w:sz w:val="20"/>
        </w:rPr>
        <w:t>case in the </w:t>
      </w:r>
      <w:r>
        <w:rPr>
          <w:rFonts w:ascii="Arial" w:hAnsi="Arial"/>
          <w:i/>
          <w:sz w:val="20"/>
        </w:rPr>
        <w:t>Facer </w:t>
      </w:r>
      <w:r>
        <w:rPr>
          <w:sz w:val="20"/>
        </w:rPr>
        <w:t>case but now seems to have been rehabilitated</w:t>
      </w:r>
      <w:r>
        <w:rPr>
          <w:spacing w:val="-1"/>
          <w:sz w:val="20"/>
        </w:rPr>
        <w:t> </w:t>
      </w:r>
      <w:r>
        <w:rPr>
          <w:sz w:val="20"/>
        </w:rPr>
        <w:t>by</w:t>
      </w:r>
      <w:r>
        <w:rPr>
          <w:spacing w:val="-1"/>
          <w:sz w:val="20"/>
        </w:rPr>
        <w:t> </w:t>
      </w:r>
      <w:r>
        <w:rPr>
          <w:rFonts w:ascii="Arial" w:hAnsi="Arial"/>
          <w:i/>
          <w:sz w:val="20"/>
        </w:rPr>
        <w:t>Stone</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Reliance</w:t>
      </w:r>
      <w:r>
        <w:rPr>
          <w:rFonts w:ascii="Arial" w:hAnsi="Arial"/>
          <w:i/>
          <w:spacing w:val="-1"/>
          <w:sz w:val="20"/>
        </w:rPr>
        <w:t> </w:t>
      </w:r>
      <w:r>
        <w:rPr>
          <w:rFonts w:ascii="Arial" w:hAnsi="Arial"/>
          <w:i/>
          <w:sz w:val="20"/>
        </w:rPr>
        <w:t>Mutual</w:t>
      </w:r>
      <w:r>
        <w:rPr>
          <w:rFonts w:ascii="Arial" w:hAnsi="Arial"/>
          <w:i/>
          <w:spacing w:val="-1"/>
          <w:sz w:val="20"/>
        </w:rPr>
        <w:t> </w:t>
      </w:r>
      <w:r>
        <w:rPr>
          <w:rFonts w:ascii="Arial" w:hAnsi="Arial"/>
          <w:i/>
          <w:sz w:val="20"/>
        </w:rPr>
        <w:t>Insurance</w:t>
      </w:r>
      <w:r>
        <w:rPr>
          <w:rFonts w:ascii="Arial" w:hAnsi="Arial"/>
          <w:i/>
          <w:spacing w:val="-1"/>
          <w:sz w:val="20"/>
        </w:rPr>
        <w:t> </w:t>
      </w:r>
      <w:r>
        <w:rPr>
          <w:rFonts w:ascii="Arial" w:hAnsi="Arial"/>
          <w:i/>
          <w:sz w:val="20"/>
        </w:rPr>
        <w:t>Society</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[1972]</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469</w:t>
      </w:r>
      <w:r>
        <w:rPr>
          <w:sz w:val="20"/>
        </w:rPr>
        <w:t>.</w:t>
      </w:r>
      <w:r>
        <w:rPr>
          <w:spacing w:val="-1"/>
          <w:sz w:val="20"/>
        </w:rPr>
        <w:t> </w:t>
      </w:r>
      <w:r>
        <w:rPr>
          <w:sz w:val="20"/>
        </w:rPr>
        <w:t>Such a clause might well be caught by Unfair Terms in Consumer Contracts Regulations 1999.</w:t>
      </w:r>
    </w:p>
    <w:p>
      <w:pPr>
        <w:pStyle w:val="BodyText"/>
        <w:spacing w:before="8"/>
      </w:pPr>
    </w:p>
    <w:p>
      <w:pPr>
        <w:tabs>
          <w:tab w:pos="705" w:val="left" w:leader="none"/>
        </w:tabs>
        <w:spacing w:line="235" w:lineRule="auto" w:before="0"/>
        <w:ind w:left="705" w:right="168" w:hanging="541"/>
        <w:jc w:val="left"/>
        <w:rPr>
          <w:sz w:val="20"/>
        </w:rPr>
      </w:pPr>
      <w:bookmarkStart w:name="_bookmark1483" w:id="1485"/>
      <w:bookmarkEnd w:id="1485"/>
      <w:r>
        <w:rPr/>
      </w:r>
      <w:hyperlink w:history="true" w:anchor="_bookmark1429">
        <w:r>
          <w:rPr>
            <w:color w:val="005DA1"/>
            <w:spacing w:val="-4"/>
            <w:position w:val="5"/>
            <w:sz w:val="14"/>
            <w:u w:val="single" w:color="005DA1"/>
          </w:rPr>
          <w:t>780</w:t>
        </w:r>
      </w:hyperlink>
      <w:r>
        <w:rPr>
          <w:spacing w:val="-4"/>
          <w:position w:val="5"/>
          <w:sz w:val="14"/>
        </w:rPr>
        <w:t>.</w:t>
      </w:r>
      <w:r>
        <w:rPr>
          <w:position w:val="5"/>
          <w:sz w:val="14"/>
        </w:rPr>
        <w:tab/>
      </w:r>
      <w:r>
        <w:rPr>
          <w:rFonts w:ascii="Arial" w:hAnsi="Arial"/>
          <w:i/>
          <w:sz w:val="20"/>
        </w:rPr>
        <w:t>Stone</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Reliance</w:t>
      </w:r>
      <w:r>
        <w:rPr>
          <w:rFonts w:ascii="Arial" w:hAnsi="Arial"/>
          <w:i/>
          <w:spacing w:val="27"/>
          <w:sz w:val="20"/>
        </w:rPr>
        <w:t> </w:t>
      </w:r>
      <w:r>
        <w:rPr>
          <w:rFonts w:ascii="Arial" w:hAnsi="Arial"/>
          <w:i/>
          <w:sz w:val="20"/>
        </w:rPr>
        <w:t>Mutual</w:t>
      </w:r>
      <w:r>
        <w:rPr>
          <w:rFonts w:ascii="Arial" w:hAnsi="Arial"/>
          <w:i/>
          <w:spacing w:val="27"/>
          <w:sz w:val="20"/>
        </w:rPr>
        <w:t> </w:t>
      </w:r>
      <w:r>
        <w:rPr>
          <w:rFonts w:ascii="Arial" w:hAnsi="Arial"/>
          <w:i/>
          <w:sz w:val="20"/>
        </w:rPr>
        <w:t>Insurance</w:t>
      </w:r>
      <w:r>
        <w:rPr>
          <w:rFonts w:ascii="Arial" w:hAnsi="Arial"/>
          <w:i/>
          <w:spacing w:val="27"/>
          <w:sz w:val="20"/>
        </w:rPr>
        <w:t> </w:t>
      </w:r>
      <w:r>
        <w:rPr>
          <w:rFonts w:ascii="Arial" w:hAnsi="Arial"/>
          <w:i/>
          <w:sz w:val="20"/>
        </w:rPr>
        <w:t>Society</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[1972]</w:t>
      </w:r>
      <w:r>
        <w:rPr>
          <w:rFonts w:ascii="Arial" w:hAnsi="Arial"/>
          <w:i/>
          <w:spacing w:val="27"/>
          <w:sz w:val="20"/>
        </w:rPr>
        <w:t> </w:t>
      </w:r>
      <w:r>
        <w:rPr>
          <w:rFonts w:ascii="Arial" w:hAnsi="Arial"/>
          <w:i/>
          <w:sz w:val="20"/>
        </w:rPr>
        <w:t>1</w:t>
      </w:r>
      <w:r>
        <w:rPr>
          <w:rFonts w:ascii="Arial" w:hAnsi="Arial"/>
          <w:i/>
          <w:spacing w:val="27"/>
          <w:sz w:val="20"/>
        </w:rPr>
        <w:t> </w:t>
      </w:r>
      <w:r>
        <w:rPr>
          <w:rFonts w:ascii="Arial" w:hAnsi="Arial"/>
          <w:i/>
          <w:sz w:val="20"/>
        </w:rPr>
        <w:t>Lloyd’s</w:t>
      </w:r>
      <w:r>
        <w:rPr>
          <w:rFonts w:ascii="Arial" w:hAnsi="Arial"/>
          <w:i/>
          <w:spacing w:val="27"/>
          <w:sz w:val="20"/>
        </w:rPr>
        <w:t> </w:t>
      </w:r>
      <w:r>
        <w:rPr>
          <w:rFonts w:ascii="Arial" w:hAnsi="Arial"/>
          <w:i/>
          <w:sz w:val="20"/>
        </w:rPr>
        <w:t>Rep.</w:t>
      </w:r>
      <w:r>
        <w:rPr>
          <w:rFonts w:ascii="Arial" w:hAnsi="Arial"/>
          <w:i/>
          <w:spacing w:val="27"/>
          <w:sz w:val="20"/>
        </w:rPr>
        <w:t> </w:t>
      </w:r>
      <w:r>
        <w:rPr>
          <w:rFonts w:ascii="Arial" w:hAnsi="Arial"/>
          <w:i/>
          <w:sz w:val="20"/>
        </w:rPr>
        <w:t>469</w:t>
      </w:r>
      <w:r>
        <w:rPr>
          <w:sz w:val="20"/>
        </w:rPr>
        <w:t>;</w:t>
      </w:r>
      <w:r>
        <w:rPr>
          <w:spacing w:val="27"/>
          <w:sz w:val="20"/>
        </w:rPr>
        <w:t> </w:t>
      </w:r>
      <w:r>
        <w:rPr>
          <w:sz w:val="20"/>
        </w:rPr>
        <w:t>see</w:t>
      </w:r>
      <w:r>
        <w:rPr>
          <w:spacing w:val="27"/>
          <w:sz w:val="20"/>
        </w:rPr>
        <w:t> </w:t>
      </w:r>
      <w:r>
        <w:rPr>
          <w:sz w:val="20"/>
        </w:rPr>
        <w:t>also</w:t>
      </w:r>
      <w:r>
        <w:rPr>
          <w:spacing w:val="27"/>
          <w:sz w:val="20"/>
        </w:rPr>
        <w:t> </w:t>
      </w:r>
      <w:r>
        <w:rPr>
          <w:rFonts w:ascii="Arial" w:hAnsi="Arial"/>
          <w:i/>
          <w:sz w:val="20"/>
        </w:rPr>
        <w:t>Maye</w:t>
      </w:r>
      <w:r>
        <w:rPr>
          <w:rFonts w:ascii="Arial" w:hAnsi="Arial"/>
          <w:i/>
          <w:spacing w:val="27"/>
          <w:sz w:val="20"/>
        </w:rPr>
        <w:t> </w:t>
      </w:r>
      <w:r>
        <w:rPr>
          <w:rFonts w:ascii="Arial" w:hAnsi="Arial"/>
          <w:i/>
          <w:sz w:val="20"/>
        </w:rPr>
        <w:t>v Colonial Mutual Life Assurance Society Ltd (1924) 35 C.L.R. 14</w:t>
      </w:r>
      <w:r>
        <w:rPr>
          <w:sz w:val="20"/>
        </w:rPr>
        <w:t>.</w:t>
      </w:r>
    </w:p>
    <w:p>
      <w:pPr>
        <w:pStyle w:val="BodyText"/>
        <w:spacing w:before="9"/>
      </w:pPr>
    </w:p>
    <w:p>
      <w:pPr>
        <w:pStyle w:val="BodyText"/>
        <w:spacing w:line="235" w:lineRule="auto"/>
        <w:ind w:left="705" w:right="167" w:hanging="541"/>
        <w:jc w:val="both"/>
      </w:pPr>
      <w:bookmarkStart w:name="_bookmark1484" w:id="1486"/>
      <w:bookmarkEnd w:id="1486"/>
      <w:r>
        <w:rPr/>
      </w:r>
      <w:hyperlink w:history="true" w:anchor="_bookmark1430">
        <w:r>
          <w:rPr>
            <w:color w:val="005DA1"/>
            <w:position w:val="5"/>
            <w:sz w:val="14"/>
            <w:u w:val="single" w:color="005DA1"/>
          </w:rPr>
          <w:t>781</w:t>
        </w:r>
      </w:hyperlink>
      <w:r>
        <w:rPr>
          <w:position w:val="5"/>
          <w:sz w:val="14"/>
        </w:rPr>
        <w:t>.</w:t>
      </w:r>
      <w:r>
        <w:rPr>
          <w:spacing w:val="80"/>
          <w:position w:val="5"/>
          <w:sz w:val="14"/>
        </w:rPr>
        <w:t>  </w:t>
      </w:r>
      <w:r>
        <w:rPr/>
        <w:t>Consumer Insurance (Disclosure and Representations) Act 2012 s.6. Again, the practical </w:t>
      </w:r>
      <w:r>
        <w:rPr/>
        <w:t>effect of such warranties had been severely restricted in cases of consumer insurance by the FSA Regulations</w:t>
      </w:r>
      <w:r>
        <w:rPr>
          <w:spacing w:val="-2"/>
        </w:rPr>
        <w:t> </w:t>
      </w:r>
      <w:r>
        <w:rPr/>
        <w:t>and</w:t>
      </w:r>
      <w:r>
        <w:rPr>
          <w:spacing w:val="-2"/>
        </w:rPr>
        <w:t> </w:t>
      </w:r>
      <w:r>
        <w:rPr/>
        <w:t>the</w:t>
      </w:r>
      <w:r>
        <w:rPr>
          <w:spacing w:val="-2"/>
        </w:rPr>
        <w:t> </w:t>
      </w:r>
      <w:r>
        <w:rPr/>
        <w:t>requirements</w:t>
      </w:r>
      <w:r>
        <w:rPr>
          <w:spacing w:val="-2"/>
        </w:rPr>
        <w:t> </w:t>
      </w:r>
      <w:r>
        <w:rPr/>
        <w:t>of</w:t>
      </w:r>
      <w:r>
        <w:rPr>
          <w:spacing w:val="-2"/>
        </w:rPr>
        <w:t> </w:t>
      </w:r>
      <w:r>
        <w:rPr/>
        <w:t>the</w:t>
      </w:r>
      <w:r>
        <w:rPr>
          <w:spacing w:val="-2"/>
        </w:rPr>
        <w:t> </w:t>
      </w:r>
      <w:r>
        <w:rPr/>
        <w:t>Financial</w:t>
      </w:r>
      <w:r>
        <w:rPr>
          <w:spacing w:val="-2"/>
        </w:rPr>
        <w:t> </w:t>
      </w:r>
      <w:r>
        <w:rPr/>
        <w:t>Ombudsman</w:t>
      </w:r>
      <w:r>
        <w:rPr>
          <w:spacing w:val="-2"/>
        </w:rPr>
        <w:t> </w:t>
      </w:r>
      <w:r>
        <w:rPr/>
        <w:t>Service:</w:t>
      </w:r>
      <w:r>
        <w:rPr>
          <w:spacing w:val="-2"/>
        </w:rPr>
        <w:t> </w:t>
      </w:r>
      <w:r>
        <w:rPr/>
        <w:t>see</w:t>
      </w:r>
      <w:r>
        <w:rPr>
          <w:spacing w:val="-2"/>
        </w:rPr>
        <w:t> </w:t>
      </w:r>
      <w:r>
        <w:rPr/>
        <w:t>above,</w:t>
      </w:r>
      <w:r>
        <w:rPr>
          <w:spacing w:val="-2"/>
        </w:rPr>
        <w:t> </w:t>
      </w:r>
      <w:r>
        <w:rPr/>
        <w:t>para.7-157 </w:t>
      </w:r>
      <w:r>
        <w:rPr>
          <w:spacing w:val="-2"/>
        </w:rPr>
        <w:t>n.713.</w:t>
      </w:r>
    </w:p>
    <w:p>
      <w:pPr>
        <w:pStyle w:val="BodyText"/>
        <w:spacing w:before="9"/>
      </w:pPr>
    </w:p>
    <w:p>
      <w:pPr>
        <w:pStyle w:val="BodyText"/>
        <w:tabs>
          <w:tab w:pos="705" w:val="left" w:leader="none"/>
        </w:tabs>
        <w:spacing w:line="235" w:lineRule="auto"/>
        <w:ind w:left="705" w:right="168" w:hanging="541"/>
      </w:pPr>
      <w:bookmarkStart w:name="_bookmark1485" w:id="1487"/>
      <w:bookmarkEnd w:id="1487"/>
      <w:r>
        <w:rPr/>
      </w:r>
      <w:hyperlink w:history="true" w:anchor="_bookmark1430">
        <w:r>
          <w:rPr>
            <w:color w:val="005DA1"/>
            <w:spacing w:val="-4"/>
            <w:position w:val="5"/>
            <w:sz w:val="14"/>
            <w:u w:val="single" w:color="005DA1"/>
          </w:rPr>
          <w:t>782</w:t>
        </w:r>
      </w:hyperlink>
      <w:r>
        <w:rPr>
          <w:spacing w:val="-4"/>
          <w:position w:val="5"/>
          <w:sz w:val="14"/>
        </w:rPr>
        <w:t>.</w:t>
      </w:r>
      <w:r>
        <w:rPr>
          <w:position w:val="5"/>
          <w:sz w:val="14"/>
        </w:rPr>
        <w:tab/>
      </w:r>
      <w:r>
        <w:rPr/>
        <w:t>Insurance Act 2015 s.9(2). Section 10 alters the remedies for breach of warranty for all types </w:t>
      </w:r>
      <w:r>
        <w:rPr/>
        <w:t>of insurance (see below, Vol.II, para.42-089).</w:t>
      </w:r>
    </w:p>
    <w:p>
      <w:pPr>
        <w:pStyle w:val="BodyText"/>
        <w:spacing w:before="5"/>
      </w:pPr>
    </w:p>
    <w:p>
      <w:pPr>
        <w:tabs>
          <w:tab w:pos="705" w:val="left" w:leader="none"/>
        </w:tabs>
        <w:spacing w:before="0"/>
        <w:ind w:left="165" w:right="0" w:firstLine="0"/>
        <w:jc w:val="left"/>
        <w:rPr>
          <w:sz w:val="20"/>
        </w:rPr>
      </w:pPr>
      <w:bookmarkStart w:name="_bookmark1486" w:id="1488"/>
      <w:bookmarkEnd w:id="1488"/>
      <w:r>
        <w:rPr/>
      </w:r>
      <w:hyperlink w:history="true" w:anchor="_bookmark1431">
        <w:r>
          <w:rPr>
            <w:color w:val="005DA1"/>
            <w:spacing w:val="-4"/>
            <w:position w:val="5"/>
            <w:sz w:val="14"/>
            <w:u w:val="single" w:color="005DA1"/>
          </w:rPr>
          <w:t>783</w:t>
        </w:r>
      </w:hyperlink>
      <w:r>
        <w:rPr>
          <w:spacing w:val="-4"/>
          <w:position w:val="5"/>
          <w:sz w:val="14"/>
        </w:rPr>
        <w:t>.</w:t>
      </w:r>
      <w:r>
        <w:rPr>
          <w:position w:val="5"/>
          <w:sz w:val="14"/>
        </w:rPr>
        <w:tab/>
      </w:r>
      <w:r>
        <w:rPr>
          <w:rFonts w:ascii="Arial"/>
          <w:i/>
          <w:sz w:val="20"/>
        </w:rPr>
        <w:t>Glicksman v Lancashire and General Assurance Co [1925] 2 K.B. 593, [1927] A.C. </w:t>
      </w:r>
      <w:r>
        <w:rPr>
          <w:rFonts w:ascii="Arial"/>
          <w:i/>
          <w:spacing w:val="-4"/>
          <w:sz w:val="20"/>
        </w:rPr>
        <w:t>139</w:t>
      </w:r>
      <w:r>
        <w:rPr>
          <w:spacing w:val="-4"/>
          <w:sz w:val="20"/>
        </w:rPr>
        <w:t>.</w:t>
      </w:r>
    </w:p>
    <w:p>
      <w:pPr>
        <w:pStyle w:val="BodyText"/>
        <w:spacing w:before="5"/>
      </w:pPr>
    </w:p>
    <w:p>
      <w:pPr>
        <w:pStyle w:val="BodyText"/>
        <w:tabs>
          <w:tab w:pos="705" w:val="left" w:leader="none"/>
        </w:tabs>
        <w:ind w:left="165"/>
      </w:pPr>
      <w:bookmarkStart w:name="_bookmark1487" w:id="1489"/>
      <w:bookmarkEnd w:id="1489"/>
      <w:r>
        <w:rPr/>
      </w:r>
      <w:hyperlink w:history="true" w:anchor="_bookmark1432">
        <w:r>
          <w:rPr>
            <w:color w:val="005DA1"/>
            <w:spacing w:val="-4"/>
            <w:position w:val="5"/>
            <w:sz w:val="14"/>
            <w:u w:val="single" w:color="005DA1"/>
          </w:rPr>
          <w:t>784</w:t>
        </w:r>
      </w:hyperlink>
      <w:r>
        <w:rPr>
          <w:spacing w:val="-4"/>
          <w:position w:val="5"/>
          <w:sz w:val="14"/>
        </w:rPr>
        <w:t>.</w:t>
      </w:r>
      <w:r>
        <w:rPr>
          <w:position w:val="5"/>
          <w:sz w:val="14"/>
        </w:rPr>
        <w:tab/>
      </w:r>
      <w:r>
        <w:rPr/>
        <w:t>Consumer Insurance (Disclosure and Representations) Act 2012 </w:t>
      </w:r>
      <w:r>
        <w:rPr>
          <w:spacing w:val="-2"/>
        </w:rPr>
        <w:t>s.2(2)</w:t>
      </w:r>
    </w:p>
    <w:p>
      <w:pPr>
        <w:pStyle w:val="BodyText"/>
        <w:spacing w:before="5"/>
      </w:pPr>
    </w:p>
    <w:p>
      <w:pPr>
        <w:pStyle w:val="BodyText"/>
        <w:tabs>
          <w:tab w:pos="705" w:val="left" w:leader="none"/>
        </w:tabs>
        <w:ind w:left="165"/>
      </w:pPr>
      <w:bookmarkStart w:name="_bookmark1488" w:id="1490"/>
      <w:bookmarkEnd w:id="1490"/>
      <w:r>
        <w:rPr/>
      </w:r>
      <w:hyperlink w:history="true" w:anchor="_bookmark1433">
        <w:r>
          <w:rPr>
            <w:color w:val="005DA1"/>
            <w:spacing w:val="-4"/>
            <w:position w:val="5"/>
            <w:sz w:val="14"/>
            <w:u w:val="single" w:color="005DA1"/>
          </w:rPr>
          <w:t>785</w:t>
        </w:r>
      </w:hyperlink>
      <w:r>
        <w:rPr>
          <w:spacing w:val="-4"/>
          <w:position w:val="5"/>
          <w:sz w:val="14"/>
        </w:rPr>
        <w:t>.</w:t>
      </w:r>
      <w:r>
        <w:rPr>
          <w:position w:val="5"/>
          <w:sz w:val="14"/>
        </w:rPr>
        <w:tab/>
      </w:r>
      <w:r>
        <w:rPr/>
        <w:t>Insurance</w:t>
      </w:r>
      <w:r>
        <w:rPr>
          <w:spacing w:val="-2"/>
        </w:rPr>
        <w:t> </w:t>
      </w:r>
      <w:r>
        <w:rPr/>
        <w:t>Act 2015 </w:t>
      </w:r>
      <w:r>
        <w:rPr>
          <w:spacing w:val="-4"/>
        </w:rPr>
        <w:t>s.2.</w:t>
      </w:r>
    </w:p>
    <w:p>
      <w:pPr>
        <w:pStyle w:val="BodyText"/>
        <w:spacing w:before="9"/>
      </w:pPr>
    </w:p>
    <w:p>
      <w:pPr>
        <w:pStyle w:val="BodyText"/>
        <w:spacing w:line="235" w:lineRule="auto"/>
        <w:ind w:left="705" w:right="167" w:hanging="541"/>
        <w:jc w:val="both"/>
      </w:pPr>
      <w:bookmarkStart w:name="_bookmark1489" w:id="1491"/>
      <w:bookmarkEnd w:id="1491"/>
      <w:r>
        <w:rPr/>
      </w:r>
      <w:hyperlink w:history="true" w:anchor="_bookmark1434">
        <w:r>
          <w:rPr>
            <w:color w:val="005DA1"/>
            <w:position w:val="5"/>
            <w:sz w:val="14"/>
            <w:u w:val="single" w:color="005DA1"/>
          </w:rPr>
          <w:t>786</w:t>
        </w:r>
      </w:hyperlink>
      <w:r>
        <w:rPr>
          <w:position w:val="5"/>
          <w:sz w:val="14"/>
        </w:rPr>
        <w:t>.</w:t>
      </w:r>
      <w:r>
        <w:rPr>
          <w:spacing w:val="80"/>
          <w:position w:val="5"/>
          <w:sz w:val="14"/>
        </w:rPr>
        <w:t> </w:t>
      </w:r>
      <w:r>
        <w:rPr/>
        <w:t>Consumer Insurance (Disclosure and Representations) Act 2012 s.5(4); Insurance Act </w:t>
      </w:r>
      <w:r>
        <w:rPr/>
        <w:t>2015 s.8(4). If the breach was careless or reckless, the insurer may have remedies that are not otherwise available: see above, para.7-165.</w:t>
      </w:r>
    </w:p>
    <w:p>
      <w:pPr>
        <w:pStyle w:val="BodyText"/>
        <w:spacing w:before="9"/>
      </w:pPr>
    </w:p>
    <w:p>
      <w:pPr>
        <w:spacing w:line="235" w:lineRule="auto" w:before="0"/>
        <w:ind w:left="705" w:right="168" w:hanging="541"/>
        <w:jc w:val="both"/>
        <w:rPr>
          <w:sz w:val="20"/>
        </w:rPr>
      </w:pPr>
      <w:bookmarkStart w:name="_bookmark1490" w:id="1492"/>
      <w:bookmarkEnd w:id="1492"/>
      <w:r>
        <w:rPr/>
      </w:r>
      <w:hyperlink w:history="true" w:anchor="_bookmark1435">
        <w:r>
          <w:rPr>
            <w:color w:val="005DA1"/>
            <w:position w:val="5"/>
            <w:sz w:val="14"/>
            <w:u w:val="single" w:color="005DA1"/>
          </w:rPr>
          <w:t>787</w:t>
        </w:r>
      </w:hyperlink>
      <w:r>
        <w:rPr>
          <w:position w:val="5"/>
          <w:sz w:val="14"/>
        </w:rPr>
        <w:t>.</w:t>
      </w:r>
      <w:r>
        <w:rPr>
          <w:spacing w:val="80"/>
          <w:position w:val="5"/>
          <w:sz w:val="14"/>
        </w:rPr>
        <w:t>  </w:t>
      </w:r>
      <w:r>
        <w:rPr>
          <w:rFonts w:ascii="Arial"/>
          <w:i/>
          <w:sz w:val="20"/>
        </w:rPr>
        <w:t>Allis Chalmers Co v Maryland Fidelity and Deposit Co (1916) 114 L.T. 433</w:t>
      </w:r>
      <w:r>
        <w:rPr>
          <w:sz w:val="20"/>
        </w:rPr>
        <w:t>; </w:t>
      </w:r>
      <w:r>
        <w:rPr>
          <w:rFonts w:ascii="Arial"/>
          <w:i/>
          <w:sz w:val="20"/>
        </w:rPr>
        <w:t>Looker v Law Union and Rock Insurance Co [1928] 1 K.B. 554</w:t>
      </w:r>
      <w:r>
        <w:rPr>
          <w:sz w:val="20"/>
        </w:rPr>
        <w:t>; cf. </w:t>
      </w:r>
      <w:r>
        <w:rPr>
          <w:rFonts w:ascii="Arial"/>
          <w:i/>
          <w:sz w:val="20"/>
        </w:rPr>
        <w:t>Blackley v National Mutual Life Association </w:t>
      </w:r>
      <w:r>
        <w:rPr>
          <w:rFonts w:ascii="Arial"/>
          <w:i/>
          <w:sz w:val="20"/>
        </w:rPr>
        <w:t>of Australasia Ltd [1972] N.Z.L.R. 1038</w:t>
      </w:r>
      <w:r>
        <w:rPr>
          <w:sz w:val="20"/>
        </w:rPr>
        <w:t>. See Vol.II, para.42-037.</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539" w:right="2543"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3927040">
                <wp:simplePos x="0" y="0"/>
                <wp:positionH relativeFrom="page">
                  <wp:posOffset>4851958</wp:posOffset>
                </wp:positionH>
                <wp:positionV relativeFrom="paragraph">
                  <wp:posOffset>377436</wp:posOffset>
                </wp:positionV>
                <wp:extent cx="42545" cy="127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389440" from="382.044006pt,29.719406pt" to="385.380006pt,29.719406pt" stroked="true" strokeweight=".428pt" strokecolor="#005da1">
                <v:stroke dashstyle="solid"/>
                <w10:wrap type="none"/>
              </v:line>
            </w:pict>
          </mc:Fallback>
        </mc:AlternateContent>
      </w:r>
      <w:r>
        <w:rPr>
          <w:rFonts w:ascii="Arial"/>
          <w:b/>
          <w:sz w:val="24"/>
        </w:rPr>
        <w:t>Part 2 - Formation of Contract Chapter 7 - Misrepresentation</w:t>
      </w:r>
      <w:r>
        <w:rPr>
          <w:rFonts w:ascii="Arial"/>
          <w:b/>
          <w:spacing w:val="-1"/>
          <w:sz w:val="24"/>
        </w:rPr>
        <w:t> </w:t>
      </w:r>
      <w:r>
        <w:rPr>
          <w:rFonts w:ascii="Arial"/>
          <w:b/>
          <w:color w:val="005DA1"/>
          <w:spacing w:val="-10"/>
          <w:position w:val="11"/>
          <w:sz w:val="12"/>
        </w:rPr>
        <w:t>1</w:t>
      </w:r>
    </w:p>
    <w:p>
      <w:pPr>
        <w:spacing w:before="2"/>
        <w:ind w:left="940" w:right="943" w:firstLine="0"/>
        <w:jc w:val="center"/>
        <w:rPr>
          <w:rFonts w:ascii="Arial"/>
          <w:b/>
          <w:sz w:val="24"/>
        </w:rPr>
      </w:pPr>
      <w:r>
        <w:rPr>
          <w:rFonts w:ascii="Arial"/>
          <w:b/>
          <w:sz w:val="24"/>
        </w:rPr>
        <w:t>Section 6. - Contracts where a duty of </w:t>
      </w:r>
      <w:r>
        <w:rPr>
          <w:rFonts w:ascii="Arial"/>
          <w:b/>
          <w:spacing w:val="-2"/>
          <w:sz w:val="24"/>
        </w:rPr>
        <w:t>disclosure</w:t>
      </w:r>
    </w:p>
    <w:p>
      <w:pPr>
        <w:spacing w:before="194"/>
        <w:ind w:left="2178" w:right="0" w:firstLine="0"/>
        <w:jc w:val="left"/>
        <w:rPr>
          <w:rFonts w:ascii="Arial"/>
          <w:b/>
          <w:sz w:val="24"/>
        </w:rPr>
      </w:pPr>
      <w:r>
        <w:rPr>
          <w:rFonts w:ascii="Arial"/>
          <w:b/>
          <w:sz w:val="24"/>
        </w:rPr>
        <w:t>(b) - Contracts to take Shares in </w:t>
      </w:r>
      <w:r>
        <w:rPr>
          <w:rFonts w:ascii="Arial"/>
          <w:b/>
          <w:spacing w:val="-2"/>
          <w:sz w:val="24"/>
        </w:rPr>
        <w:t>Companies</w:t>
      </w:r>
    </w:p>
    <w:p>
      <w:pPr>
        <w:pStyle w:val="BodyText"/>
        <w:rPr>
          <w:rFonts w:ascii="Arial"/>
          <w:b/>
          <w:sz w:val="18"/>
        </w:rPr>
      </w:pPr>
    </w:p>
    <w:p>
      <w:pPr>
        <w:pStyle w:val="BodyText"/>
        <w:rPr>
          <w:rFonts w:ascii="Arial"/>
          <w:b/>
          <w:sz w:val="18"/>
        </w:rPr>
      </w:pPr>
    </w:p>
    <w:p>
      <w:pPr>
        <w:pStyle w:val="BodyText"/>
        <w:spacing w:before="20"/>
        <w:rPr>
          <w:rFonts w:ascii="Arial"/>
          <w:b/>
          <w:sz w:val="18"/>
        </w:rPr>
      </w:pPr>
    </w:p>
    <w:p>
      <w:pPr>
        <w:spacing w:before="0"/>
        <w:ind w:left="164" w:right="0" w:firstLine="0"/>
        <w:jc w:val="left"/>
        <w:rPr>
          <w:rFonts w:ascii="Arial"/>
          <w:b/>
          <w:sz w:val="18"/>
        </w:rPr>
      </w:pPr>
      <w:r>
        <w:rPr>
          <w:rFonts w:ascii="Arial"/>
          <w:b/>
          <w:spacing w:val="-2"/>
          <w:sz w:val="18"/>
        </w:rPr>
        <w:t>Companies</w:t>
      </w:r>
    </w:p>
    <w:p>
      <w:pPr>
        <w:pStyle w:val="BodyText"/>
        <w:spacing w:before="41"/>
        <w:rPr>
          <w:rFonts w:ascii="Arial"/>
          <w:b/>
          <w:sz w:val="18"/>
        </w:rPr>
      </w:pPr>
    </w:p>
    <w:p>
      <w:pPr>
        <w:pStyle w:val="Heading2"/>
        <w:ind w:left="164"/>
      </w:pPr>
      <w:r>
        <w:rPr/>
        <w:t>7-</w:t>
      </w:r>
      <w:r>
        <w:rPr>
          <w:spacing w:val="-5"/>
        </w:rPr>
        <w:t>169</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265" name="Image 265"/>
            <wp:cNvGraphicFramePr>
              <a:graphicFrameLocks/>
            </wp:cNvGraphicFramePr>
            <a:graphic>
              <a:graphicData uri="http://schemas.openxmlformats.org/drawingml/2006/picture">
                <pic:pic>
                  <pic:nvPicPr>
                    <pic:cNvPr id="265" name="Image 26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Contracts to take shares in companies might be classified as uberrimae fidei because again the knowledge of the material facts lies with one party alone, namely, the promoters, directors and </w:t>
      </w:r>
      <w:r>
        <w:rPr/>
        <w:t>others responsible</w:t>
      </w:r>
      <w:r>
        <w:rPr>
          <w:spacing w:val="-1"/>
        </w:rPr>
        <w:t> </w:t>
      </w:r>
      <w:r>
        <w:rPr/>
        <w:t>for</w:t>
      </w:r>
      <w:r>
        <w:rPr>
          <w:spacing w:val="-1"/>
        </w:rPr>
        <w:t> </w:t>
      </w:r>
      <w:r>
        <w:rPr/>
        <w:t>the</w:t>
      </w:r>
      <w:r>
        <w:rPr>
          <w:spacing w:val="-1"/>
        </w:rPr>
        <w:t> </w:t>
      </w:r>
      <w:r>
        <w:rPr/>
        <w:t>issue</w:t>
      </w:r>
      <w:r>
        <w:rPr>
          <w:spacing w:val="-1"/>
        </w:rPr>
        <w:t> </w:t>
      </w:r>
      <w:r>
        <w:rPr/>
        <w:t>of</w:t>
      </w:r>
      <w:r>
        <w:rPr>
          <w:spacing w:val="-1"/>
        </w:rPr>
        <w:t> </w:t>
      </w:r>
      <w:r>
        <w:rPr/>
        <w:t>the</w:t>
      </w:r>
      <w:r>
        <w:rPr>
          <w:spacing w:val="-1"/>
        </w:rPr>
        <w:t> </w:t>
      </w:r>
      <w:r>
        <w:rPr/>
        <w:t>prospectus.</w:t>
      </w:r>
      <w:r>
        <w:rPr>
          <w:spacing w:val="-1"/>
        </w:rPr>
        <w:t> </w:t>
      </w:r>
      <w:r>
        <w:rPr/>
        <w:t>It</w:t>
      </w:r>
      <w:r>
        <w:rPr>
          <w:spacing w:val="-1"/>
        </w:rPr>
        <w:t> </w:t>
      </w:r>
      <w:r>
        <w:rPr/>
        <w:t>was</w:t>
      </w:r>
      <w:r>
        <w:rPr>
          <w:spacing w:val="-1"/>
        </w:rPr>
        <w:t> </w:t>
      </w:r>
      <w:r>
        <w:rPr/>
        <w:t>long</w:t>
      </w:r>
      <w:r>
        <w:rPr>
          <w:spacing w:val="-1"/>
        </w:rPr>
        <w:t> </w:t>
      </w:r>
      <w:r>
        <w:rPr/>
        <w:t>ago</w:t>
      </w:r>
      <w:r>
        <w:rPr>
          <w:spacing w:val="-1"/>
        </w:rPr>
        <w:t> </w:t>
      </w:r>
      <w:r>
        <w:rPr/>
        <w:t>recognised</w:t>
      </w:r>
      <w:r>
        <w:rPr>
          <w:spacing w:val="-1"/>
        </w:rPr>
        <w:t> </w:t>
      </w:r>
      <w:r>
        <w:rPr/>
        <w:t>that</w:t>
      </w:r>
      <w:r>
        <w:rPr>
          <w:spacing w:val="-1"/>
        </w:rPr>
        <w:t> </w:t>
      </w:r>
      <w:r>
        <w:rPr/>
        <w:t>invitations</w:t>
      </w:r>
      <w:r>
        <w:rPr>
          <w:spacing w:val="-1"/>
        </w:rPr>
        <w:t> </w:t>
      </w:r>
      <w:r>
        <w:rPr/>
        <w:t>to</w:t>
      </w:r>
      <w:r>
        <w:rPr>
          <w:spacing w:val="-1"/>
        </w:rPr>
        <w:t> </w:t>
      </w:r>
      <w:r>
        <w:rPr/>
        <w:t>invest,</w:t>
      </w:r>
      <w:r>
        <w:rPr>
          <w:spacing w:val="-1"/>
        </w:rPr>
        <w:t> </w:t>
      </w:r>
      <w:r>
        <w:rPr/>
        <w:t>made </w:t>
      </w:r>
      <w:bookmarkStart w:name="_bookmark1491" w:id="1493"/>
      <w:bookmarkEnd w:id="1493"/>
      <w:r>
        <w:rPr/>
        <w:t>through</w:t>
      </w:r>
      <w:r>
        <w:rPr/>
        <w:t> a prospectus, could lead to much enrichment of individuals at the public expense, and at</w:t>
      </w:r>
      <w:r>
        <w:rPr>
          <w:spacing w:val="80"/>
        </w:rPr>
        <w:t> </w:t>
      </w:r>
      <w:r>
        <w:rPr/>
        <w:t>least from promoters the utmost good faith was required. </w:t>
      </w:r>
      <w:r>
        <w:rPr>
          <w:color w:val="005DA1"/>
          <w:u w:val="single" w:color="005DA1"/>
          <w:vertAlign w:val="superscript"/>
        </w:rPr>
        <w:t>788</w:t>
      </w:r>
      <w:r>
        <w:rPr>
          <w:color w:val="005DA1"/>
          <w:vertAlign w:val="baseline"/>
        </w:rPr>
        <w:t> </w:t>
      </w:r>
      <w:r>
        <w:rPr>
          <w:vertAlign w:val="baseline"/>
        </w:rPr>
        <w:t>In time the legislature intervened to </w:t>
      </w:r>
      <w:bookmarkStart w:name="_bookmark1492" w:id="1494"/>
      <w:bookmarkEnd w:id="1494"/>
      <w:r>
        <w:rPr>
          <w:vertAlign w:val="baseline"/>
        </w:rPr>
        <w:t>protect</w:t>
      </w:r>
      <w:r>
        <w:rPr>
          <w:spacing w:val="9"/>
          <w:vertAlign w:val="baseline"/>
        </w:rPr>
        <w:t> </w:t>
      </w:r>
      <w:r>
        <w:rPr>
          <w:vertAlign w:val="baseline"/>
        </w:rPr>
        <w:t>the</w:t>
      </w:r>
      <w:r>
        <w:rPr>
          <w:spacing w:val="9"/>
          <w:vertAlign w:val="baseline"/>
        </w:rPr>
        <w:t> </w:t>
      </w:r>
      <w:r>
        <w:rPr>
          <w:vertAlign w:val="baseline"/>
        </w:rPr>
        <w:t>public</w:t>
      </w:r>
      <w:r>
        <w:rPr>
          <w:spacing w:val="9"/>
          <w:vertAlign w:val="baseline"/>
        </w:rPr>
        <w:t> </w:t>
      </w:r>
      <w:r>
        <w:rPr>
          <w:vertAlign w:val="baseline"/>
        </w:rPr>
        <w:t>and</w:t>
      </w:r>
      <w:r>
        <w:rPr>
          <w:spacing w:val="9"/>
          <w:vertAlign w:val="baseline"/>
        </w:rPr>
        <w:t> </w:t>
      </w:r>
      <w:r>
        <w:rPr>
          <w:vertAlign w:val="baseline"/>
        </w:rPr>
        <w:t>to</w:t>
      </w:r>
      <w:r>
        <w:rPr>
          <w:spacing w:val="9"/>
          <w:vertAlign w:val="baseline"/>
        </w:rPr>
        <w:t> </w:t>
      </w:r>
      <w:r>
        <w:rPr>
          <w:vertAlign w:val="baseline"/>
        </w:rPr>
        <w:t>supplement</w:t>
      </w:r>
      <w:r>
        <w:rPr>
          <w:spacing w:val="9"/>
          <w:vertAlign w:val="baseline"/>
        </w:rPr>
        <w:t> </w:t>
      </w:r>
      <w:r>
        <w:rPr>
          <w:vertAlign w:val="baseline"/>
        </w:rPr>
        <w:t>the</w:t>
      </w:r>
      <w:r>
        <w:rPr>
          <w:spacing w:val="9"/>
          <w:vertAlign w:val="baseline"/>
        </w:rPr>
        <w:t> </w:t>
      </w:r>
      <w:r>
        <w:rPr>
          <w:vertAlign w:val="baseline"/>
        </w:rPr>
        <w:t>common</w:t>
      </w:r>
      <w:r>
        <w:rPr>
          <w:spacing w:val="9"/>
          <w:vertAlign w:val="baseline"/>
        </w:rPr>
        <w:t> </w:t>
      </w:r>
      <w:r>
        <w:rPr>
          <w:vertAlign w:val="baseline"/>
        </w:rPr>
        <w:t>law.</w:t>
      </w:r>
      <w:r>
        <w:rPr>
          <w:spacing w:val="9"/>
          <w:vertAlign w:val="baseline"/>
        </w:rPr>
        <w:t> </w:t>
      </w:r>
      <w:r>
        <w:rPr>
          <w:vertAlign w:val="baseline"/>
        </w:rPr>
        <w:t>The</w:t>
      </w:r>
      <w:r>
        <w:rPr>
          <w:spacing w:val="9"/>
          <w:vertAlign w:val="baseline"/>
        </w:rPr>
        <w:t> </w:t>
      </w:r>
      <w:r>
        <w:rPr>
          <w:vertAlign w:val="baseline"/>
        </w:rPr>
        <w:t>present</w:t>
      </w:r>
      <w:r>
        <w:rPr>
          <w:spacing w:val="9"/>
          <w:vertAlign w:val="baseline"/>
        </w:rPr>
        <w:t> </w:t>
      </w:r>
      <w:r>
        <w:rPr>
          <w:vertAlign w:val="baseline"/>
        </w:rPr>
        <w:t>position</w:t>
      </w:r>
      <w:r>
        <w:rPr>
          <w:spacing w:val="9"/>
          <w:vertAlign w:val="baseline"/>
        </w:rPr>
        <w:t> </w:t>
      </w:r>
      <w:r>
        <w:rPr>
          <w:vertAlign w:val="baseline"/>
        </w:rPr>
        <w:t>is</w:t>
      </w:r>
      <w:r>
        <w:rPr>
          <w:spacing w:val="9"/>
          <w:vertAlign w:val="baseline"/>
        </w:rPr>
        <w:t> </w:t>
      </w:r>
      <w:r>
        <w:rPr>
          <w:vertAlign w:val="baseline"/>
        </w:rPr>
        <w:t>governed</w:t>
      </w:r>
      <w:r>
        <w:rPr>
          <w:spacing w:val="9"/>
          <w:vertAlign w:val="baseline"/>
        </w:rPr>
        <w:t> </w:t>
      </w:r>
      <w:r>
        <w:rPr>
          <w:vertAlign w:val="baseline"/>
        </w:rPr>
        <w:t>by</w:t>
      </w:r>
      <w:r>
        <w:rPr>
          <w:spacing w:val="9"/>
          <w:vertAlign w:val="baseline"/>
        </w:rPr>
        <w:t> </w:t>
      </w:r>
      <w:r>
        <w:rPr>
          <w:spacing w:val="-2"/>
          <w:vertAlign w:val="baseline"/>
        </w:rPr>
        <w:t>Financial</w:t>
      </w:r>
    </w:p>
    <w:p>
      <w:pPr>
        <w:pStyle w:val="BodyText"/>
        <w:spacing w:line="235" w:lineRule="auto" w:before="117"/>
        <w:ind w:left="165" w:right="167"/>
        <w:jc w:val="both"/>
      </w:pPr>
      <w:r>
        <w:rPr/>
        <w:t>Services and Markets Act 2000 ss.80 and 81. </w:t>
      </w:r>
      <w:r>
        <w:rPr>
          <w:color w:val="005DA1"/>
          <w:u w:val="single" w:color="005DA1"/>
          <w:vertAlign w:val="superscript"/>
        </w:rPr>
        <w:t>789</w:t>
      </w:r>
      <w:r>
        <w:rPr>
          <w:color w:val="005DA1"/>
          <w:spacing w:val="80"/>
          <w:w w:val="150"/>
          <w:vertAlign w:val="baseline"/>
        </w:rPr>
        <w:t> </w:t>
      </w:r>
      <w:r>
        <w:rPr>
          <w:color w:val="005DA1"/>
          <w:spacing w:val="23"/>
          <w:position w:val="-2"/>
          <w:vertAlign w:val="baseline"/>
        </w:rPr>
        <w:drawing>
          <wp:inline distT="0" distB="0" distL="0" distR="0">
            <wp:extent cx="107988" cy="107988"/>
            <wp:effectExtent l="0" t="0" r="0" b="0"/>
            <wp:docPr id="266" name="Image 266"/>
            <wp:cNvGraphicFramePr>
              <a:graphicFrameLocks/>
            </wp:cNvGraphicFramePr>
            <a:graphic>
              <a:graphicData uri="http://schemas.openxmlformats.org/drawingml/2006/picture">
                <pic:pic>
                  <pic:nvPicPr>
                    <pic:cNvPr id="266" name="Image 26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color w:val="005DA1"/>
          <w:spacing w:val="23"/>
          <w:vertAlign w:val="baseline"/>
        </w:rPr>
        <w:t> </w:t>
      </w:r>
      <w:r>
        <w:rPr>
          <w:vertAlign w:val="baseline"/>
        </w:rPr>
        <w:t>The legislation requires the disclosure of </w:t>
      </w:r>
      <w:bookmarkStart w:name="_bookmark1493" w:id="1495"/>
      <w:bookmarkEnd w:id="1495"/>
      <w:r>
        <w:rPr>
          <w:vertAlign w:val="baseline"/>
        </w:rPr>
        <w:t>specified</w:t>
      </w:r>
      <w:r>
        <w:rPr>
          <w:vertAlign w:val="baseline"/>
        </w:rPr>
        <w:t> matters, and render those responsible liable in damages to anyone who has </w:t>
      </w:r>
      <w:r>
        <w:rPr>
          <w:vertAlign w:val="baseline"/>
        </w:rPr>
        <w:t>acquired securities to which the legislation applies, </w:t>
      </w:r>
      <w:r>
        <w:rPr>
          <w:color w:val="005DA1"/>
          <w:u w:val="single" w:color="005DA1"/>
          <w:vertAlign w:val="superscript"/>
        </w:rPr>
        <w:t>790</w:t>
      </w:r>
      <w:r>
        <w:rPr>
          <w:color w:val="005DA1"/>
          <w:vertAlign w:val="baseline"/>
        </w:rPr>
        <w:t> </w:t>
      </w:r>
      <w:r>
        <w:rPr>
          <w:vertAlign w:val="baseline"/>
        </w:rPr>
        <w:t>and who has suffered loss as the result of the omission </w:t>
      </w:r>
      <w:bookmarkStart w:name="_bookmark1494" w:id="1496"/>
      <w:bookmarkEnd w:id="1496"/>
      <w:r>
        <w:rPr>
          <w:vertAlign w:val="baseline"/>
        </w:rPr>
        <w:t>from</w:t>
      </w:r>
      <w:r>
        <w:rPr>
          <w:spacing w:val="13"/>
          <w:vertAlign w:val="baseline"/>
        </w:rPr>
        <w:t> </w:t>
      </w:r>
      <w:r>
        <w:rPr>
          <w:vertAlign w:val="baseline"/>
        </w:rPr>
        <w:t>the</w:t>
      </w:r>
      <w:r>
        <w:rPr>
          <w:spacing w:val="13"/>
          <w:vertAlign w:val="baseline"/>
        </w:rPr>
        <w:t> </w:t>
      </w:r>
      <w:r>
        <w:rPr>
          <w:vertAlign w:val="baseline"/>
        </w:rPr>
        <w:t>prospectus</w:t>
      </w:r>
      <w:r>
        <w:rPr>
          <w:spacing w:val="13"/>
          <w:vertAlign w:val="baseline"/>
        </w:rPr>
        <w:t> </w:t>
      </w:r>
      <w:r>
        <w:rPr>
          <w:vertAlign w:val="baseline"/>
        </w:rPr>
        <w:t>or,</w:t>
      </w:r>
      <w:r>
        <w:rPr>
          <w:spacing w:val="13"/>
          <w:vertAlign w:val="baseline"/>
        </w:rPr>
        <w:t> </w:t>
      </w:r>
      <w:r>
        <w:rPr>
          <w:vertAlign w:val="baseline"/>
        </w:rPr>
        <w:t>in</w:t>
      </w:r>
      <w:r>
        <w:rPr>
          <w:spacing w:val="13"/>
          <w:vertAlign w:val="baseline"/>
        </w:rPr>
        <w:t> </w:t>
      </w:r>
      <w:r>
        <w:rPr>
          <w:vertAlign w:val="baseline"/>
        </w:rPr>
        <w:t>the</w:t>
      </w:r>
      <w:r>
        <w:rPr>
          <w:spacing w:val="13"/>
          <w:vertAlign w:val="baseline"/>
        </w:rPr>
        <w:t> </w:t>
      </w:r>
      <w:r>
        <w:rPr>
          <w:vertAlign w:val="baseline"/>
        </w:rPr>
        <w:t>case</w:t>
      </w:r>
      <w:r>
        <w:rPr>
          <w:spacing w:val="13"/>
          <w:vertAlign w:val="baseline"/>
        </w:rPr>
        <w:t> </w:t>
      </w:r>
      <w:r>
        <w:rPr>
          <w:vertAlign w:val="baseline"/>
        </w:rPr>
        <w:t>listing</w:t>
      </w:r>
      <w:r>
        <w:rPr>
          <w:spacing w:val="13"/>
          <w:vertAlign w:val="baseline"/>
        </w:rPr>
        <w:t> </w:t>
      </w:r>
      <w:r>
        <w:rPr>
          <w:vertAlign w:val="baseline"/>
        </w:rPr>
        <w:t>particulars,</w:t>
      </w:r>
      <w:r>
        <w:rPr>
          <w:spacing w:val="13"/>
          <w:vertAlign w:val="baseline"/>
        </w:rPr>
        <w:t> </w:t>
      </w:r>
      <w:r>
        <w:rPr>
          <w:vertAlign w:val="baseline"/>
        </w:rPr>
        <w:t>the</w:t>
      </w:r>
      <w:r>
        <w:rPr>
          <w:spacing w:val="13"/>
          <w:vertAlign w:val="baseline"/>
        </w:rPr>
        <w:t> </w:t>
      </w:r>
      <w:r>
        <w:rPr>
          <w:vertAlign w:val="baseline"/>
        </w:rPr>
        <w:t>particulars,</w:t>
      </w:r>
      <w:r>
        <w:rPr>
          <w:spacing w:val="13"/>
          <w:vertAlign w:val="baseline"/>
        </w:rPr>
        <w:t> </w:t>
      </w:r>
      <w:r>
        <w:rPr>
          <w:vertAlign w:val="baseline"/>
        </w:rPr>
        <w:t>of</w:t>
      </w:r>
      <w:r>
        <w:rPr>
          <w:spacing w:val="13"/>
          <w:vertAlign w:val="baseline"/>
        </w:rPr>
        <w:t> </w:t>
      </w:r>
      <w:r>
        <w:rPr>
          <w:vertAlign w:val="baseline"/>
        </w:rPr>
        <w:t>any</w:t>
      </w:r>
      <w:r>
        <w:rPr>
          <w:spacing w:val="13"/>
          <w:vertAlign w:val="baseline"/>
        </w:rPr>
        <w:t> </w:t>
      </w:r>
      <w:r>
        <w:rPr>
          <w:vertAlign w:val="baseline"/>
        </w:rPr>
        <w:t>matter</w:t>
      </w:r>
      <w:r>
        <w:rPr>
          <w:spacing w:val="13"/>
          <w:vertAlign w:val="baseline"/>
        </w:rPr>
        <w:t> </w:t>
      </w:r>
      <w:r>
        <w:rPr>
          <w:vertAlign w:val="baseline"/>
        </w:rPr>
        <w:t>that</w:t>
      </w:r>
      <w:r>
        <w:rPr>
          <w:spacing w:val="13"/>
          <w:vertAlign w:val="baseline"/>
        </w:rPr>
        <w:t> </w:t>
      </w:r>
      <w:r>
        <w:rPr>
          <w:vertAlign w:val="baseline"/>
        </w:rPr>
        <w:t>should</w:t>
      </w:r>
      <w:r>
        <w:rPr>
          <w:spacing w:val="13"/>
          <w:vertAlign w:val="baseline"/>
        </w:rPr>
        <w:t> </w:t>
      </w:r>
      <w:r>
        <w:rPr>
          <w:spacing w:val="-4"/>
          <w:vertAlign w:val="baseline"/>
        </w:rPr>
        <w:t>have</w:t>
      </w:r>
    </w:p>
    <w:p>
      <w:pPr>
        <w:pStyle w:val="BodyText"/>
        <w:spacing w:line="235" w:lineRule="auto" w:before="119"/>
        <w:ind w:left="165" w:right="167"/>
        <w:jc w:val="both"/>
      </w:pPr>
      <w:r>
        <w:rPr/>
        <w:t>been included. </w:t>
      </w:r>
      <w:r>
        <w:rPr>
          <w:color w:val="005DA1"/>
          <w:u w:val="single" w:color="005DA1"/>
          <w:vertAlign w:val="superscript"/>
        </w:rPr>
        <w:t>791</w:t>
      </w:r>
      <w:r>
        <w:rPr>
          <w:color w:val="005DA1"/>
          <w:vertAlign w:val="baseline"/>
        </w:rPr>
        <w:t> </w:t>
      </w:r>
      <w:r>
        <w:rPr>
          <w:vertAlign w:val="baseline"/>
        </w:rPr>
        <w:t>However, mere disclosure does not of itself give a right to rescission. </w:t>
      </w:r>
      <w:r>
        <w:rPr>
          <w:color w:val="005DA1"/>
          <w:u w:val="single" w:color="005DA1"/>
          <w:vertAlign w:val="superscript"/>
        </w:rPr>
        <w:t>792</w:t>
      </w:r>
      <w:r>
        <w:rPr>
          <w:color w:val="005DA1"/>
          <w:spacing w:val="80"/>
          <w:w w:val="150"/>
          <w:vertAlign w:val="baseline"/>
        </w:rPr>
        <w:t> </w:t>
      </w:r>
      <w:r>
        <w:rPr>
          <w:color w:val="005DA1"/>
          <w:spacing w:val="-2"/>
          <w:position w:val="-2"/>
          <w:vertAlign w:val="baseline"/>
        </w:rPr>
        <w:drawing>
          <wp:inline distT="0" distB="0" distL="0" distR="0">
            <wp:extent cx="107988" cy="107988"/>
            <wp:effectExtent l="0" t="0" r="0" b="0"/>
            <wp:docPr id="267" name="Image 267"/>
            <wp:cNvGraphicFramePr>
              <a:graphicFrameLocks/>
            </wp:cNvGraphicFramePr>
            <a:graphic>
              <a:graphicData uri="http://schemas.openxmlformats.org/drawingml/2006/picture">
                <pic:pic>
                  <pic:nvPicPr>
                    <pic:cNvPr id="267" name="Image 26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color w:val="005DA1"/>
          <w:spacing w:val="21"/>
          <w:vertAlign w:val="baseline"/>
        </w:rPr>
        <w:t> </w:t>
      </w:r>
      <w:r>
        <w:rPr>
          <w:vertAlign w:val="baseline"/>
        </w:rPr>
        <w:t>It </w:t>
      </w:r>
      <w:r>
        <w:rPr>
          <w:vertAlign w:val="baseline"/>
        </w:rPr>
        <w:t>is this fact which provokes the doubt as to whether contracts to take shares in companies are properly </w:t>
      </w:r>
      <w:bookmarkStart w:name="_bookmark1495" w:id="1497"/>
      <w:bookmarkEnd w:id="1497"/>
      <w:r>
        <w:rPr>
          <w:vertAlign w:val="baseline"/>
        </w:rPr>
        <w:t>classified</w:t>
      </w:r>
      <w:r>
        <w:rPr>
          <w:vertAlign w:val="baseline"/>
        </w:rPr>
        <w:t> as contracts uberrimae fidei. However, if failure to disclose makes the prospectus misleading by falsifying that which is stated, there is a remedy as for positive misrepresentation. </w:t>
      </w:r>
      <w:r>
        <w:rPr>
          <w:color w:val="005DA1"/>
          <w:u w:val="single" w:color="005DA1"/>
          <w:vertAlign w:val="superscript"/>
        </w:rPr>
        <w:t>793</w:t>
      </w:r>
      <w:r>
        <w:rPr>
          <w:color w:val="005DA1"/>
          <w:vertAlign w:val="baseline"/>
        </w:rPr>
        <w:t> </w:t>
      </w:r>
      <w:r>
        <w:rPr>
          <w:vertAlign w:val="baseline"/>
        </w:rPr>
        <w:t>With regard to misrepresentations as distinct from non-disclosures, an untrue statement in the prospectus which has induced a person to subscribe for shares does of course give that person the </w:t>
      </w:r>
      <w:bookmarkStart w:name="_bookmark1496" w:id="1498"/>
      <w:bookmarkEnd w:id="1498"/>
      <w:r>
        <w:rPr>
          <w:vertAlign w:val="baseline"/>
        </w:rPr>
        <w:t>right</w:t>
      </w:r>
      <w:r>
        <w:rPr>
          <w:vertAlign w:val="baseline"/>
        </w:rPr>
        <w:t> to rescind the contract, provided that he acts promptly and before winding-up proceedings have begun. </w:t>
      </w:r>
      <w:r>
        <w:rPr>
          <w:color w:val="005DA1"/>
          <w:u w:val="single" w:color="005DA1"/>
          <w:vertAlign w:val="superscript"/>
        </w:rPr>
        <w:t>794</w:t>
      </w:r>
    </w:p>
    <w:p>
      <w:pPr>
        <w:pStyle w:val="BodyText"/>
        <w:spacing w:before="78"/>
      </w:pPr>
    </w:p>
    <w:p>
      <w:pPr>
        <w:pStyle w:val="Heading2"/>
      </w:pPr>
      <w:r>
        <w:rPr/>
        <w:t>7-</w:t>
      </w:r>
      <w:r>
        <w:rPr>
          <w:spacing w:val="-5"/>
        </w:rPr>
        <w:t>170</w:t>
      </w:r>
    </w:p>
    <w:p>
      <w:pPr>
        <w:pStyle w:val="BodyText"/>
        <w:spacing w:line="235" w:lineRule="auto" w:before="203"/>
        <w:ind w:left="165" w:right="167"/>
        <w:jc w:val="both"/>
      </w:pPr>
      <w:bookmarkStart w:name="_bookmark1497" w:id="1499"/>
      <w:bookmarkEnd w:id="1499"/>
      <w:r>
        <w:rPr/>
      </w:r>
      <w:r>
        <w:rPr/>
        <w:t>The</w:t>
      </w:r>
      <w:r>
        <w:rPr>
          <w:spacing w:val="-1"/>
        </w:rPr>
        <w:t> </w:t>
      </w:r>
      <w:r>
        <w:rPr/>
        <w:t>position</w:t>
      </w:r>
      <w:r>
        <w:rPr>
          <w:spacing w:val="-1"/>
        </w:rPr>
        <w:t> </w:t>
      </w:r>
      <w:r>
        <w:rPr/>
        <w:t>of</w:t>
      </w:r>
      <w:r>
        <w:rPr>
          <w:spacing w:val="-1"/>
        </w:rPr>
        <w:t> </w:t>
      </w:r>
      <w:r>
        <w:rPr/>
        <w:t>the</w:t>
      </w:r>
      <w:r>
        <w:rPr>
          <w:spacing w:val="-1"/>
        </w:rPr>
        <w:t> </w:t>
      </w:r>
      <w:r>
        <w:rPr/>
        <w:t>promoters</w:t>
      </w:r>
      <w:r>
        <w:rPr>
          <w:spacing w:val="-1"/>
        </w:rPr>
        <w:t> </w:t>
      </w:r>
      <w:r>
        <w:rPr/>
        <w:t>is</w:t>
      </w:r>
      <w:r>
        <w:rPr>
          <w:spacing w:val="-1"/>
        </w:rPr>
        <w:t> </w:t>
      </w:r>
      <w:r>
        <w:rPr/>
        <w:t>also</w:t>
      </w:r>
      <w:r>
        <w:rPr>
          <w:spacing w:val="-1"/>
        </w:rPr>
        <w:t> </w:t>
      </w:r>
      <w:r>
        <w:rPr/>
        <w:t>regulated</w:t>
      </w:r>
      <w:r>
        <w:rPr>
          <w:spacing w:val="-1"/>
        </w:rPr>
        <w:t> </w:t>
      </w:r>
      <w:r>
        <w:rPr/>
        <w:t>by</w:t>
      </w:r>
      <w:r>
        <w:rPr>
          <w:spacing w:val="-1"/>
        </w:rPr>
        <w:t> </w:t>
      </w:r>
      <w:r>
        <w:rPr/>
        <w:t>the</w:t>
      </w:r>
      <w:r>
        <w:rPr>
          <w:spacing w:val="-1"/>
        </w:rPr>
        <w:t> </w:t>
      </w:r>
      <w:r>
        <w:rPr/>
        <w:t>common</w:t>
      </w:r>
      <w:r>
        <w:rPr>
          <w:spacing w:val="-1"/>
        </w:rPr>
        <w:t> </w:t>
      </w:r>
      <w:r>
        <w:rPr/>
        <w:t>law.</w:t>
      </w:r>
      <w:r>
        <w:rPr>
          <w:spacing w:val="-1"/>
        </w:rPr>
        <w:t> </w:t>
      </w:r>
      <w:r>
        <w:rPr/>
        <w:t>They</w:t>
      </w:r>
      <w:r>
        <w:rPr>
          <w:spacing w:val="-1"/>
        </w:rPr>
        <w:t> </w:t>
      </w:r>
      <w:r>
        <w:rPr/>
        <w:t>have</w:t>
      </w:r>
      <w:r>
        <w:rPr>
          <w:spacing w:val="-1"/>
        </w:rPr>
        <w:t> </w:t>
      </w:r>
      <w:r>
        <w:rPr/>
        <w:t>a</w:t>
      </w:r>
      <w:r>
        <w:rPr>
          <w:spacing w:val="-1"/>
        </w:rPr>
        <w:t> </w:t>
      </w:r>
      <w:r>
        <w:rPr/>
        <w:t>fiduciary</w:t>
      </w:r>
      <w:r>
        <w:rPr>
          <w:spacing w:val="-1"/>
        </w:rPr>
        <w:t> </w:t>
      </w:r>
      <w:r>
        <w:rPr/>
        <w:t>relationship with the company, and the rule is that they must not make a secret profit at its expense. </w:t>
      </w:r>
      <w:r>
        <w:rPr>
          <w:color w:val="005DA1"/>
          <w:u w:val="single" w:color="005DA1"/>
          <w:vertAlign w:val="superscript"/>
        </w:rPr>
        <w:t>795</w:t>
      </w:r>
      <w:r>
        <w:rPr>
          <w:color w:val="005DA1"/>
          <w:vertAlign w:val="baseline"/>
        </w:rPr>
        <w:t> </w:t>
      </w:r>
      <w:r>
        <w:rPr>
          <w:vertAlign w:val="baseline"/>
        </w:rPr>
        <w:t>They are under a duty to disclose either to an independent board of directors, or to the intended shareholders, for instance by making a disclosure in the prospectus, any profit made by them on a sale of property </w:t>
      </w:r>
      <w:bookmarkStart w:name="_bookmark1498" w:id="1500"/>
      <w:bookmarkEnd w:id="1500"/>
      <w:r>
        <w:rPr>
          <w:vertAlign w:val="baseline"/>
        </w:rPr>
        <w:t>to</w:t>
      </w:r>
      <w:r>
        <w:rPr>
          <w:vertAlign w:val="baseline"/>
        </w:rPr>
        <w:t> the company. A breach of this duty entitles the company to sue the promoters for damages, or to recover the profit </w:t>
      </w:r>
      <w:r>
        <w:rPr>
          <w:color w:val="005DA1"/>
          <w:u w:val="single" w:color="005DA1"/>
          <w:vertAlign w:val="superscript"/>
        </w:rPr>
        <w:t>796</w:t>
      </w:r>
      <w:r>
        <w:rPr>
          <w:color w:val="005DA1"/>
          <w:vertAlign w:val="baseline"/>
        </w:rPr>
        <w:t> </w:t>
      </w:r>
      <w:r>
        <w:rPr>
          <w:vertAlign w:val="baseline"/>
        </w:rPr>
        <w:t>or to rescind the contract. </w:t>
      </w:r>
      <w:r>
        <w:rPr>
          <w:color w:val="005DA1"/>
          <w:u w:val="single" w:color="005DA1"/>
          <w:vertAlign w:val="superscript"/>
        </w:rPr>
        <w:t>797</w:t>
      </w:r>
    </w:p>
    <w:p>
      <w:pPr>
        <w:pStyle w:val="BodyText"/>
      </w:pPr>
    </w:p>
    <w:p>
      <w:pPr>
        <w:pStyle w:val="BodyText"/>
        <w:spacing w:before="37"/>
      </w:pPr>
      <w:r>
        <w:rPr/>
        <mc:AlternateContent>
          <mc:Choice Requires="wps">
            <w:drawing>
              <wp:anchor distT="0" distB="0" distL="0" distR="0" allowOverlap="1" layoutInCell="1" locked="0" behindDoc="1" simplePos="0" relativeHeight="487651840">
                <wp:simplePos x="0" y="0"/>
                <wp:positionH relativeFrom="page">
                  <wp:posOffset>914400</wp:posOffset>
                </wp:positionH>
                <wp:positionV relativeFrom="paragraph">
                  <wp:posOffset>185310</wp:posOffset>
                </wp:positionV>
                <wp:extent cx="5724525" cy="1270"/>
                <wp:effectExtent l="0" t="0" r="0" b="0"/>
                <wp:wrapTopAndBottom/>
                <wp:docPr id="268" name="Graphic 268"/>
                <wp:cNvGraphicFramePr>
                  <a:graphicFrameLocks/>
                </wp:cNvGraphicFramePr>
                <a:graphic>
                  <a:graphicData uri="http://schemas.microsoft.com/office/word/2010/wordprocessingShape">
                    <wps:wsp>
                      <wps:cNvPr id="268" name="Graphic 26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91372pt;width:450.75pt;height:.1pt;mso-position-horizontal-relative:page;mso-position-vertical-relative:paragraph;z-index:-15664640;mso-wrap-distance-left:0;mso-wrap-distance-right:0" id="docshape31"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3927552">
                <wp:simplePos x="0" y="0"/>
                <wp:positionH relativeFrom="page">
                  <wp:posOffset>914400</wp:posOffset>
                </wp:positionH>
                <wp:positionV relativeFrom="paragraph">
                  <wp:posOffset>94576</wp:posOffset>
                </wp:positionV>
                <wp:extent cx="49530" cy="127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388928" from="72pt,7.446977pt" to="75.892pt,7.446977pt" stroked="true" strokeweight=".5pt" strokecolor="#005da1">
                <v:stroke dashstyle="solid"/>
                <w10:wrap type="none"/>
              </v:line>
            </w:pict>
          </mc:Fallback>
        </mc:AlternateContent>
      </w:r>
      <w:hyperlink w:history="true" w:anchor="_bookmark1576">
        <w:r>
          <w:rPr>
            <w:color w:val="005DA1"/>
            <w:spacing w:val="-6"/>
            <w:position w:val="5"/>
            <w:sz w:val="14"/>
          </w:rPr>
          <w:t>1</w:t>
        </w:r>
      </w:hyperlink>
      <w:r>
        <w:rPr>
          <w:spacing w:val="-6"/>
          <w:position w:val="5"/>
          <w:sz w:val="14"/>
        </w:rPr>
        <w:t>.</w:t>
      </w:r>
      <w:r>
        <w:rPr>
          <w:position w:val="5"/>
          <w:sz w:val="14"/>
        </w:rPr>
        <w:tab/>
      </w:r>
      <w:r>
        <w:rPr>
          <w:sz w:val="20"/>
        </w:rPr>
        <w:t>See Allen, </w:t>
      </w:r>
      <w:r>
        <w:rPr>
          <w:rFonts w:ascii="Arial"/>
          <w:i/>
          <w:sz w:val="20"/>
        </w:rPr>
        <w:t>Misrepresentation </w:t>
      </w:r>
      <w:r>
        <w:rPr>
          <w:sz w:val="20"/>
        </w:rPr>
        <w:t>(1988); Cartwright, </w:t>
      </w:r>
      <w:r>
        <w:rPr>
          <w:rFonts w:ascii="Arial"/>
          <w:i/>
          <w:sz w:val="20"/>
        </w:rPr>
        <w:t>Unequal Bargaining </w:t>
      </w:r>
      <w:r>
        <w:rPr>
          <w:sz w:val="20"/>
        </w:rPr>
        <w:t>(1991), Ch.3; </w:t>
      </w:r>
      <w:r>
        <w:rPr>
          <w:sz w:val="20"/>
        </w:rPr>
        <w:t>Cartwright, Misrepresentation, Mistake and Non-disclosure, 4th edn (2016); Spencer Bower and Handley, </w:t>
      </w:r>
      <w:r>
        <w:rPr>
          <w:rFonts w:ascii="Arial"/>
          <w:i/>
          <w:sz w:val="20"/>
        </w:rPr>
        <w:t>Actionable Misrepresentation</w:t>
      </w:r>
      <w:r>
        <w:rPr>
          <w:sz w:val="20"/>
        </w:rPr>
        <w:t>, 5th edn (2014).</w:t>
      </w:r>
    </w:p>
    <w:p>
      <w:pPr>
        <w:pStyle w:val="BodyText"/>
        <w:spacing w:before="5"/>
      </w:pPr>
    </w:p>
    <w:p>
      <w:pPr>
        <w:tabs>
          <w:tab w:pos="705" w:val="left" w:leader="none"/>
        </w:tabs>
        <w:spacing w:before="0"/>
        <w:ind w:left="165" w:right="0" w:firstLine="0"/>
        <w:jc w:val="left"/>
        <w:rPr>
          <w:sz w:val="20"/>
        </w:rPr>
      </w:pPr>
      <w:bookmarkStart w:name="_bookmark1499" w:id="1501"/>
      <w:bookmarkEnd w:id="1501"/>
      <w:r>
        <w:rPr/>
      </w:r>
      <w:hyperlink w:history="true" w:anchor="_bookmark1491">
        <w:r>
          <w:rPr>
            <w:color w:val="005DA1"/>
            <w:spacing w:val="-4"/>
            <w:position w:val="5"/>
            <w:sz w:val="14"/>
            <w:u w:val="single" w:color="005DA1"/>
          </w:rPr>
          <w:t>788</w:t>
        </w:r>
      </w:hyperlink>
      <w:r>
        <w:rPr>
          <w:spacing w:val="-4"/>
          <w:position w:val="5"/>
          <w:sz w:val="14"/>
        </w:rPr>
        <w:t>.</w:t>
      </w:r>
      <w:r>
        <w:rPr>
          <w:position w:val="5"/>
          <w:sz w:val="14"/>
        </w:rPr>
        <w:tab/>
      </w:r>
      <w:r>
        <w:rPr>
          <w:rFonts w:ascii="Arial"/>
          <w:i/>
          <w:sz w:val="20"/>
        </w:rPr>
        <w:t>Erlanger</w:t>
      </w:r>
      <w:r>
        <w:rPr>
          <w:rFonts w:ascii="Arial"/>
          <w:i/>
          <w:spacing w:val="-2"/>
          <w:sz w:val="20"/>
        </w:rPr>
        <w:t> </w:t>
      </w:r>
      <w:r>
        <w:rPr>
          <w:rFonts w:ascii="Arial"/>
          <w:i/>
          <w:sz w:val="20"/>
        </w:rPr>
        <w:t>v New Sombrero Phosphate Co (1878) 3 App. Cas. </w:t>
      </w:r>
      <w:r>
        <w:rPr>
          <w:rFonts w:ascii="Arial"/>
          <w:i/>
          <w:spacing w:val="-2"/>
          <w:sz w:val="20"/>
        </w:rPr>
        <w:t>1218</w:t>
      </w:r>
      <w:r>
        <w:rPr>
          <w:spacing w:val="-2"/>
          <w:sz w:val="20"/>
        </w:rPr>
        <w:t>.</w:t>
      </w:r>
    </w:p>
    <w:p>
      <w:pPr>
        <w:spacing w:after="0"/>
        <w:jc w:val="left"/>
        <w:rPr>
          <w:sz w:val="20"/>
        </w:rPr>
        <w:sectPr>
          <w:headerReference w:type="default" r:id="rId21"/>
          <w:pgSz w:w="11900" w:h="16840"/>
          <w:pgMar w:header="971" w:footer="0" w:top="1160" w:bottom="280" w:left="1275" w:right="1275"/>
          <w:pgNumType w:start="1"/>
        </w:sectPr>
      </w:pPr>
    </w:p>
    <w:p>
      <w:pPr>
        <w:pStyle w:val="BodyText"/>
        <w:spacing w:before="4"/>
        <w:rPr>
          <w:sz w:val="19"/>
        </w:rPr>
      </w:pPr>
    </w:p>
    <w:p>
      <w:pPr>
        <w:pStyle w:val="BodyText"/>
        <w:spacing w:after="0"/>
        <w:rPr>
          <w:sz w:val="19"/>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94176">
            <wp:simplePos x="0" y="0"/>
            <wp:positionH relativeFrom="page">
              <wp:posOffset>1257846</wp:posOffset>
            </wp:positionH>
            <wp:positionV relativeFrom="paragraph">
              <wp:posOffset>160485</wp:posOffset>
            </wp:positionV>
            <wp:extent cx="107988" cy="107988"/>
            <wp:effectExtent l="0" t="0" r="0" b="0"/>
            <wp:wrapNone/>
            <wp:docPr id="270" name="Image 270"/>
            <wp:cNvGraphicFramePr>
              <a:graphicFrameLocks/>
            </wp:cNvGraphicFramePr>
            <a:graphic>
              <a:graphicData uri="http://schemas.openxmlformats.org/drawingml/2006/picture">
                <pic:pic>
                  <pic:nvPicPr>
                    <pic:cNvPr id="270" name="Image 27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500" w:id="1502"/>
      <w:bookmarkEnd w:id="1502"/>
      <w:r>
        <w:rPr/>
      </w:r>
      <w:hyperlink w:history="true" w:anchor="_bookmark1492">
        <w:r>
          <w:rPr>
            <w:color w:val="005DA1"/>
            <w:spacing w:val="-4"/>
            <w:sz w:val="14"/>
            <w:u w:val="single" w:color="005DA1"/>
          </w:rPr>
          <w:t>789</w:t>
        </w:r>
      </w:hyperlink>
      <w:r>
        <w:rPr>
          <w:spacing w:val="-4"/>
          <w:sz w:val="14"/>
        </w:rPr>
        <w:t>.</w:t>
      </w:r>
    </w:p>
    <w:p>
      <w:pPr>
        <w:spacing w:line="235" w:lineRule="auto" w:before="212"/>
        <w:ind w:left="165" w:right="168" w:firstLine="170"/>
        <w:jc w:val="both"/>
        <w:rPr>
          <w:sz w:val="20"/>
        </w:rPr>
      </w:pPr>
      <w:r>
        <w:rPr/>
        <w:br w:type="column"/>
      </w:r>
      <w:r>
        <w:rPr>
          <w:sz w:val="20"/>
        </w:rPr>
        <w:t>See generally, Gower &amp; Davies, </w:t>
      </w:r>
      <w:r>
        <w:rPr>
          <w:rFonts w:ascii="Arial"/>
          <w:i/>
          <w:sz w:val="20"/>
        </w:rPr>
        <w:t>Principles of Modern Company Law</w:t>
      </w:r>
      <w:r>
        <w:rPr>
          <w:sz w:val="20"/>
        </w:rPr>
        <w:t>, 10th edn (2016), </w:t>
      </w:r>
      <w:r>
        <w:rPr>
          <w:sz w:val="20"/>
        </w:rPr>
        <w:t>paras 25-8 to 25-43; Cartwright, </w:t>
      </w:r>
      <w:r>
        <w:rPr>
          <w:rFonts w:ascii="Arial"/>
          <w:i/>
          <w:sz w:val="20"/>
        </w:rPr>
        <w:t>Misrepresentation, Mistake and Non-disclosure</w:t>
      </w:r>
      <w:r>
        <w:rPr>
          <w:sz w:val="20"/>
        </w:rPr>
        <w:t>, 4th edn (2016), para.17-53 et seq.</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9"/>
      </w:pPr>
    </w:p>
    <w:p>
      <w:pPr>
        <w:pStyle w:val="BodyText"/>
        <w:tabs>
          <w:tab w:pos="705" w:val="left" w:leader="none"/>
        </w:tabs>
        <w:spacing w:line="235" w:lineRule="auto"/>
        <w:ind w:left="705" w:right="168" w:hanging="541"/>
      </w:pPr>
      <w:bookmarkStart w:name="_bookmark1501" w:id="1503"/>
      <w:bookmarkEnd w:id="1503"/>
      <w:r>
        <w:rPr/>
      </w:r>
      <w:hyperlink w:history="true" w:anchor="_bookmark1493">
        <w:r>
          <w:rPr>
            <w:color w:val="005DA1"/>
            <w:spacing w:val="-4"/>
            <w:position w:val="5"/>
            <w:sz w:val="14"/>
            <w:u w:val="single" w:color="005DA1"/>
          </w:rPr>
          <w:t>790</w:t>
        </w:r>
      </w:hyperlink>
      <w:r>
        <w:rPr>
          <w:spacing w:val="-4"/>
          <w:position w:val="5"/>
          <w:sz w:val="14"/>
        </w:rPr>
        <w:t>.</w:t>
      </w:r>
      <w:r>
        <w:rPr>
          <w:position w:val="5"/>
          <w:sz w:val="14"/>
        </w:rPr>
        <w:tab/>
      </w:r>
      <w:r>
        <w:rPr/>
        <w:t>Thus</w:t>
      </w:r>
      <w:r>
        <w:rPr>
          <w:spacing w:val="64"/>
        </w:rPr>
        <w:t> </w:t>
      </w:r>
      <w:r>
        <w:rPr/>
        <w:t>investors</w:t>
      </w:r>
      <w:r>
        <w:rPr>
          <w:spacing w:val="64"/>
        </w:rPr>
        <w:t> </w:t>
      </w:r>
      <w:r>
        <w:rPr/>
        <w:t>who</w:t>
      </w:r>
      <w:r>
        <w:rPr>
          <w:spacing w:val="64"/>
        </w:rPr>
        <w:t> </w:t>
      </w:r>
      <w:r>
        <w:rPr/>
        <w:t>have</w:t>
      </w:r>
      <w:r>
        <w:rPr>
          <w:spacing w:val="64"/>
        </w:rPr>
        <w:t> </w:t>
      </w:r>
      <w:r>
        <w:rPr/>
        <w:t>bought</w:t>
      </w:r>
      <w:r>
        <w:rPr>
          <w:spacing w:val="64"/>
        </w:rPr>
        <w:t> </w:t>
      </w:r>
      <w:r>
        <w:rPr/>
        <w:t>on</w:t>
      </w:r>
      <w:r>
        <w:rPr>
          <w:spacing w:val="64"/>
        </w:rPr>
        <w:t> </w:t>
      </w:r>
      <w:r>
        <w:rPr/>
        <w:t>the</w:t>
      </w:r>
      <w:r>
        <w:rPr>
          <w:spacing w:val="64"/>
        </w:rPr>
        <w:t> </w:t>
      </w:r>
      <w:r>
        <w:rPr/>
        <w:t>market</w:t>
      </w:r>
      <w:r>
        <w:rPr>
          <w:spacing w:val="64"/>
        </w:rPr>
        <w:t> </w:t>
      </w:r>
      <w:r>
        <w:rPr/>
        <w:t>after</w:t>
      </w:r>
      <w:r>
        <w:rPr>
          <w:spacing w:val="64"/>
        </w:rPr>
        <w:t> </w:t>
      </w:r>
      <w:r>
        <w:rPr/>
        <w:t>dealing</w:t>
      </w:r>
      <w:r>
        <w:rPr>
          <w:spacing w:val="64"/>
        </w:rPr>
        <w:t> </w:t>
      </w:r>
      <w:r>
        <w:rPr/>
        <w:t>has</w:t>
      </w:r>
      <w:r>
        <w:rPr>
          <w:spacing w:val="64"/>
        </w:rPr>
        <w:t> </w:t>
      </w:r>
      <w:r>
        <w:rPr/>
        <w:t>commenced</w:t>
      </w:r>
      <w:r>
        <w:rPr>
          <w:spacing w:val="64"/>
        </w:rPr>
        <w:t> </w:t>
      </w:r>
      <w:r>
        <w:rPr/>
        <w:t>are</w:t>
      </w:r>
      <w:r>
        <w:rPr>
          <w:spacing w:val="64"/>
        </w:rPr>
        <w:t> </w:t>
      </w:r>
      <w:r>
        <w:rPr/>
        <w:t>now </w:t>
      </w:r>
      <w:r>
        <w:rPr>
          <w:spacing w:val="-2"/>
        </w:rPr>
        <w:t>protected.</w:t>
      </w:r>
    </w:p>
    <w:p>
      <w:pPr>
        <w:pStyle w:val="BodyText"/>
        <w:spacing w:before="9"/>
      </w:pPr>
    </w:p>
    <w:p>
      <w:pPr>
        <w:pStyle w:val="BodyText"/>
        <w:spacing w:line="235" w:lineRule="auto"/>
        <w:ind w:left="705" w:right="167" w:hanging="541"/>
        <w:jc w:val="both"/>
      </w:pPr>
      <w:bookmarkStart w:name="_bookmark1502" w:id="1504"/>
      <w:bookmarkEnd w:id="1504"/>
      <w:r>
        <w:rPr/>
      </w:r>
      <w:hyperlink w:history="true" w:anchor="_bookmark1494">
        <w:r>
          <w:rPr>
            <w:color w:val="005DA1"/>
            <w:position w:val="5"/>
            <w:sz w:val="14"/>
            <w:u w:val="single" w:color="005DA1"/>
          </w:rPr>
          <w:t>791</w:t>
        </w:r>
      </w:hyperlink>
      <w:r>
        <w:rPr>
          <w:position w:val="5"/>
          <w:sz w:val="14"/>
        </w:rPr>
        <w:t>.</w:t>
      </w:r>
      <w:r>
        <w:rPr>
          <w:spacing w:val="80"/>
          <w:w w:val="150"/>
          <w:position w:val="5"/>
          <w:sz w:val="14"/>
        </w:rPr>
        <w:t> </w:t>
      </w:r>
      <w:r>
        <w:rPr/>
        <w:t>Financial Services and Markets Act 2000 s.90(1). Note that s.90(1) is without prejudice to </w:t>
      </w:r>
      <w:r>
        <w:rPr/>
        <w:t>any liability which may be incurred apart from the section or regulation: s.90(6). These provisions stem ultimately from the Directors Liability Act 1890, which was passed to reverse the effect of </w:t>
      </w:r>
      <w:r>
        <w:rPr>
          <w:rFonts w:ascii="Arial"/>
          <w:i/>
        </w:rPr>
        <w:t>Derry v Peek (1889) 14 App. Cas. 337</w:t>
      </w:r>
      <w:r>
        <w:rPr/>
        <w:t>, so far as it applied to prospectuses.</w:t>
      </w: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bookmarkStart w:name="_bookmark1503" w:id="1505"/>
      <w:bookmarkEnd w:id="1505"/>
      <w:r>
        <w:rPr/>
      </w:r>
      <w:hyperlink w:history="true" w:anchor="_bookmark1494">
        <w:r>
          <w:rPr>
            <w:color w:val="005DA1"/>
            <w:spacing w:val="-4"/>
            <w:sz w:val="14"/>
            <w:u w:val="single" w:color="005DA1"/>
          </w:rPr>
          <w:t>792</w:t>
        </w:r>
      </w:hyperlink>
      <w:r>
        <w:rPr>
          <w:spacing w:val="-4"/>
          <w:sz w:val="14"/>
        </w:rPr>
        <w:t>.</w:t>
      </w:r>
    </w:p>
    <w:p>
      <w:pPr>
        <w:spacing w:before="208"/>
        <w:ind w:left="335" w:right="0" w:firstLine="0"/>
        <w:jc w:val="left"/>
        <w:rPr>
          <w:sz w:val="20"/>
        </w:rPr>
      </w:pPr>
      <w:r>
        <w:rPr/>
        <w:br w:type="column"/>
      </w:r>
      <w:r>
        <w:rPr>
          <w:sz w:val="20"/>
        </w:rPr>
        <w:t>Gower</w:t>
      </w:r>
      <w:r>
        <w:rPr>
          <w:spacing w:val="-1"/>
          <w:sz w:val="20"/>
        </w:rPr>
        <w:t> </w:t>
      </w:r>
      <w:r>
        <w:rPr>
          <w:sz w:val="20"/>
        </w:rPr>
        <w:t>&amp; Davies,</w:t>
      </w:r>
      <w:r>
        <w:rPr>
          <w:spacing w:val="-1"/>
          <w:sz w:val="20"/>
        </w:rPr>
        <w:t> </w:t>
      </w:r>
      <w:r>
        <w:rPr>
          <w:rFonts w:ascii="Arial"/>
          <w:i/>
          <w:sz w:val="20"/>
        </w:rPr>
        <w:t>Principles of Modern Company Law</w:t>
      </w:r>
      <w:r>
        <w:rPr>
          <w:sz w:val="20"/>
        </w:rPr>
        <w:t>, 10th edn (2016), para.25-</w:t>
      </w:r>
      <w:r>
        <w:rPr>
          <w:spacing w:val="-5"/>
          <w:sz w:val="20"/>
        </w:rPr>
        <w:t>39.</w:t>
      </w:r>
    </w:p>
    <w:p>
      <w:pPr>
        <w:spacing w:after="0"/>
        <w:jc w:val="left"/>
        <w:rPr>
          <w:sz w:val="20"/>
        </w:rPr>
        <w:sectPr>
          <w:type w:val="continuous"/>
          <w:pgSz w:w="11900" w:h="16840"/>
          <w:pgMar w:header="971" w:footer="0" w:top="116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r>
        <w:rPr>
          <w:sz w:val="20"/>
        </w:rPr>
        <w:drawing>
          <wp:anchor distT="0" distB="0" distL="0" distR="0" allowOverlap="1" layoutInCell="1" locked="0" behindDoc="0" simplePos="0" relativeHeight="15794688">
            <wp:simplePos x="0" y="0"/>
            <wp:positionH relativeFrom="page">
              <wp:posOffset>1257846</wp:posOffset>
            </wp:positionH>
            <wp:positionV relativeFrom="paragraph">
              <wp:posOffset>-267084</wp:posOffset>
            </wp:positionV>
            <wp:extent cx="107988" cy="107988"/>
            <wp:effectExtent l="0" t="0" r="0" b="0"/>
            <wp:wrapNone/>
            <wp:docPr id="271" name="Image 271"/>
            <wp:cNvGraphicFramePr>
              <a:graphicFrameLocks/>
            </wp:cNvGraphicFramePr>
            <a:graphic>
              <a:graphicData uri="http://schemas.openxmlformats.org/drawingml/2006/picture">
                <pic:pic>
                  <pic:nvPicPr>
                    <pic:cNvPr id="271" name="Image 27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504" w:id="1506"/>
      <w:bookmarkEnd w:id="1506"/>
      <w:r>
        <w:rPr/>
      </w:r>
      <w:hyperlink w:history="true" w:anchor="_bookmark1495">
        <w:r>
          <w:rPr>
            <w:color w:val="005DA1"/>
            <w:spacing w:val="-4"/>
            <w:position w:val="5"/>
            <w:sz w:val="14"/>
            <w:u w:val="single" w:color="005DA1"/>
          </w:rPr>
          <w:t>793</w:t>
        </w:r>
      </w:hyperlink>
      <w:r>
        <w:rPr>
          <w:spacing w:val="-4"/>
          <w:position w:val="5"/>
          <w:sz w:val="14"/>
        </w:rPr>
        <w:t>.</w:t>
      </w:r>
      <w:r>
        <w:rPr>
          <w:position w:val="5"/>
          <w:sz w:val="14"/>
        </w:rPr>
        <w:tab/>
      </w:r>
      <w:r>
        <w:rPr>
          <w:sz w:val="20"/>
        </w:rPr>
        <w:t>See</w:t>
      </w:r>
      <w:r>
        <w:rPr>
          <w:spacing w:val="-1"/>
          <w:sz w:val="20"/>
        </w:rPr>
        <w:t> </w:t>
      </w:r>
      <w:r>
        <w:rPr>
          <w:rFonts w:ascii="Arial"/>
          <w:i/>
          <w:sz w:val="20"/>
        </w:rPr>
        <w:t>Central Ry of Venezuela v Kisch (1867) L.R. 2 H.L. </w:t>
      </w:r>
      <w:r>
        <w:rPr>
          <w:rFonts w:ascii="Arial"/>
          <w:i/>
          <w:spacing w:val="-5"/>
          <w:sz w:val="20"/>
        </w:rPr>
        <w:t>99</w:t>
      </w:r>
      <w:r>
        <w:rPr>
          <w:spacing w:val="-5"/>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505" w:id="1507"/>
      <w:bookmarkEnd w:id="1507"/>
      <w:r>
        <w:rPr/>
      </w:r>
      <w:hyperlink w:history="true" w:anchor="_bookmark1496">
        <w:r>
          <w:rPr>
            <w:color w:val="005DA1"/>
            <w:spacing w:val="-4"/>
            <w:position w:val="5"/>
            <w:sz w:val="14"/>
            <w:u w:val="single" w:color="005DA1"/>
          </w:rPr>
          <w:t>794</w:t>
        </w:r>
      </w:hyperlink>
      <w:r>
        <w:rPr>
          <w:spacing w:val="-4"/>
          <w:position w:val="5"/>
          <w:sz w:val="14"/>
        </w:rPr>
        <w:t>.</w:t>
      </w:r>
      <w:r>
        <w:rPr>
          <w:position w:val="5"/>
          <w:sz w:val="14"/>
        </w:rPr>
        <w:tab/>
      </w:r>
      <w:r>
        <w:rPr>
          <w:sz w:val="20"/>
        </w:rPr>
        <w:t>Further,</w:t>
      </w:r>
      <w:r>
        <w:rPr>
          <w:spacing w:val="-2"/>
          <w:sz w:val="20"/>
        </w:rPr>
        <w:t> </w:t>
      </w:r>
      <w:r>
        <w:rPr>
          <w:sz w:val="20"/>
        </w:rPr>
        <w:t>a</w:t>
      </w:r>
      <w:r>
        <w:rPr>
          <w:spacing w:val="-2"/>
          <w:sz w:val="20"/>
        </w:rPr>
        <w:t> </w:t>
      </w:r>
      <w:r>
        <w:rPr>
          <w:sz w:val="20"/>
        </w:rPr>
        <w:t>shareholder</w:t>
      </w:r>
      <w:r>
        <w:rPr>
          <w:spacing w:val="-2"/>
          <w:sz w:val="20"/>
        </w:rPr>
        <w:t> </w:t>
      </w:r>
      <w:r>
        <w:rPr>
          <w:sz w:val="20"/>
        </w:rPr>
        <w:t>may</w:t>
      </w:r>
      <w:r>
        <w:rPr>
          <w:spacing w:val="-2"/>
          <w:sz w:val="20"/>
        </w:rPr>
        <w:t> </w:t>
      </w:r>
      <w:r>
        <w:rPr>
          <w:sz w:val="20"/>
        </w:rPr>
        <w:t>rescind</w:t>
      </w:r>
      <w:r>
        <w:rPr>
          <w:spacing w:val="-2"/>
          <w:sz w:val="20"/>
        </w:rPr>
        <w:t> </w:t>
      </w:r>
      <w:r>
        <w:rPr>
          <w:sz w:val="20"/>
        </w:rPr>
        <w:t>if</w:t>
      </w:r>
      <w:r>
        <w:rPr>
          <w:spacing w:val="-2"/>
          <w:sz w:val="20"/>
        </w:rPr>
        <w:t> </w:t>
      </w:r>
      <w:r>
        <w:rPr>
          <w:sz w:val="20"/>
        </w:rPr>
        <w:t>misrepresentations</w:t>
      </w:r>
      <w:r>
        <w:rPr>
          <w:spacing w:val="-2"/>
          <w:sz w:val="20"/>
        </w:rPr>
        <w:t> </w:t>
      </w:r>
      <w:r>
        <w:rPr>
          <w:sz w:val="20"/>
        </w:rPr>
        <w:t>are</w:t>
      </w:r>
      <w:r>
        <w:rPr>
          <w:spacing w:val="-2"/>
          <w:sz w:val="20"/>
        </w:rPr>
        <w:t> </w:t>
      </w:r>
      <w:r>
        <w:rPr>
          <w:sz w:val="20"/>
        </w:rPr>
        <w:t>made</w:t>
      </w:r>
      <w:r>
        <w:rPr>
          <w:spacing w:val="-2"/>
          <w:sz w:val="20"/>
        </w:rPr>
        <w:t> </w:t>
      </w:r>
      <w:r>
        <w:rPr>
          <w:sz w:val="20"/>
        </w:rPr>
        <w:t>in</w:t>
      </w:r>
      <w:r>
        <w:rPr>
          <w:spacing w:val="-2"/>
          <w:sz w:val="20"/>
        </w:rPr>
        <w:t> </w:t>
      </w:r>
      <w:r>
        <w:rPr>
          <w:sz w:val="20"/>
        </w:rPr>
        <w:t>a</w:t>
      </w:r>
      <w:r>
        <w:rPr>
          <w:spacing w:val="-2"/>
          <w:sz w:val="20"/>
        </w:rPr>
        <w:t> </w:t>
      </w:r>
      <w:r>
        <w:rPr>
          <w:sz w:val="20"/>
        </w:rPr>
        <w:t>document</w:t>
      </w:r>
      <w:r>
        <w:rPr>
          <w:spacing w:val="-2"/>
          <w:sz w:val="20"/>
        </w:rPr>
        <w:t> </w:t>
      </w:r>
      <w:r>
        <w:rPr>
          <w:sz w:val="20"/>
        </w:rPr>
        <w:t>issued</w:t>
      </w:r>
      <w:r>
        <w:rPr>
          <w:spacing w:val="-2"/>
          <w:sz w:val="20"/>
        </w:rPr>
        <w:t> </w:t>
      </w:r>
      <w:r>
        <w:rPr>
          <w:sz w:val="20"/>
        </w:rPr>
        <w:t>by</w:t>
      </w:r>
      <w:r>
        <w:rPr>
          <w:spacing w:val="-2"/>
          <w:sz w:val="20"/>
        </w:rPr>
        <w:t> </w:t>
      </w:r>
      <w:r>
        <w:rPr>
          <w:sz w:val="20"/>
        </w:rPr>
        <w:t>the promoters before the company is formed: </w:t>
      </w:r>
      <w:r>
        <w:rPr>
          <w:rFonts w:ascii="Arial" w:hAnsi="Arial"/>
          <w:i/>
          <w:sz w:val="20"/>
        </w:rPr>
        <w:t>Karberg’s Case [1892] 3 Ch. 1</w:t>
      </w:r>
      <w:r>
        <w:rPr>
          <w:sz w:val="20"/>
        </w:rPr>
        <w:t>.</w:t>
      </w:r>
    </w:p>
    <w:p>
      <w:pPr>
        <w:pStyle w:val="BodyText"/>
        <w:spacing w:before="9"/>
      </w:pPr>
    </w:p>
    <w:p>
      <w:pPr>
        <w:spacing w:line="235" w:lineRule="auto" w:before="0"/>
        <w:ind w:left="705" w:right="168" w:hanging="541"/>
        <w:jc w:val="both"/>
        <w:rPr>
          <w:sz w:val="20"/>
        </w:rPr>
      </w:pPr>
      <w:bookmarkStart w:name="_bookmark1506" w:id="1508"/>
      <w:bookmarkEnd w:id="1508"/>
      <w:r>
        <w:rPr/>
      </w:r>
      <w:hyperlink w:history="true" w:anchor="_bookmark1497">
        <w:r>
          <w:rPr>
            <w:color w:val="005DA1"/>
            <w:position w:val="5"/>
            <w:sz w:val="14"/>
            <w:u w:val="single" w:color="005DA1"/>
          </w:rPr>
          <w:t>795</w:t>
        </w:r>
      </w:hyperlink>
      <w:r>
        <w:rPr>
          <w:position w:val="5"/>
          <w:sz w:val="14"/>
        </w:rPr>
        <w:t>.</w:t>
      </w:r>
      <w:r>
        <w:rPr>
          <w:spacing w:val="80"/>
          <w:w w:val="150"/>
          <w:position w:val="5"/>
          <w:sz w:val="14"/>
        </w:rPr>
        <w:t> </w:t>
      </w:r>
      <w:r>
        <w:rPr>
          <w:rFonts w:ascii="Arial"/>
          <w:i/>
          <w:sz w:val="20"/>
        </w:rPr>
        <w:t>Erlanger v New Phosphate Co (1878) 3 App. Cas. 1218</w:t>
      </w:r>
      <w:r>
        <w:rPr>
          <w:sz w:val="20"/>
        </w:rPr>
        <w:t>; </w:t>
      </w:r>
      <w:r>
        <w:rPr>
          <w:rFonts w:ascii="Arial"/>
          <w:i/>
          <w:sz w:val="20"/>
        </w:rPr>
        <w:t>Lagunas Nitrate Co v </w:t>
      </w:r>
      <w:r>
        <w:rPr>
          <w:rFonts w:ascii="Arial"/>
          <w:i/>
          <w:sz w:val="20"/>
        </w:rPr>
        <w:t>Lagunas Syndicate [1899] 2 Ch. 392</w:t>
      </w:r>
      <w:r>
        <w:rPr>
          <w:sz w:val="20"/>
        </w:rPr>
        <w:t>; </w:t>
      </w:r>
      <w:r>
        <w:rPr>
          <w:rFonts w:ascii="Arial"/>
          <w:i/>
          <w:sz w:val="20"/>
        </w:rPr>
        <w:t>Re Leeds and Hanley Theatre of Varieties [1902] 2 Ch. 809</w:t>
      </w:r>
      <w:r>
        <w:rPr>
          <w:sz w:val="20"/>
        </w:rPr>
        <w:t>; see also below, para.10-054.</w:t>
      </w:r>
    </w:p>
    <w:p>
      <w:pPr>
        <w:pStyle w:val="BodyText"/>
        <w:spacing w:before="5"/>
      </w:pPr>
    </w:p>
    <w:p>
      <w:pPr>
        <w:tabs>
          <w:tab w:pos="705" w:val="left" w:leader="none"/>
        </w:tabs>
        <w:spacing w:before="0"/>
        <w:ind w:left="165" w:right="0" w:firstLine="0"/>
        <w:jc w:val="left"/>
        <w:rPr>
          <w:sz w:val="20"/>
        </w:rPr>
      </w:pPr>
      <w:bookmarkStart w:name="_bookmark1507" w:id="1509"/>
      <w:bookmarkEnd w:id="1509"/>
      <w:r>
        <w:rPr/>
      </w:r>
      <w:hyperlink w:history="true" w:anchor="_bookmark1498">
        <w:r>
          <w:rPr>
            <w:color w:val="005DA1"/>
            <w:spacing w:val="-4"/>
            <w:position w:val="5"/>
            <w:sz w:val="14"/>
            <w:u w:val="single" w:color="005DA1"/>
          </w:rPr>
          <w:t>796</w:t>
        </w:r>
      </w:hyperlink>
      <w:r>
        <w:rPr>
          <w:spacing w:val="-4"/>
          <w:position w:val="5"/>
          <w:sz w:val="14"/>
        </w:rPr>
        <w:t>.</w:t>
      </w:r>
      <w:r>
        <w:rPr>
          <w:position w:val="5"/>
          <w:sz w:val="14"/>
        </w:rPr>
        <w:tab/>
      </w:r>
      <w:r>
        <w:rPr>
          <w:rFonts w:ascii="Arial"/>
          <w:i/>
          <w:sz w:val="20"/>
        </w:rPr>
        <w:t>Gluckstein v Barnes [1900] A.C. </w:t>
      </w:r>
      <w:r>
        <w:rPr>
          <w:rFonts w:ascii="Arial"/>
          <w:i/>
          <w:spacing w:val="-4"/>
          <w:sz w:val="20"/>
        </w:rPr>
        <w:t>240</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508" w:id="1510"/>
      <w:bookmarkEnd w:id="1510"/>
      <w:r>
        <w:rPr/>
      </w:r>
      <w:hyperlink w:history="true" w:anchor="_bookmark1498">
        <w:r>
          <w:rPr>
            <w:color w:val="005DA1"/>
            <w:spacing w:val="-4"/>
            <w:position w:val="5"/>
            <w:sz w:val="14"/>
            <w:u w:val="single" w:color="005DA1"/>
          </w:rPr>
          <w:t>797</w:t>
        </w:r>
      </w:hyperlink>
      <w:r>
        <w:rPr>
          <w:spacing w:val="-4"/>
          <w:position w:val="5"/>
          <w:sz w:val="14"/>
        </w:rPr>
        <w:t>.</w:t>
      </w:r>
      <w:r>
        <w:rPr>
          <w:position w:val="5"/>
          <w:sz w:val="14"/>
        </w:rPr>
        <w:tab/>
      </w:r>
      <w:r>
        <w:rPr>
          <w:rFonts w:ascii="Arial"/>
          <w:i/>
          <w:sz w:val="20"/>
        </w:rPr>
        <w:t>Erlanger</w:t>
      </w:r>
      <w:r>
        <w:rPr>
          <w:rFonts w:ascii="Arial"/>
          <w:i/>
          <w:spacing w:val="30"/>
          <w:sz w:val="20"/>
        </w:rPr>
        <w:t> </w:t>
      </w:r>
      <w:r>
        <w:rPr>
          <w:rFonts w:ascii="Arial"/>
          <w:i/>
          <w:sz w:val="20"/>
        </w:rPr>
        <w:t>v</w:t>
      </w:r>
      <w:r>
        <w:rPr>
          <w:rFonts w:ascii="Arial"/>
          <w:i/>
          <w:spacing w:val="30"/>
          <w:sz w:val="20"/>
        </w:rPr>
        <w:t> </w:t>
      </w:r>
      <w:r>
        <w:rPr>
          <w:rFonts w:ascii="Arial"/>
          <w:i/>
          <w:sz w:val="20"/>
        </w:rPr>
        <w:t>New</w:t>
      </w:r>
      <w:r>
        <w:rPr>
          <w:rFonts w:ascii="Arial"/>
          <w:i/>
          <w:spacing w:val="30"/>
          <w:sz w:val="20"/>
        </w:rPr>
        <w:t> </w:t>
      </w:r>
      <w:r>
        <w:rPr>
          <w:rFonts w:ascii="Arial"/>
          <w:i/>
          <w:sz w:val="20"/>
        </w:rPr>
        <w:t>Sombrero</w:t>
      </w:r>
      <w:r>
        <w:rPr>
          <w:rFonts w:ascii="Arial"/>
          <w:i/>
          <w:spacing w:val="30"/>
          <w:sz w:val="20"/>
        </w:rPr>
        <w:t> </w:t>
      </w:r>
      <w:r>
        <w:rPr>
          <w:rFonts w:ascii="Arial"/>
          <w:i/>
          <w:sz w:val="20"/>
        </w:rPr>
        <w:t>Phosphate</w:t>
      </w:r>
      <w:r>
        <w:rPr>
          <w:rFonts w:ascii="Arial"/>
          <w:i/>
          <w:spacing w:val="30"/>
          <w:sz w:val="20"/>
        </w:rPr>
        <w:t> </w:t>
      </w:r>
      <w:r>
        <w:rPr>
          <w:rFonts w:ascii="Arial"/>
          <w:i/>
          <w:sz w:val="20"/>
        </w:rPr>
        <w:t>Co</w:t>
      </w:r>
      <w:r>
        <w:rPr>
          <w:rFonts w:ascii="Arial"/>
          <w:i/>
          <w:spacing w:val="30"/>
          <w:sz w:val="20"/>
        </w:rPr>
        <w:t> </w:t>
      </w:r>
      <w:r>
        <w:rPr>
          <w:rFonts w:ascii="Arial"/>
          <w:i/>
          <w:sz w:val="20"/>
        </w:rPr>
        <w:t>(1878)</w:t>
      </w:r>
      <w:r>
        <w:rPr>
          <w:rFonts w:ascii="Arial"/>
          <w:i/>
          <w:spacing w:val="30"/>
          <w:sz w:val="20"/>
        </w:rPr>
        <w:t> </w:t>
      </w:r>
      <w:r>
        <w:rPr>
          <w:rFonts w:ascii="Arial"/>
          <w:i/>
          <w:sz w:val="20"/>
        </w:rPr>
        <w:t>3</w:t>
      </w:r>
      <w:r>
        <w:rPr>
          <w:rFonts w:ascii="Arial"/>
          <w:i/>
          <w:spacing w:val="30"/>
          <w:sz w:val="20"/>
        </w:rPr>
        <w:t> </w:t>
      </w:r>
      <w:r>
        <w:rPr>
          <w:rFonts w:ascii="Arial"/>
          <w:i/>
          <w:sz w:val="20"/>
        </w:rPr>
        <w:t>App.</w:t>
      </w:r>
      <w:r>
        <w:rPr>
          <w:rFonts w:ascii="Arial"/>
          <w:i/>
          <w:spacing w:val="30"/>
          <w:sz w:val="20"/>
        </w:rPr>
        <w:t> </w:t>
      </w:r>
      <w:r>
        <w:rPr>
          <w:rFonts w:ascii="Arial"/>
          <w:i/>
          <w:sz w:val="20"/>
        </w:rPr>
        <w:t>Cas.</w:t>
      </w:r>
      <w:r>
        <w:rPr>
          <w:rFonts w:ascii="Arial"/>
          <w:i/>
          <w:spacing w:val="30"/>
          <w:sz w:val="20"/>
        </w:rPr>
        <w:t> </w:t>
      </w:r>
      <w:r>
        <w:rPr>
          <w:rFonts w:ascii="Arial"/>
          <w:i/>
          <w:sz w:val="20"/>
        </w:rPr>
        <w:t>1218</w:t>
      </w:r>
      <w:r>
        <w:rPr>
          <w:rFonts w:ascii="Arial"/>
          <w:i/>
          <w:spacing w:val="29"/>
          <w:sz w:val="20"/>
        </w:rPr>
        <w:t> </w:t>
      </w:r>
      <w:r>
        <w:rPr>
          <w:sz w:val="20"/>
        </w:rPr>
        <w:t>(provided</w:t>
      </w:r>
      <w:r>
        <w:rPr>
          <w:spacing w:val="30"/>
          <w:sz w:val="20"/>
        </w:rPr>
        <w:t> </w:t>
      </w:r>
      <w:r>
        <w:rPr>
          <w:sz w:val="20"/>
        </w:rPr>
        <w:t>of</w:t>
      </w:r>
      <w:r>
        <w:rPr>
          <w:spacing w:val="30"/>
          <w:sz w:val="20"/>
        </w:rPr>
        <w:t> </w:t>
      </w:r>
      <w:r>
        <w:rPr>
          <w:sz w:val="20"/>
        </w:rPr>
        <w:t>course</w:t>
      </w:r>
      <w:r>
        <w:rPr>
          <w:spacing w:val="30"/>
          <w:sz w:val="20"/>
        </w:rPr>
        <w:t> </w:t>
      </w:r>
      <w:r>
        <w:rPr>
          <w:sz w:val="20"/>
        </w:rPr>
        <w:t>that restitutio in integrum is still possible).</w:t>
      </w:r>
    </w:p>
    <w:p>
      <w:pPr>
        <w:pStyle w:val="BodyText"/>
        <w:spacing w:before="193"/>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160" w:bottom="280" w:left="1275" w:right="1275"/>
        </w:sectPr>
      </w:pPr>
    </w:p>
    <w:p>
      <w:pPr>
        <w:pStyle w:val="Heading2"/>
        <w:spacing w:before="194"/>
        <w:ind w:left="3325"/>
      </w:pPr>
      <w:r>
        <w:rPr/>
        <w:t>(c) - Family </w:t>
      </w:r>
      <w:r>
        <w:rPr>
          <w:spacing w:val="-2"/>
        </w:rPr>
        <w:t>Settlements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Family </w:t>
      </w:r>
      <w:r>
        <w:rPr>
          <w:rFonts w:ascii="Arial"/>
          <w:b/>
          <w:spacing w:val="-2"/>
          <w:sz w:val="18"/>
        </w:rPr>
        <w:t>settlements</w:t>
      </w:r>
    </w:p>
    <w:p>
      <w:pPr>
        <w:pStyle w:val="BodyText"/>
        <w:spacing w:before="41"/>
        <w:rPr>
          <w:rFonts w:ascii="Arial"/>
          <w:b/>
          <w:sz w:val="18"/>
        </w:rPr>
      </w:pPr>
    </w:p>
    <w:p>
      <w:pPr>
        <w:pStyle w:val="Heading2"/>
      </w:pPr>
      <w:r>
        <w:rPr/>
        <w:t>7-</w:t>
      </w:r>
      <w:r>
        <w:rPr>
          <w:spacing w:val="-5"/>
        </w:rPr>
        <w:t>171</w:t>
      </w:r>
    </w:p>
    <w:p>
      <w:pPr>
        <w:pStyle w:val="BodyText"/>
        <w:spacing w:line="235" w:lineRule="auto" w:before="203"/>
        <w:ind w:left="165" w:right="167"/>
        <w:jc w:val="both"/>
      </w:pPr>
      <w:r>
        <w:rPr/>
        <w:t>In these and in negotiations for these there must not only be an absence of misrepresentation but </w:t>
      </w:r>
      <w:r>
        <w:rPr/>
        <w:t>a full communication of all material facts known to the parties. Any failure to disclose may be a ground </w:t>
      </w:r>
      <w:bookmarkStart w:name="_bookmark1509" w:id="1511"/>
      <w:bookmarkEnd w:id="1511"/>
      <w:r>
        <w:rPr/>
        <w:t>for</w:t>
      </w:r>
      <w:r>
        <w:rPr/>
        <w:t> setting aside the settlement, and it is immaterial that information was withheld because of a mistaken opinion as to its accuracy or importance. In </w:t>
      </w:r>
      <w:r>
        <w:rPr>
          <w:rFonts w:ascii="Arial" w:hAnsi="Arial"/>
          <w:i/>
        </w:rPr>
        <w:t>Gordon v Gordon </w:t>
      </w:r>
      <w:r>
        <w:rPr>
          <w:color w:val="005DA1"/>
          <w:u w:val="single" w:color="005DA1"/>
          <w:vertAlign w:val="superscript"/>
        </w:rPr>
        <w:t>798</w:t>
      </w:r>
      <w:r>
        <w:rPr>
          <w:color w:val="005DA1"/>
          <w:vertAlign w:val="baseline"/>
        </w:rPr>
        <w:t> </w:t>
      </w:r>
      <w:r>
        <w:rPr>
          <w:vertAlign w:val="baseline"/>
        </w:rPr>
        <w:t>a division of property, based on the assumption that the eldest son was illegitimate, was set aside after 19 years on proof that the younger son had withheld knowledge of a marriage ceremony that had taken place between </w:t>
      </w:r>
      <w:bookmarkStart w:name="_bookmark1510" w:id="1512"/>
      <w:bookmarkEnd w:id="1512"/>
      <w:r>
        <w:rPr>
          <w:vertAlign w:val="baseline"/>
        </w:rPr>
        <w:t>his</w:t>
      </w:r>
      <w:r>
        <w:rPr>
          <w:vertAlign w:val="baseline"/>
        </w:rPr>
        <w:t> parents before the birth of his brother. Lord Eldon said that “whether the omission of disclosure </w:t>
      </w:r>
      <w:bookmarkStart w:name="_bookmark1511" w:id="1513"/>
      <w:bookmarkEnd w:id="1513"/>
      <w:r>
        <w:rPr>
          <w:vertAlign w:val="baseline"/>
        </w:rPr>
        <w:t>originated</w:t>
      </w:r>
      <w:r>
        <w:rPr>
          <w:vertAlign w:val="baseline"/>
        </w:rPr>
        <w:t> in design, or in honest opinion of the invalidity of the ceremony”, </w:t>
      </w:r>
      <w:r>
        <w:rPr>
          <w:color w:val="005DA1"/>
          <w:u w:val="single" w:color="005DA1"/>
          <w:vertAlign w:val="superscript"/>
        </w:rPr>
        <w:t>799</w:t>
      </w:r>
      <w:r>
        <w:rPr>
          <w:color w:val="005DA1"/>
          <w:vertAlign w:val="baseline"/>
        </w:rPr>
        <w:t> </w:t>
      </w:r>
      <w:r>
        <w:rPr>
          <w:vertAlign w:val="baseline"/>
        </w:rPr>
        <w:t>the agreement could not stand. On the other hand, in </w:t>
      </w:r>
      <w:r>
        <w:rPr>
          <w:rFonts w:ascii="Arial" w:hAnsi="Arial"/>
          <w:i/>
          <w:vertAlign w:val="baseline"/>
        </w:rPr>
        <w:t>Wales v Wadham </w:t>
      </w:r>
      <w:r>
        <w:rPr>
          <w:color w:val="005DA1"/>
          <w:u w:val="single" w:color="005DA1"/>
          <w:vertAlign w:val="superscript"/>
        </w:rPr>
        <w:t>800</w:t>
      </w:r>
      <w:r>
        <w:rPr>
          <w:color w:val="005DA1"/>
          <w:vertAlign w:val="baseline"/>
        </w:rPr>
        <w:t> </w:t>
      </w:r>
      <w:r>
        <w:rPr>
          <w:vertAlign w:val="baseline"/>
        </w:rPr>
        <w:t>it was held that a wife was under no duty to disclose to her husband, when they were negotiating for a financial settlement to be embodied in a consent order after divorce, that she intended to remarry. In the particular circumstances of the case, the</w:t>
      </w:r>
      <w:r>
        <w:rPr>
          <w:spacing w:val="-1"/>
          <w:vertAlign w:val="baseline"/>
        </w:rPr>
        <w:t> </w:t>
      </w:r>
      <w:r>
        <w:rPr>
          <w:vertAlign w:val="baseline"/>
        </w:rPr>
        <w:t>parties</w:t>
      </w:r>
      <w:r>
        <w:rPr>
          <w:spacing w:val="-1"/>
          <w:vertAlign w:val="baseline"/>
        </w:rPr>
        <w:t> </w:t>
      </w:r>
      <w:r>
        <w:rPr>
          <w:vertAlign w:val="baseline"/>
        </w:rPr>
        <w:t>had</w:t>
      </w:r>
      <w:r>
        <w:rPr>
          <w:spacing w:val="-1"/>
          <w:vertAlign w:val="baseline"/>
        </w:rPr>
        <w:t> </w:t>
      </w:r>
      <w:r>
        <w:rPr>
          <w:vertAlign w:val="baseline"/>
        </w:rPr>
        <w:t>been</w:t>
      </w:r>
      <w:r>
        <w:rPr>
          <w:spacing w:val="-1"/>
          <w:vertAlign w:val="baseline"/>
        </w:rPr>
        <w:t> </w:t>
      </w:r>
      <w:r>
        <w:rPr>
          <w:vertAlign w:val="baseline"/>
        </w:rPr>
        <w:t>negotiating</w:t>
      </w:r>
      <w:r>
        <w:rPr>
          <w:spacing w:val="-1"/>
          <w:vertAlign w:val="baseline"/>
        </w:rPr>
        <w:t> </w:t>
      </w:r>
      <w:r>
        <w:rPr>
          <w:vertAlign w:val="baseline"/>
        </w:rPr>
        <w:t>a</w:t>
      </w:r>
      <w:r>
        <w:rPr>
          <w:spacing w:val="-1"/>
          <w:vertAlign w:val="baseline"/>
        </w:rPr>
        <w:t> </w:t>
      </w:r>
      <w:r>
        <w:rPr>
          <w:vertAlign w:val="baseline"/>
        </w:rPr>
        <w:t>compromise</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basis</w:t>
      </w:r>
      <w:r>
        <w:rPr>
          <w:spacing w:val="-1"/>
          <w:vertAlign w:val="baseline"/>
        </w:rPr>
        <w:t> </w:t>
      </w:r>
      <w:r>
        <w:rPr>
          <w:vertAlign w:val="baseline"/>
        </w:rPr>
        <w:t>that</w:t>
      </w:r>
      <w:r>
        <w:rPr>
          <w:spacing w:val="-1"/>
          <w:vertAlign w:val="baseline"/>
        </w:rPr>
        <w:t> </w:t>
      </w:r>
      <w:r>
        <w:rPr>
          <w:vertAlign w:val="baseline"/>
        </w:rPr>
        <w:t>neither</w:t>
      </w:r>
      <w:r>
        <w:rPr>
          <w:spacing w:val="-1"/>
          <w:vertAlign w:val="baseline"/>
        </w:rPr>
        <w:t> </w:t>
      </w:r>
      <w:r>
        <w:rPr>
          <w:vertAlign w:val="baseline"/>
        </w:rPr>
        <w:t>party</w:t>
      </w:r>
      <w:r>
        <w:rPr>
          <w:spacing w:val="-1"/>
          <w:vertAlign w:val="baseline"/>
        </w:rPr>
        <w:t> </w:t>
      </w:r>
      <w:r>
        <w:rPr>
          <w:vertAlign w:val="baseline"/>
        </w:rPr>
        <w:t>was</w:t>
      </w:r>
      <w:r>
        <w:rPr>
          <w:spacing w:val="-1"/>
          <w:vertAlign w:val="baseline"/>
        </w:rPr>
        <w:t> </w:t>
      </w:r>
      <w:r>
        <w:rPr>
          <w:vertAlign w:val="baseline"/>
        </w:rPr>
        <w:t>required</w:t>
      </w:r>
      <w:r>
        <w:rPr>
          <w:spacing w:val="-1"/>
          <w:vertAlign w:val="baseline"/>
        </w:rPr>
        <w:t> </w:t>
      </w:r>
      <w:r>
        <w:rPr>
          <w:vertAlign w:val="baseline"/>
        </w:rPr>
        <w:t>to</w:t>
      </w:r>
      <w:r>
        <w:rPr>
          <w:spacing w:val="-1"/>
          <w:vertAlign w:val="baseline"/>
        </w:rPr>
        <w:t> </w:t>
      </w:r>
      <w:r>
        <w:rPr>
          <w:vertAlign w:val="baseline"/>
        </w:rPr>
        <w:t>make</w:t>
      </w:r>
      <w:r>
        <w:rPr>
          <w:spacing w:val="-1"/>
          <w:vertAlign w:val="baseline"/>
        </w:rPr>
        <w:t> </w:t>
      </w:r>
      <w:r>
        <w:rPr>
          <w:vertAlign w:val="baseline"/>
        </w:rPr>
        <w:t>a </w:t>
      </w:r>
      <w:bookmarkStart w:name="_bookmark1512" w:id="1514"/>
      <w:bookmarkEnd w:id="1514"/>
      <w:r>
        <w:rPr>
          <w:vertAlign w:val="baseline"/>
        </w:rPr>
        <w:t>full</w:t>
      </w:r>
      <w:r>
        <w:rPr>
          <w:vertAlign w:val="baseline"/>
        </w:rPr>
        <w:t> disclosure. However, </w:t>
      </w:r>
      <w:r>
        <w:rPr>
          <w:rFonts w:ascii="Arial" w:hAnsi="Arial"/>
          <w:i/>
          <w:vertAlign w:val="baseline"/>
        </w:rPr>
        <w:t>Wales v Wadham </w:t>
      </w:r>
      <w:r>
        <w:rPr>
          <w:vertAlign w:val="baseline"/>
        </w:rPr>
        <w:t>was overruled so far as it related to disclosure in proceedings for financial relief by the House of Lords in </w:t>
      </w:r>
      <w:r>
        <w:rPr>
          <w:rFonts w:ascii="Arial" w:hAnsi="Arial"/>
          <w:i/>
          <w:vertAlign w:val="baseline"/>
        </w:rPr>
        <w:t>Livesey v Jenkins</w:t>
      </w:r>
      <w:r>
        <w:rPr>
          <w:vertAlign w:val="baseline"/>
        </w:rPr>
        <w:t>. </w:t>
      </w:r>
      <w:r>
        <w:rPr>
          <w:color w:val="005DA1"/>
          <w:u w:val="single" w:color="005DA1"/>
          <w:vertAlign w:val="superscript"/>
        </w:rPr>
        <w:t>801</w:t>
      </w:r>
      <w:r>
        <w:rPr>
          <w:color w:val="005DA1"/>
          <w:vertAlign w:val="baseline"/>
        </w:rPr>
        <w:t> </w:t>
      </w:r>
      <w:r>
        <w:rPr>
          <w:vertAlign w:val="baseline"/>
        </w:rPr>
        <w:t>This held that the relevant statutory provisions required a court exercising jurisdiction to make financial provision or </w:t>
      </w:r>
      <w:bookmarkStart w:name="_bookmark1513" w:id="1515"/>
      <w:bookmarkEnd w:id="1515"/>
      <w:r>
        <w:rPr>
          <w:vertAlign w:val="baseline"/>
        </w:rPr>
        <w:t>property</w:t>
      </w:r>
      <w:r>
        <w:rPr>
          <w:vertAlign w:val="baseline"/>
        </w:rPr>
        <w:t> adjustment between spouses to be placed in full possession of the facts, so that each side must make full disclosure. </w:t>
      </w:r>
      <w:r>
        <w:rPr>
          <w:color w:val="005DA1"/>
          <w:u w:val="single" w:color="005DA1"/>
          <w:vertAlign w:val="superscript"/>
        </w:rPr>
        <w:t>802</w:t>
      </w:r>
      <w:r>
        <w:rPr>
          <w:color w:val="005DA1"/>
          <w:vertAlign w:val="baseline"/>
        </w:rPr>
        <w:t> </w:t>
      </w:r>
      <w:r>
        <w:rPr>
          <w:vertAlign w:val="baseline"/>
        </w:rPr>
        <w:t>These decisions leave it uncertain whether the common law today recognises family settlements as contracts uberrimae fidei.</w:t>
      </w:r>
    </w:p>
    <w:p>
      <w:pPr>
        <w:pStyle w:val="BodyText"/>
      </w:pPr>
    </w:p>
    <w:p>
      <w:pPr>
        <w:pStyle w:val="BodyText"/>
        <w:spacing w:before="33"/>
      </w:pPr>
      <w:r>
        <w:rPr/>
        <mc:AlternateContent>
          <mc:Choice Requires="wps">
            <w:drawing>
              <wp:anchor distT="0" distB="0" distL="0" distR="0" allowOverlap="1" layoutInCell="1" locked="0" behindDoc="1" simplePos="0" relativeHeight="487654400">
                <wp:simplePos x="0" y="0"/>
                <wp:positionH relativeFrom="page">
                  <wp:posOffset>914400</wp:posOffset>
                </wp:positionH>
                <wp:positionV relativeFrom="paragraph">
                  <wp:posOffset>182380</wp:posOffset>
                </wp:positionV>
                <wp:extent cx="5724525" cy="1270"/>
                <wp:effectExtent l="0" t="0" r="0" b="0"/>
                <wp:wrapTopAndBottom/>
                <wp:docPr id="275" name="Graphic 275"/>
                <wp:cNvGraphicFramePr>
                  <a:graphicFrameLocks/>
                </wp:cNvGraphicFramePr>
                <a:graphic>
                  <a:graphicData uri="http://schemas.microsoft.com/office/word/2010/wordprocessingShape">
                    <wps:wsp>
                      <wps:cNvPr id="275" name="Graphic 27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36068pt;width:450.75pt;height:.1pt;mso-position-horizontal-relative:page;mso-position-vertical-relative:paragraph;z-index:-15662080;mso-wrap-distance-left:0;mso-wrap-distance-right:0" id="docshape34" coordorigin="1440,287" coordsize="9015,0" path="m1440,287l10454,287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3929600">
                <wp:simplePos x="0" y="0"/>
                <wp:positionH relativeFrom="page">
                  <wp:posOffset>914400</wp:posOffset>
                </wp:positionH>
                <wp:positionV relativeFrom="paragraph">
                  <wp:posOffset>94576</wp:posOffset>
                </wp:positionV>
                <wp:extent cx="49530" cy="1270"/>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386880" from="72pt,7.446977pt" to="75.892pt,7.446977pt" stroked="true" strokeweight=".5pt" strokecolor="#005da1">
                <v:stroke dashstyle="solid"/>
                <w10:wrap type="none"/>
              </v:line>
            </w:pict>
          </mc:Fallback>
        </mc:AlternateContent>
      </w:r>
      <w:hyperlink w:history="true" w:anchor="_bookmark1576">
        <w:r>
          <w:rPr>
            <w:color w:val="005DA1"/>
            <w:spacing w:val="-6"/>
            <w:position w:val="5"/>
            <w:sz w:val="14"/>
          </w:rPr>
          <w:t>1</w:t>
        </w:r>
      </w:hyperlink>
      <w:r>
        <w:rPr>
          <w:spacing w:val="-6"/>
          <w:position w:val="5"/>
          <w:sz w:val="14"/>
        </w:rPr>
        <w:t>.</w:t>
      </w:r>
      <w:r>
        <w:rPr>
          <w:position w:val="5"/>
          <w:sz w:val="14"/>
        </w:rPr>
        <w:tab/>
      </w:r>
      <w:r>
        <w:rPr>
          <w:sz w:val="20"/>
        </w:rPr>
        <w:t>See Allen, </w:t>
      </w:r>
      <w:r>
        <w:rPr>
          <w:rFonts w:ascii="Arial"/>
          <w:i/>
          <w:sz w:val="20"/>
        </w:rPr>
        <w:t>Misrepresentation </w:t>
      </w:r>
      <w:r>
        <w:rPr>
          <w:sz w:val="20"/>
        </w:rPr>
        <w:t>(1988); Cartwright, </w:t>
      </w:r>
      <w:r>
        <w:rPr>
          <w:rFonts w:ascii="Arial"/>
          <w:i/>
          <w:sz w:val="20"/>
        </w:rPr>
        <w:t>Unequal Bargaining </w:t>
      </w:r>
      <w:r>
        <w:rPr>
          <w:sz w:val="20"/>
        </w:rPr>
        <w:t>(1991), Ch.3; </w:t>
      </w:r>
      <w:r>
        <w:rPr>
          <w:sz w:val="20"/>
        </w:rPr>
        <w:t>Cartwright, Misrepresentation, Mistake and Non-disclosure, 4th edn (2016); Spencer Bower and Handley, </w:t>
      </w:r>
      <w:r>
        <w:rPr>
          <w:rFonts w:ascii="Arial"/>
          <w:i/>
          <w:sz w:val="20"/>
        </w:rPr>
        <w:t>Actionable Misrepresentation</w:t>
      </w:r>
      <w:r>
        <w:rPr>
          <w:sz w:val="20"/>
        </w:rPr>
        <w:t>, 5th edn (2014).</w:t>
      </w:r>
    </w:p>
    <w:p>
      <w:pPr>
        <w:pStyle w:val="BodyText"/>
        <w:spacing w:before="5"/>
      </w:pPr>
    </w:p>
    <w:p>
      <w:pPr>
        <w:tabs>
          <w:tab w:pos="705" w:val="left" w:leader="none"/>
        </w:tabs>
        <w:spacing w:before="0"/>
        <w:ind w:left="165" w:right="0" w:firstLine="0"/>
        <w:jc w:val="left"/>
        <w:rPr>
          <w:sz w:val="20"/>
        </w:rPr>
      </w:pPr>
      <w:bookmarkStart w:name="_bookmark1514" w:id="1516"/>
      <w:bookmarkEnd w:id="1516"/>
      <w:r>
        <w:rPr/>
      </w:r>
      <w:hyperlink w:history="true" w:anchor="_bookmark1509">
        <w:r>
          <w:rPr>
            <w:color w:val="005DA1"/>
            <w:spacing w:val="-4"/>
            <w:position w:val="5"/>
            <w:sz w:val="14"/>
            <w:u w:val="single" w:color="005DA1"/>
          </w:rPr>
          <w:t>798</w:t>
        </w:r>
      </w:hyperlink>
      <w:r>
        <w:rPr>
          <w:spacing w:val="-4"/>
          <w:position w:val="5"/>
          <w:sz w:val="14"/>
        </w:rPr>
        <w:t>.</w:t>
      </w:r>
      <w:r>
        <w:rPr>
          <w:position w:val="5"/>
          <w:sz w:val="14"/>
        </w:rPr>
        <w:tab/>
      </w:r>
      <w:r>
        <w:rPr>
          <w:rFonts w:ascii="Arial" w:hAnsi="Arial"/>
          <w:i/>
          <w:sz w:val="20"/>
        </w:rPr>
        <w:t>(1816–19)</w:t>
      </w:r>
      <w:r>
        <w:rPr>
          <w:rFonts w:ascii="Arial" w:hAnsi="Arial"/>
          <w:i/>
          <w:spacing w:val="-1"/>
          <w:sz w:val="20"/>
        </w:rPr>
        <w:t> </w:t>
      </w:r>
      <w:r>
        <w:rPr>
          <w:rFonts w:ascii="Arial" w:hAnsi="Arial"/>
          <w:i/>
          <w:sz w:val="20"/>
        </w:rPr>
        <w:t>3 Swans. 400</w:t>
      </w:r>
      <w:r>
        <w:rPr>
          <w:sz w:val="20"/>
        </w:rPr>
        <w:t>; see also</w:t>
      </w:r>
      <w:r>
        <w:rPr>
          <w:spacing w:val="-1"/>
          <w:sz w:val="20"/>
        </w:rPr>
        <w:t> </w:t>
      </w:r>
      <w:r>
        <w:rPr>
          <w:rFonts w:ascii="Arial" w:hAnsi="Arial"/>
          <w:i/>
          <w:sz w:val="20"/>
        </w:rPr>
        <w:t>Fane v Fane (1875) L.R. 20 Eq. </w:t>
      </w:r>
      <w:r>
        <w:rPr>
          <w:rFonts w:ascii="Arial" w:hAnsi="Arial"/>
          <w:i/>
          <w:spacing w:val="-4"/>
          <w:sz w:val="20"/>
        </w:rPr>
        <w:t>698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515" w:id="1517"/>
      <w:bookmarkEnd w:id="1517"/>
      <w:r>
        <w:rPr/>
      </w:r>
      <w:hyperlink w:history="true" w:anchor="_bookmark1510">
        <w:r>
          <w:rPr>
            <w:color w:val="005DA1"/>
            <w:spacing w:val="-4"/>
            <w:position w:val="5"/>
            <w:sz w:val="14"/>
            <w:u w:val="single" w:color="005DA1"/>
          </w:rPr>
          <w:t>799</w:t>
        </w:r>
      </w:hyperlink>
      <w:r>
        <w:rPr>
          <w:spacing w:val="-4"/>
          <w:position w:val="5"/>
          <w:sz w:val="14"/>
        </w:rPr>
        <w:t>.</w:t>
      </w:r>
      <w:r>
        <w:rPr>
          <w:position w:val="5"/>
          <w:sz w:val="14"/>
        </w:rPr>
        <w:tab/>
      </w:r>
      <w:r>
        <w:rPr>
          <w:rFonts w:ascii="Arial" w:hAnsi="Arial"/>
          <w:i/>
          <w:sz w:val="20"/>
        </w:rPr>
        <w:t>(1816–19) 3 Swans. 400, </w:t>
      </w:r>
      <w:r>
        <w:rPr>
          <w:rFonts w:ascii="Arial" w:hAnsi="Arial"/>
          <w:i/>
          <w:spacing w:val="-4"/>
          <w:sz w:val="20"/>
        </w:rPr>
        <w:t>477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516" w:id="1518"/>
      <w:bookmarkEnd w:id="1518"/>
      <w:r>
        <w:rPr/>
      </w:r>
      <w:hyperlink w:history="true" w:anchor="_bookmark1511">
        <w:r>
          <w:rPr>
            <w:color w:val="005DA1"/>
            <w:spacing w:val="-4"/>
            <w:position w:val="5"/>
            <w:sz w:val="14"/>
            <w:u w:val="single" w:color="005DA1"/>
          </w:rPr>
          <w:t>800</w:t>
        </w:r>
      </w:hyperlink>
      <w:r>
        <w:rPr>
          <w:spacing w:val="-4"/>
          <w:position w:val="5"/>
          <w:sz w:val="14"/>
        </w:rPr>
        <w:t>.</w:t>
      </w:r>
      <w:r>
        <w:rPr>
          <w:position w:val="5"/>
          <w:sz w:val="14"/>
        </w:rPr>
        <w:tab/>
      </w:r>
      <w:r>
        <w:rPr>
          <w:rFonts w:ascii="Arial"/>
          <w:i/>
          <w:sz w:val="20"/>
        </w:rPr>
        <w:t>[1977]</w:t>
      </w:r>
      <w:r>
        <w:rPr>
          <w:rFonts w:ascii="Arial"/>
          <w:i/>
          <w:spacing w:val="-2"/>
          <w:sz w:val="20"/>
        </w:rPr>
        <w:t> </w:t>
      </w:r>
      <w:r>
        <w:rPr>
          <w:rFonts w:ascii="Arial"/>
          <w:i/>
          <w:sz w:val="20"/>
        </w:rPr>
        <w:t>1 W.L.R. </w:t>
      </w:r>
      <w:r>
        <w:rPr>
          <w:rFonts w:ascii="Arial"/>
          <w:i/>
          <w:spacing w:val="-4"/>
          <w:sz w:val="20"/>
        </w:rPr>
        <w:t>199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517" w:id="1519"/>
      <w:bookmarkEnd w:id="1519"/>
      <w:r>
        <w:rPr/>
      </w:r>
      <w:hyperlink w:history="true" w:anchor="_bookmark1512">
        <w:r>
          <w:rPr>
            <w:color w:val="005DA1"/>
            <w:spacing w:val="-4"/>
            <w:position w:val="5"/>
            <w:sz w:val="14"/>
            <w:u w:val="single" w:color="005DA1"/>
          </w:rPr>
          <w:t>801</w:t>
        </w:r>
      </w:hyperlink>
      <w:r>
        <w:rPr>
          <w:spacing w:val="-4"/>
          <w:position w:val="5"/>
          <w:sz w:val="14"/>
        </w:rPr>
        <w:t>.</w:t>
      </w:r>
      <w:r>
        <w:rPr>
          <w:position w:val="5"/>
          <w:sz w:val="14"/>
        </w:rPr>
        <w:tab/>
      </w:r>
      <w:r>
        <w:rPr>
          <w:rFonts w:ascii="Arial"/>
          <w:i/>
          <w:sz w:val="20"/>
        </w:rPr>
        <w:t>[1985]</w:t>
      </w:r>
      <w:r>
        <w:rPr>
          <w:rFonts w:ascii="Arial"/>
          <w:i/>
          <w:spacing w:val="-1"/>
          <w:sz w:val="20"/>
        </w:rPr>
        <w:t> </w:t>
      </w:r>
      <w:r>
        <w:rPr>
          <w:rFonts w:ascii="Arial"/>
          <w:i/>
          <w:sz w:val="20"/>
        </w:rPr>
        <w:t>A.C. 424</w:t>
      </w:r>
      <w:r>
        <w:rPr>
          <w:sz w:val="20"/>
        </w:rPr>
        <w:t>. See above, para.7-022 </w:t>
      </w:r>
      <w:r>
        <w:rPr>
          <w:spacing w:val="-2"/>
          <w:sz w:val="20"/>
        </w:rPr>
        <w:t>n.116.</w:t>
      </w:r>
    </w:p>
    <w:p>
      <w:pPr>
        <w:pStyle w:val="BodyText"/>
        <w:spacing w:before="9"/>
      </w:pPr>
    </w:p>
    <w:p>
      <w:pPr>
        <w:pStyle w:val="BodyText"/>
        <w:tabs>
          <w:tab w:pos="705" w:val="left" w:leader="none"/>
        </w:tabs>
        <w:spacing w:line="235" w:lineRule="auto"/>
        <w:ind w:left="705" w:right="168" w:hanging="541"/>
      </w:pPr>
      <w:bookmarkStart w:name="_bookmark1518" w:id="1520"/>
      <w:bookmarkEnd w:id="1520"/>
      <w:r>
        <w:rPr/>
      </w:r>
      <w:hyperlink w:history="true" w:anchor="_bookmark1513">
        <w:r>
          <w:rPr>
            <w:color w:val="005DA1"/>
            <w:spacing w:val="-4"/>
            <w:position w:val="5"/>
            <w:sz w:val="14"/>
            <w:u w:val="single" w:color="005DA1"/>
          </w:rPr>
          <w:t>802</w:t>
        </w:r>
      </w:hyperlink>
      <w:r>
        <w:rPr>
          <w:spacing w:val="-4"/>
          <w:position w:val="5"/>
          <w:sz w:val="14"/>
        </w:rPr>
        <w:t>.</w:t>
      </w:r>
      <w:r>
        <w:rPr>
          <w:position w:val="5"/>
          <w:sz w:val="14"/>
        </w:rPr>
        <w:tab/>
      </w:r>
      <w:r>
        <w:rPr/>
        <w:t>Matrimonial Causes Act 1973 s.25, now replaced by Matrimonial and Family Proceedings Act</w:t>
      </w:r>
      <w:r>
        <w:rPr>
          <w:spacing w:val="40"/>
        </w:rPr>
        <w:t> </w:t>
      </w:r>
      <w:r>
        <w:rPr/>
        <w:t>1984 s.3.</w:t>
      </w:r>
    </w:p>
    <w:p>
      <w:pPr>
        <w:pStyle w:val="BodyText"/>
        <w:spacing w:before="192"/>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22"/>
          <w:pgSz w:w="11900" w:h="16840"/>
          <w:pgMar w:header="992" w:footer="0" w:top="4240" w:bottom="280" w:left="1275" w:right="1275"/>
        </w:sectPr>
      </w:pPr>
    </w:p>
    <w:p>
      <w:pPr>
        <w:pStyle w:val="Heading2"/>
        <w:numPr>
          <w:ilvl w:val="0"/>
          <w:numId w:val="2"/>
        </w:numPr>
        <w:tabs>
          <w:tab w:pos="3071" w:val="left" w:leader="none"/>
        </w:tabs>
        <w:spacing w:line="240" w:lineRule="auto" w:before="194" w:after="0"/>
        <w:ind w:left="3071" w:right="0" w:hanging="373"/>
        <w:jc w:val="left"/>
      </w:pPr>
      <w:r>
        <w:rPr/>
        <w:t>- Contracts for the Sale of </w:t>
      </w:r>
      <w:r>
        <w:rPr>
          <w:spacing w:val="-4"/>
        </w:rPr>
        <w:t>Land</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Sales of </w:t>
      </w:r>
      <w:r>
        <w:rPr>
          <w:rFonts w:ascii="Arial"/>
          <w:b/>
          <w:spacing w:val="-4"/>
          <w:sz w:val="18"/>
        </w:rPr>
        <w:t>land</w:t>
      </w:r>
    </w:p>
    <w:p>
      <w:pPr>
        <w:pStyle w:val="BodyText"/>
        <w:spacing w:before="41"/>
        <w:rPr>
          <w:rFonts w:ascii="Arial"/>
          <w:b/>
          <w:sz w:val="18"/>
        </w:rPr>
      </w:pPr>
    </w:p>
    <w:p>
      <w:pPr>
        <w:pStyle w:val="Heading2"/>
        <w:ind w:left="164"/>
      </w:pPr>
      <w:r>
        <w:rPr/>
        <w:t>7-</w:t>
      </w:r>
      <w:r>
        <w:rPr>
          <w:spacing w:val="-5"/>
        </w:rPr>
        <w:t>172</w:t>
      </w:r>
    </w:p>
    <w:p>
      <w:pPr>
        <w:pStyle w:val="BodyText"/>
        <w:spacing w:line="235" w:lineRule="auto" w:before="203"/>
        <w:ind w:left="164" w:right="167"/>
        <w:jc w:val="both"/>
      </w:pPr>
      <w:bookmarkStart w:name="_bookmark1519" w:id="1521"/>
      <w:bookmarkEnd w:id="1521"/>
      <w:r>
        <w:rPr/>
      </w:r>
      <w:r>
        <w:rPr/>
        <w:t>Contracts for the sale of land are not uberrimae fidei in the sense that the vendor has to make to the purchaser a full disclosure of all material facts. </w:t>
      </w:r>
      <w:r>
        <w:rPr>
          <w:color w:val="005DA1"/>
          <w:u w:val="single" w:color="005DA1"/>
          <w:vertAlign w:val="superscript"/>
        </w:rPr>
        <w:t>803</w:t>
      </w:r>
      <w:r>
        <w:rPr>
          <w:color w:val="005DA1"/>
          <w:vertAlign w:val="baseline"/>
        </w:rPr>
        <w:t> </w:t>
      </w:r>
      <w:r>
        <w:rPr>
          <w:vertAlign w:val="baseline"/>
        </w:rPr>
        <w:t>In the absence of actual misrepresentation </w:t>
      </w:r>
      <w:r>
        <w:rPr>
          <w:color w:val="005DA1"/>
          <w:u w:val="single" w:color="005DA1"/>
          <w:vertAlign w:val="superscript"/>
        </w:rPr>
        <w:t>804</w:t>
      </w:r>
      <w:r>
        <w:rPr>
          <w:color w:val="005DA1"/>
          <w:vertAlign w:val="baseline"/>
        </w:rPr>
        <w:t> </w:t>
      </w:r>
      <w:r>
        <w:rPr>
          <w:vertAlign w:val="baseline"/>
        </w:rPr>
        <w:t>the general rule is caveat emptor. But certain qualifications must be made because the vendor is under a duty to disclose defects relating to title. Every material defect in the vendor’s title must be disclosed, because if the title is in fact defective the vendor will be unable to perform his contract in the absence of a condition that the purchaser should accept a defective title. In consequence, if any such defect is not disclosed the purchaser may rescind the contract or resist a suit for specific performance. But it has been persuasively argued that there is in addition a duty on the vendor to disclose all latent defects in his title, since if an undisclosed latent defect appears the purchaser may apparently </w:t>
      </w:r>
      <w:bookmarkStart w:name="_bookmark1520" w:id="1522"/>
      <w:bookmarkEnd w:id="1522"/>
      <w:r>
        <w:rPr>
          <w:vertAlign w:val="baseline"/>
        </w:rPr>
        <w:t>terminate</w:t>
      </w:r>
      <w:r>
        <w:rPr>
          <w:vertAlign w:val="baseline"/>
        </w:rPr>
        <w:t> the contract without waiting to see whether the vendor will be able to remove the defect before the date for completion. </w:t>
      </w:r>
      <w:r>
        <w:rPr>
          <w:color w:val="005DA1"/>
          <w:u w:val="single" w:color="005DA1"/>
          <w:vertAlign w:val="superscript"/>
        </w:rPr>
        <w:t>805</w:t>
      </w:r>
      <w:r>
        <w:rPr>
          <w:color w:val="005DA1"/>
          <w:vertAlign w:val="baseline"/>
        </w:rPr>
        <w:t> </w:t>
      </w:r>
      <w:r>
        <w:rPr>
          <w:vertAlign w:val="baseline"/>
        </w:rPr>
        <w:t>However, as it appears that all defects must be revealed whether known to the vendor or not, and that if a latent defect is not revealed the purchaser may recover </w:t>
      </w:r>
      <w:bookmarkStart w:name="_bookmark1521" w:id="1523"/>
      <w:bookmarkEnd w:id="1523"/>
      <w:r>
        <w:rPr>
          <w:vertAlign w:val="baseline"/>
        </w:rPr>
        <w:t>damages</w:t>
      </w:r>
      <w:r>
        <w:rPr>
          <w:vertAlign w:val="baseline"/>
        </w:rPr>
        <w:t> for breach of contract, it seems that the duty must be based on an implied term of the contract. </w:t>
      </w:r>
      <w:r>
        <w:rPr>
          <w:color w:val="005DA1"/>
          <w:u w:val="single" w:color="005DA1"/>
          <w:vertAlign w:val="superscript"/>
        </w:rPr>
        <w:t>806</w:t>
      </w:r>
    </w:p>
    <w:p>
      <w:pPr>
        <w:pStyle w:val="BodyText"/>
        <w:spacing w:before="76"/>
      </w:pPr>
    </w:p>
    <w:p>
      <w:pPr>
        <w:pStyle w:val="Heading2"/>
      </w:pPr>
      <w:r>
        <w:rPr/>
        <w:t>7-</w:t>
      </w:r>
      <w:r>
        <w:rPr>
          <w:spacing w:val="-5"/>
        </w:rPr>
        <w:t>173</w:t>
      </w:r>
    </w:p>
    <w:p>
      <w:pPr>
        <w:pStyle w:val="BodyText"/>
        <w:spacing w:line="235" w:lineRule="auto" w:before="203"/>
        <w:ind w:left="164" w:right="167"/>
        <w:jc w:val="both"/>
      </w:pPr>
      <w:bookmarkStart w:name="_bookmark1522" w:id="1524"/>
      <w:bookmarkEnd w:id="1524"/>
      <w:r>
        <w:rPr/>
      </w:r>
      <w:r>
        <w:rPr/>
        <w:t>It seems that any fact which will prevent the purchaser from obtaining such a title as he was led to expect may constitute a defect in title. </w:t>
      </w:r>
      <w:r>
        <w:rPr>
          <w:color w:val="005DA1"/>
          <w:u w:val="single" w:color="005DA1"/>
          <w:vertAlign w:val="superscript"/>
        </w:rPr>
        <w:t>807</w:t>
      </w:r>
      <w:r>
        <w:rPr>
          <w:color w:val="005DA1"/>
          <w:vertAlign w:val="baseline"/>
        </w:rPr>
        <w:t> </w:t>
      </w:r>
      <w:r>
        <w:rPr>
          <w:vertAlign w:val="baseline"/>
        </w:rPr>
        <w:t>So where the subject of the sale was a leasehold interest, </w:t>
      </w:r>
      <w:bookmarkStart w:name="_bookmark1523" w:id="1525"/>
      <w:bookmarkEnd w:id="1525"/>
      <w:r>
        <w:rPr>
          <w:vertAlign w:val="baseline"/>
        </w:rPr>
        <w:t>and</w:t>
      </w:r>
      <w:r>
        <w:rPr>
          <w:vertAlign w:val="baseline"/>
        </w:rPr>
        <w:t> the lease contained onerous and unusual covenants which were not disclosed by the vendor, </w:t>
      </w:r>
      <w:r>
        <w:rPr>
          <w:vertAlign w:val="baseline"/>
        </w:rPr>
        <w:t>the purchaser was held to be entitled to rescind the contract. </w:t>
      </w:r>
      <w:r>
        <w:rPr>
          <w:color w:val="005DA1"/>
          <w:u w:val="single" w:color="005DA1"/>
          <w:vertAlign w:val="superscript"/>
        </w:rPr>
        <w:t>808</w:t>
      </w:r>
      <w:r>
        <w:rPr>
          <w:color w:val="005DA1"/>
          <w:vertAlign w:val="baseline"/>
        </w:rPr>
        <w:t> </w:t>
      </w:r>
      <w:r>
        <w:rPr>
          <w:vertAlign w:val="baseline"/>
        </w:rPr>
        <w:t>It has also been suggested that a tenant </w:t>
      </w:r>
      <w:bookmarkStart w:name="_bookmark1524" w:id="1526"/>
      <w:bookmarkEnd w:id="1526"/>
      <w:r>
        <w:rPr>
          <w:vertAlign w:val="baseline"/>
        </w:rPr>
        <w:t>who</w:t>
      </w:r>
      <w:r>
        <w:rPr>
          <w:vertAlign w:val="baseline"/>
        </w:rPr>
        <w:t> is selling his leasehold interest is bound to disclose receipt of notice from his landlord of an intention to proceed under a rent review clause. </w:t>
      </w:r>
      <w:r>
        <w:rPr>
          <w:color w:val="005DA1"/>
          <w:u w:val="single" w:color="005DA1"/>
          <w:vertAlign w:val="superscript"/>
        </w:rPr>
        <w:t>809</w:t>
      </w:r>
      <w:r>
        <w:rPr>
          <w:color w:val="005DA1"/>
          <w:vertAlign w:val="baseline"/>
        </w:rPr>
        <w:t> </w:t>
      </w:r>
      <w:r>
        <w:rPr>
          <w:vertAlign w:val="baseline"/>
        </w:rPr>
        <w:t>A purchaser may, of course, contract to accept a </w:t>
      </w:r>
      <w:bookmarkStart w:name="_bookmark1525" w:id="1527"/>
      <w:bookmarkEnd w:id="1527"/>
      <w:r>
        <w:rPr>
          <w:vertAlign w:val="baseline"/>
        </w:rPr>
        <w:t>defective</w:t>
      </w:r>
      <w:r>
        <w:rPr>
          <w:vertAlign w:val="baseline"/>
        </w:rPr>
        <w:t> title, but even an express agreement to this effect will not (it seems) save the vendor where he fails to disclose defects known to him. </w:t>
      </w:r>
      <w:r>
        <w:rPr>
          <w:color w:val="005DA1"/>
          <w:u w:val="single" w:color="005DA1"/>
          <w:vertAlign w:val="superscript"/>
        </w:rPr>
        <w:t>810</w:t>
      </w:r>
      <w:r>
        <w:rPr>
          <w:color w:val="005DA1"/>
          <w:vertAlign w:val="baseline"/>
        </w:rPr>
        <w:t> </w:t>
      </w:r>
      <w:r>
        <w:rPr>
          <w:vertAlign w:val="baseline"/>
        </w:rPr>
        <w:t>A purchaser is not obliged to disclose any information he may have which may affect the value of the property; but it has been held that a purchaser who </w:t>
      </w:r>
      <w:bookmarkStart w:name="_bookmark1526" w:id="1528"/>
      <w:bookmarkEnd w:id="1528"/>
      <w:r>
        <w:rPr>
          <w:vertAlign w:val="baseline"/>
        </w:rPr>
        <w:t>applies</w:t>
      </w:r>
      <w:r>
        <w:rPr>
          <w:vertAlign w:val="baseline"/>
        </w:rPr>
        <w:t> for planning permission in the name of the vendor prior to the exchange of contracts is acting as a self-appointed agent, and may thereby come under fiduciary duties to the vendor. </w:t>
      </w:r>
      <w:r>
        <w:rPr>
          <w:color w:val="005DA1"/>
          <w:u w:val="single" w:color="005DA1"/>
          <w:vertAlign w:val="superscript"/>
        </w:rPr>
        <w:t>811</w:t>
      </w:r>
    </w:p>
    <w:p>
      <w:pPr>
        <w:pStyle w:val="BodyText"/>
      </w:pPr>
    </w:p>
    <w:p>
      <w:pPr>
        <w:pStyle w:val="BodyText"/>
        <w:spacing w:before="35"/>
      </w:pPr>
      <w:r>
        <w:rPr/>
        <mc:AlternateContent>
          <mc:Choice Requires="wps">
            <w:drawing>
              <wp:anchor distT="0" distB="0" distL="0" distR="0" allowOverlap="1" layoutInCell="1" locked="0" behindDoc="1" simplePos="0" relativeHeight="487655424">
                <wp:simplePos x="0" y="0"/>
                <wp:positionH relativeFrom="page">
                  <wp:posOffset>914400</wp:posOffset>
                </wp:positionH>
                <wp:positionV relativeFrom="paragraph">
                  <wp:posOffset>183889</wp:posOffset>
                </wp:positionV>
                <wp:extent cx="5724525" cy="1270"/>
                <wp:effectExtent l="0" t="0" r="0" b="0"/>
                <wp:wrapTopAndBottom/>
                <wp:docPr id="277" name="Graphic 277"/>
                <wp:cNvGraphicFramePr>
                  <a:graphicFrameLocks/>
                </wp:cNvGraphicFramePr>
                <a:graphic>
                  <a:graphicData uri="http://schemas.microsoft.com/office/word/2010/wordprocessingShape">
                    <wps:wsp>
                      <wps:cNvPr id="277" name="Graphic 27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79527pt;width:450.75pt;height:.1pt;mso-position-horizontal-relative:page;mso-position-vertical-relative:paragraph;z-index:-15661056;mso-wrap-distance-left:0;mso-wrap-distance-right:0" id="docshape35" coordorigin="1440,290" coordsize="9015,0" path="m1440,290l10454,290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3930624">
                <wp:simplePos x="0" y="0"/>
                <wp:positionH relativeFrom="page">
                  <wp:posOffset>914400</wp:posOffset>
                </wp:positionH>
                <wp:positionV relativeFrom="paragraph">
                  <wp:posOffset>94576</wp:posOffset>
                </wp:positionV>
                <wp:extent cx="49530" cy="127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385856" from="72pt,7.446977pt" to="75.892pt,7.446977pt" stroked="true" strokeweight=".5pt" strokecolor="#005da1">
                <v:stroke dashstyle="solid"/>
                <w10:wrap type="none"/>
              </v:line>
            </w:pict>
          </mc:Fallback>
        </mc:AlternateContent>
      </w:r>
      <w:hyperlink w:history="true" w:anchor="_bookmark1576">
        <w:r>
          <w:rPr>
            <w:color w:val="005DA1"/>
            <w:spacing w:val="-6"/>
            <w:position w:val="5"/>
            <w:sz w:val="14"/>
          </w:rPr>
          <w:t>1</w:t>
        </w:r>
      </w:hyperlink>
      <w:r>
        <w:rPr>
          <w:spacing w:val="-6"/>
          <w:position w:val="5"/>
          <w:sz w:val="14"/>
        </w:rPr>
        <w:t>.</w:t>
      </w:r>
      <w:r>
        <w:rPr>
          <w:position w:val="5"/>
          <w:sz w:val="14"/>
        </w:rPr>
        <w:tab/>
      </w:r>
      <w:r>
        <w:rPr>
          <w:sz w:val="20"/>
        </w:rPr>
        <w:t>See Allen, </w:t>
      </w:r>
      <w:r>
        <w:rPr>
          <w:rFonts w:ascii="Arial"/>
          <w:i/>
          <w:sz w:val="20"/>
        </w:rPr>
        <w:t>Misrepresentation </w:t>
      </w:r>
      <w:r>
        <w:rPr>
          <w:sz w:val="20"/>
        </w:rPr>
        <w:t>(1988); Cartwright, </w:t>
      </w:r>
      <w:r>
        <w:rPr>
          <w:rFonts w:ascii="Arial"/>
          <w:i/>
          <w:sz w:val="20"/>
        </w:rPr>
        <w:t>Unequal Bargaining </w:t>
      </w:r>
      <w:r>
        <w:rPr>
          <w:sz w:val="20"/>
        </w:rPr>
        <w:t>(1991), Ch.3; </w:t>
      </w:r>
      <w:r>
        <w:rPr>
          <w:sz w:val="20"/>
        </w:rPr>
        <w:t>Cartwright, Misrepresentation, Mistake and Non-disclosure, 4th edn (2016); Spencer Bower and Handley, </w:t>
      </w:r>
      <w:r>
        <w:rPr>
          <w:rFonts w:ascii="Arial"/>
          <w:i/>
          <w:sz w:val="20"/>
        </w:rPr>
        <w:t>Actionable Misrepresentation</w:t>
      </w:r>
      <w:r>
        <w:rPr>
          <w:sz w:val="20"/>
        </w:rPr>
        <w:t>, 5th edn (2014).</w:t>
      </w:r>
    </w:p>
    <w:p>
      <w:pPr>
        <w:pStyle w:val="BodyText"/>
        <w:spacing w:before="9"/>
      </w:pPr>
    </w:p>
    <w:p>
      <w:pPr>
        <w:pStyle w:val="BodyText"/>
        <w:spacing w:line="235" w:lineRule="auto"/>
        <w:ind w:left="705" w:right="167" w:hanging="541"/>
        <w:jc w:val="both"/>
      </w:pPr>
      <w:bookmarkStart w:name="_bookmark1527" w:id="1529"/>
      <w:bookmarkEnd w:id="1529"/>
      <w:r>
        <w:rPr/>
      </w:r>
      <w:hyperlink w:history="true" w:anchor="_bookmark1519">
        <w:r>
          <w:rPr>
            <w:color w:val="005DA1"/>
            <w:position w:val="5"/>
            <w:sz w:val="14"/>
            <w:u w:val="single" w:color="005DA1"/>
          </w:rPr>
          <w:t>803</w:t>
        </w:r>
      </w:hyperlink>
      <w:r>
        <w:rPr>
          <w:position w:val="5"/>
          <w:sz w:val="14"/>
        </w:rPr>
        <w:t>.</w:t>
      </w:r>
      <w:r>
        <w:rPr>
          <w:spacing w:val="40"/>
          <w:position w:val="5"/>
          <w:sz w:val="14"/>
        </w:rPr>
        <w:t>  </w:t>
      </w:r>
      <w:r>
        <w:rPr/>
        <w:t>It had been intended that vendors (or their estate agents) of larger types of residential </w:t>
      </w:r>
      <w:r>
        <w:rPr/>
        <w:t>property would</w:t>
      </w:r>
      <w:r>
        <w:rPr>
          <w:spacing w:val="-2"/>
        </w:rPr>
        <w:t> </w:t>
      </w:r>
      <w:r>
        <w:rPr/>
        <w:t>be</w:t>
      </w:r>
      <w:r>
        <w:rPr>
          <w:spacing w:val="-2"/>
        </w:rPr>
        <w:t> </w:t>
      </w:r>
      <w:r>
        <w:rPr/>
        <w:t>required</w:t>
      </w:r>
      <w:r>
        <w:rPr>
          <w:spacing w:val="-2"/>
        </w:rPr>
        <w:t> </w:t>
      </w:r>
      <w:r>
        <w:rPr/>
        <w:t>to</w:t>
      </w:r>
      <w:r>
        <w:rPr>
          <w:spacing w:val="-2"/>
        </w:rPr>
        <w:t> </w:t>
      </w:r>
      <w:r>
        <w:rPr/>
        <w:t>provide</w:t>
      </w:r>
      <w:r>
        <w:rPr>
          <w:spacing w:val="-2"/>
        </w:rPr>
        <w:t> </w:t>
      </w:r>
      <w:r>
        <w:rPr/>
        <w:t>on</w:t>
      </w:r>
      <w:r>
        <w:rPr>
          <w:spacing w:val="-2"/>
        </w:rPr>
        <w:t> </w:t>
      </w:r>
      <w:r>
        <w:rPr/>
        <w:t>request</w:t>
      </w:r>
      <w:r>
        <w:rPr>
          <w:spacing w:val="-2"/>
        </w:rPr>
        <w:t> </w:t>
      </w:r>
      <w:r>
        <w:rPr/>
        <w:t>a</w:t>
      </w:r>
      <w:r>
        <w:rPr>
          <w:spacing w:val="-2"/>
        </w:rPr>
        <w:t> </w:t>
      </w:r>
      <w:r>
        <w:rPr/>
        <w:t>“Home</w:t>
      </w:r>
      <w:r>
        <w:rPr>
          <w:spacing w:val="-2"/>
        </w:rPr>
        <w:t> </w:t>
      </w:r>
      <w:r>
        <w:rPr/>
        <w:t>Information</w:t>
      </w:r>
      <w:r>
        <w:rPr>
          <w:spacing w:val="-2"/>
        </w:rPr>
        <w:t> </w:t>
      </w:r>
      <w:r>
        <w:rPr/>
        <w:t>Pack”</w:t>
      </w:r>
      <w:r>
        <w:rPr>
          <w:spacing w:val="-2"/>
        </w:rPr>
        <w:t> </w:t>
      </w:r>
      <w:r>
        <w:rPr/>
        <w:t>including</w:t>
      </w:r>
      <w:r>
        <w:rPr>
          <w:spacing w:val="-2"/>
        </w:rPr>
        <w:t> </w:t>
      </w:r>
      <w:r>
        <w:rPr/>
        <w:t>a</w:t>
      </w:r>
      <w:r>
        <w:rPr>
          <w:spacing w:val="-2"/>
        </w:rPr>
        <w:t> </w:t>
      </w:r>
      <w:r>
        <w:rPr/>
        <w:t>“home</w:t>
      </w:r>
      <w:r>
        <w:rPr>
          <w:spacing w:val="-2"/>
        </w:rPr>
        <w:t> </w:t>
      </w:r>
      <w:r>
        <w:rPr/>
        <w:t>condition report”</w:t>
      </w:r>
      <w:r>
        <w:rPr>
          <w:spacing w:val="12"/>
        </w:rPr>
        <w:t> </w:t>
      </w:r>
      <w:r>
        <w:rPr/>
        <w:t>prepared</w:t>
      </w:r>
      <w:r>
        <w:rPr>
          <w:spacing w:val="12"/>
        </w:rPr>
        <w:t> </w:t>
      </w:r>
      <w:r>
        <w:rPr/>
        <w:t>by</w:t>
      </w:r>
      <w:r>
        <w:rPr>
          <w:spacing w:val="12"/>
        </w:rPr>
        <w:t> </w:t>
      </w:r>
      <w:r>
        <w:rPr/>
        <w:t>a</w:t>
      </w:r>
      <w:r>
        <w:rPr>
          <w:spacing w:val="12"/>
        </w:rPr>
        <w:t> </w:t>
      </w:r>
      <w:r>
        <w:rPr/>
        <w:t>home</w:t>
      </w:r>
      <w:r>
        <w:rPr>
          <w:spacing w:val="12"/>
        </w:rPr>
        <w:t> </w:t>
      </w:r>
      <w:r>
        <w:rPr/>
        <w:t>inspector,</w:t>
      </w:r>
      <w:r>
        <w:rPr>
          <w:spacing w:val="12"/>
        </w:rPr>
        <w:t> </w:t>
      </w:r>
      <w:r>
        <w:rPr/>
        <w:t>but</w:t>
      </w:r>
      <w:r>
        <w:rPr>
          <w:spacing w:val="12"/>
        </w:rPr>
        <w:t> </w:t>
      </w:r>
      <w:r>
        <w:rPr/>
        <w:t>the</w:t>
      </w:r>
      <w:r>
        <w:rPr>
          <w:spacing w:val="12"/>
        </w:rPr>
        <w:t> </w:t>
      </w:r>
      <w:r>
        <w:rPr/>
        <w:t>relevant</w:t>
      </w:r>
      <w:r>
        <w:rPr>
          <w:spacing w:val="12"/>
        </w:rPr>
        <w:t> </w:t>
      </w:r>
      <w:r>
        <w:rPr/>
        <w:t>legislation</w:t>
      </w:r>
      <w:r>
        <w:rPr>
          <w:spacing w:val="12"/>
        </w:rPr>
        <w:t> </w:t>
      </w:r>
      <w:r>
        <w:rPr/>
        <w:t>has</w:t>
      </w:r>
      <w:r>
        <w:rPr>
          <w:spacing w:val="12"/>
        </w:rPr>
        <w:t> </w:t>
      </w:r>
      <w:r>
        <w:rPr/>
        <w:t>now</w:t>
      </w:r>
      <w:r>
        <w:rPr>
          <w:spacing w:val="12"/>
        </w:rPr>
        <w:t> </w:t>
      </w:r>
      <w:r>
        <w:rPr/>
        <w:t>been</w:t>
      </w:r>
      <w:r>
        <w:rPr>
          <w:spacing w:val="12"/>
        </w:rPr>
        <w:t> </w:t>
      </w:r>
      <w:r>
        <w:rPr/>
        <w:t>repealed;</w:t>
      </w:r>
      <w:r>
        <w:rPr>
          <w:spacing w:val="12"/>
        </w:rPr>
        <w:t> </w:t>
      </w:r>
      <w:r>
        <w:rPr>
          <w:spacing w:val="-5"/>
        </w:rPr>
        <w:t>see</w:t>
      </w:r>
    </w:p>
    <w:p>
      <w:pPr>
        <w:pStyle w:val="BodyText"/>
        <w:spacing w:after="0" w:line="235" w:lineRule="auto"/>
        <w:jc w:val="both"/>
        <w:sectPr>
          <w:pgSz w:w="11900" w:h="16840"/>
          <w:pgMar w:header="992" w:footer="0" w:top="4240" w:bottom="280" w:left="1275" w:right="1275"/>
        </w:sectPr>
      </w:pPr>
    </w:p>
    <w:p>
      <w:pPr>
        <w:pStyle w:val="BodyText"/>
        <w:spacing w:before="81"/>
      </w:pPr>
    </w:p>
    <w:p>
      <w:pPr>
        <w:pStyle w:val="BodyText"/>
        <w:ind w:left="705"/>
      </w:pPr>
      <w:r>
        <w:rPr/>
        <w:t>above, para.7-</w:t>
      </w:r>
      <w:r>
        <w:rPr>
          <w:spacing w:val="-4"/>
        </w:rPr>
        <w:t>101.</w:t>
      </w:r>
    </w:p>
    <w:p>
      <w:pPr>
        <w:pStyle w:val="BodyText"/>
        <w:spacing w:before="5"/>
      </w:pPr>
    </w:p>
    <w:p>
      <w:pPr>
        <w:tabs>
          <w:tab w:pos="705" w:val="left" w:leader="none"/>
        </w:tabs>
        <w:spacing w:before="0"/>
        <w:ind w:left="165" w:right="0" w:firstLine="0"/>
        <w:jc w:val="left"/>
        <w:rPr>
          <w:sz w:val="20"/>
        </w:rPr>
      </w:pPr>
      <w:bookmarkStart w:name="_bookmark1528" w:id="1530"/>
      <w:bookmarkEnd w:id="1530"/>
      <w:r>
        <w:rPr/>
      </w:r>
      <w:hyperlink w:history="true" w:anchor="_bookmark1519">
        <w:r>
          <w:rPr>
            <w:color w:val="005DA1"/>
            <w:spacing w:val="-4"/>
            <w:position w:val="5"/>
            <w:sz w:val="14"/>
            <w:u w:val="single" w:color="005DA1"/>
          </w:rPr>
          <w:t>804</w:t>
        </w:r>
      </w:hyperlink>
      <w:r>
        <w:rPr>
          <w:spacing w:val="-4"/>
          <w:position w:val="5"/>
          <w:sz w:val="14"/>
        </w:rPr>
        <w:t>.</w:t>
      </w:r>
      <w:r>
        <w:rPr>
          <w:position w:val="5"/>
          <w:sz w:val="14"/>
        </w:rPr>
        <w:tab/>
      </w:r>
      <w:r>
        <w:rPr>
          <w:sz w:val="20"/>
        </w:rPr>
        <w:t>See</w:t>
      </w:r>
      <w:r>
        <w:rPr>
          <w:spacing w:val="-1"/>
          <w:sz w:val="20"/>
        </w:rPr>
        <w:t> </w:t>
      </w:r>
      <w:r>
        <w:rPr>
          <w:rFonts w:ascii="Arial"/>
          <w:i/>
          <w:sz w:val="20"/>
        </w:rPr>
        <w:t>Dyster v Randall [1926] Ch. </w:t>
      </w:r>
      <w:r>
        <w:rPr>
          <w:rFonts w:ascii="Arial"/>
          <w:i/>
          <w:spacing w:val="-4"/>
          <w:sz w:val="20"/>
        </w:rPr>
        <w:t>932</w:t>
      </w:r>
      <w:r>
        <w:rPr>
          <w:spacing w:val="-4"/>
          <w:sz w:val="20"/>
        </w:rPr>
        <w:t>.</w:t>
      </w:r>
    </w:p>
    <w:p>
      <w:pPr>
        <w:pStyle w:val="BodyText"/>
        <w:spacing w:before="9"/>
      </w:pPr>
    </w:p>
    <w:p>
      <w:pPr>
        <w:spacing w:line="235" w:lineRule="auto" w:before="0"/>
        <w:ind w:left="705" w:right="168" w:hanging="541"/>
        <w:jc w:val="both"/>
        <w:rPr>
          <w:sz w:val="20"/>
        </w:rPr>
      </w:pPr>
      <w:bookmarkStart w:name="_bookmark1529" w:id="1531"/>
      <w:bookmarkEnd w:id="1531"/>
      <w:r>
        <w:rPr/>
      </w:r>
      <w:hyperlink w:history="true" w:anchor="_bookmark1520">
        <w:r>
          <w:rPr>
            <w:color w:val="005DA1"/>
            <w:position w:val="5"/>
            <w:sz w:val="14"/>
            <w:u w:val="single" w:color="005DA1"/>
          </w:rPr>
          <w:t>805</w:t>
        </w:r>
      </w:hyperlink>
      <w:r>
        <w:rPr>
          <w:position w:val="5"/>
          <w:sz w:val="14"/>
        </w:rPr>
        <w:t>.</w:t>
      </w:r>
      <w:r>
        <w:rPr>
          <w:spacing w:val="80"/>
          <w:position w:val="5"/>
          <w:sz w:val="14"/>
        </w:rPr>
        <w:t>  </w:t>
      </w:r>
      <w:r>
        <w:rPr>
          <w:sz w:val="20"/>
        </w:rPr>
        <w:t>Harpum</w:t>
      </w:r>
      <w:r>
        <w:rPr>
          <w:spacing w:val="-1"/>
          <w:sz w:val="20"/>
        </w:rPr>
        <w:t> </w:t>
      </w:r>
      <w:r>
        <w:rPr>
          <w:sz w:val="20"/>
        </w:rPr>
        <w:t>(1992)</w:t>
      </w:r>
      <w:r>
        <w:rPr>
          <w:spacing w:val="-1"/>
          <w:sz w:val="20"/>
        </w:rPr>
        <w:t> </w:t>
      </w:r>
      <w:r>
        <w:rPr>
          <w:sz w:val="20"/>
        </w:rPr>
        <w:t>108</w:t>
      </w:r>
      <w:r>
        <w:rPr>
          <w:spacing w:val="-1"/>
          <w:sz w:val="20"/>
        </w:rPr>
        <w:t> </w:t>
      </w:r>
      <w:r>
        <w:rPr>
          <w:sz w:val="20"/>
        </w:rPr>
        <w:t>L.Q.R.</w:t>
      </w:r>
      <w:r>
        <w:rPr>
          <w:spacing w:val="-1"/>
          <w:sz w:val="20"/>
        </w:rPr>
        <w:t> </w:t>
      </w:r>
      <w:r>
        <w:rPr>
          <w:sz w:val="20"/>
        </w:rPr>
        <w:t>208,</w:t>
      </w:r>
      <w:r>
        <w:rPr>
          <w:spacing w:val="-1"/>
          <w:sz w:val="20"/>
        </w:rPr>
        <w:t> </w:t>
      </w:r>
      <w:r>
        <w:rPr>
          <w:sz w:val="20"/>
        </w:rPr>
        <w:t>relying</w:t>
      </w:r>
      <w:r>
        <w:rPr>
          <w:spacing w:val="-1"/>
          <w:sz w:val="20"/>
        </w:rPr>
        <w:t> </w:t>
      </w:r>
      <w:r>
        <w:rPr>
          <w:sz w:val="20"/>
        </w:rPr>
        <w:t>on,</w:t>
      </w:r>
      <w:r>
        <w:rPr>
          <w:spacing w:val="-1"/>
          <w:sz w:val="20"/>
        </w:rPr>
        <w:t> </w:t>
      </w:r>
      <w:r>
        <w:rPr>
          <w:sz w:val="20"/>
        </w:rPr>
        <w:t>inter</w:t>
      </w:r>
      <w:r>
        <w:rPr>
          <w:spacing w:val="-1"/>
          <w:sz w:val="20"/>
        </w:rPr>
        <w:t> </w:t>
      </w:r>
      <w:r>
        <w:rPr>
          <w:sz w:val="20"/>
        </w:rPr>
        <w:t>alia,</w:t>
      </w:r>
      <w:r>
        <w:rPr>
          <w:spacing w:val="-2"/>
          <w:sz w:val="20"/>
        </w:rPr>
        <w:t> </w:t>
      </w:r>
      <w:r>
        <w:rPr>
          <w:rFonts w:ascii="Arial" w:hAnsi="Arial"/>
          <w:i/>
          <w:sz w:val="20"/>
        </w:rPr>
        <w:t>Carlish</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Salt</w:t>
      </w:r>
      <w:r>
        <w:rPr>
          <w:rFonts w:ascii="Arial" w:hAnsi="Arial"/>
          <w:i/>
          <w:spacing w:val="-1"/>
          <w:sz w:val="20"/>
        </w:rPr>
        <w:t> </w:t>
      </w:r>
      <w:r>
        <w:rPr>
          <w:rFonts w:ascii="Arial" w:hAnsi="Arial"/>
          <w:i/>
          <w:sz w:val="20"/>
        </w:rPr>
        <w:t>[1906]</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Ch.</w:t>
      </w:r>
      <w:r>
        <w:rPr>
          <w:rFonts w:ascii="Arial" w:hAnsi="Arial"/>
          <w:i/>
          <w:spacing w:val="-1"/>
          <w:sz w:val="20"/>
        </w:rPr>
        <w:t> </w:t>
      </w:r>
      <w:r>
        <w:rPr>
          <w:rFonts w:ascii="Arial" w:hAnsi="Arial"/>
          <w:i/>
          <w:sz w:val="20"/>
        </w:rPr>
        <w:t>355</w:t>
      </w:r>
      <w:r>
        <w:rPr>
          <w:rFonts w:ascii="Arial" w:hAnsi="Arial"/>
          <w:i/>
          <w:spacing w:val="-1"/>
          <w:sz w:val="20"/>
        </w:rPr>
        <w:t> </w:t>
      </w:r>
      <w:r>
        <w:rPr>
          <w:sz w:val="20"/>
        </w:rPr>
        <w:t>and</w:t>
      </w:r>
      <w:r>
        <w:rPr>
          <w:spacing w:val="-1"/>
          <w:sz w:val="20"/>
        </w:rPr>
        <w:t> </w:t>
      </w:r>
      <w:r>
        <w:rPr>
          <w:rFonts w:ascii="Arial" w:hAnsi="Arial"/>
          <w:i/>
          <w:sz w:val="20"/>
        </w:rPr>
        <w:t>Reeve v Berridge (1888) 20 Q.B.D. 423</w:t>
      </w:r>
      <w:r>
        <w:rPr>
          <w:sz w:val="20"/>
        </w:rPr>
        <w:t>. The existence of such a duty was accepted by at least the majority of the Court of Appeal in </w:t>
      </w:r>
      <w:r>
        <w:rPr>
          <w:rFonts w:ascii="Arial" w:hAnsi="Arial"/>
          <w:i/>
          <w:sz w:val="20"/>
        </w:rPr>
        <w:t>Peyman v Lanjani [1985] Ch. 457, 482, 496–497</w:t>
      </w:r>
      <w:r>
        <w:rPr>
          <w:sz w:val="20"/>
        </w:rPr>
        <w:t>.</w:t>
      </w:r>
    </w:p>
    <w:p>
      <w:pPr>
        <w:pStyle w:val="BodyText"/>
        <w:spacing w:before="5"/>
      </w:pPr>
    </w:p>
    <w:p>
      <w:pPr>
        <w:pStyle w:val="BodyText"/>
        <w:tabs>
          <w:tab w:pos="705" w:val="left" w:leader="none"/>
        </w:tabs>
        <w:ind w:left="165"/>
      </w:pPr>
      <w:bookmarkStart w:name="_bookmark1530" w:id="1532"/>
      <w:bookmarkEnd w:id="1532"/>
      <w:r>
        <w:rPr/>
      </w:r>
      <w:hyperlink w:history="true" w:anchor="_bookmark1521">
        <w:r>
          <w:rPr>
            <w:color w:val="005DA1"/>
            <w:spacing w:val="-4"/>
            <w:position w:val="5"/>
            <w:sz w:val="14"/>
            <w:u w:val="single" w:color="005DA1"/>
          </w:rPr>
          <w:t>806</w:t>
        </w:r>
      </w:hyperlink>
      <w:r>
        <w:rPr>
          <w:spacing w:val="-4"/>
          <w:position w:val="5"/>
          <w:sz w:val="14"/>
        </w:rPr>
        <w:t>.</w:t>
      </w:r>
      <w:r>
        <w:rPr>
          <w:position w:val="5"/>
          <w:sz w:val="14"/>
        </w:rPr>
        <w:tab/>
      </w:r>
      <w:r>
        <w:rPr/>
        <w:t>Harpum (1992) 108 L.Q.R. 208, </w:t>
      </w:r>
      <w:r>
        <w:rPr>
          <w:spacing w:val="-2"/>
        </w:rPr>
        <w:t>332–333.</w:t>
      </w:r>
    </w:p>
    <w:p>
      <w:pPr>
        <w:pStyle w:val="BodyText"/>
        <w:spacing w:before="5"/>
      </w:pPr>
    </w:p>
    <w:p>
      <w:pPr>
        <w:tabs>
          <w:tab w:pos="705" w:val="left" w:leader="none"/>
        </w:tabs>
        <w:spacing w:before="0"/>
        <w:ind w:left="165" w:right="0" w:firstLine="0"/>
        <w:jc w:val="left"/>
        <w:rPr>
          <w:sz w:val="20"/>
        </w:rPr>
      </w:pPr>
      <w:bookmarkStart w:name="_bookmark1531" w:id="1533"/>
      <w:bookmarkEnd w:id="1533"/>
      <w:r>
        <w:rPr/>
      </w:r>
      <w:hyperlink w:history="true" w:anchor="_bookmark1522">
        <w:r>
          <w:rPr>
            <w:color w:val="005DA1"/>
            <w:spacing w:val="-4"/>
            <w:position w:val="5"/>
            <w:sz w:val="14"/>
            <w:u w:val="single" w:color="005DA1"/>
          </w:rPr>
          <w:t>807</w:t>
        </w:r>
      </w:hyperlink>
      <w:r>
        <w:rPr>
          <w:spacing w:val="-4"/>
          <w:position w:val="5"/>
          <w:sz w:val="14"/>
        </w:rPr>
        <w:t>.</w:t>
      </w:r>
      <w:r>
        <w:rPr>
          <w:position w:val="5"/>
          <w:sz w:val="14"/>
        </w:rPr>
        <w:tab/>
      </w:r>
      <w:r>
        <w:rPr>
          <w:sz w:val="20"/>
        </w:rPr>
        <w:t>But see</w:t>
      </w:r>
      <w:r>
        <w:rPr>
          <w:spacing w:val="-1"/>
          <w:sz w:val="20"/>
        </w:rPr>
        <w:t> </w:t>
      </w:r>
      <w:r>
        <w:rPr>
          <w:rFonts w:ascii="Arial" w:hAnsi="Arial"/>
          <w:i/>
          <w:sz w:val="20"/>
        </w:rPr>
        <w:t>Re Flynn and Newman’s Contract [1948] Ir.R. </w:t>
      </w:r>
      <w:r>
        <w:rPr>
          <w:rFonts w:ascii="Arial" w:hAnsi="Arial"/>
          <w:i/>
          <w:spacing w:val="-4"/>
          <w:sz w:val="20"/>
        </w:rPr>
        <w:t>104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532" w:id="1534"/>
      <w:bookmarkEnd w:id="1534"/>
      <w:r>
        <w:rPr/>
      </w:r>
      <w:hyperlink w:history="true" w:anchor="_bookmark1523">
        <w:r>
          <w:rPr>
            <w:color w:val="005DA1"/>
            <w:spacing w:val="-4"/>
            <w:position w:val="5"/>
            <w:sz w:val="14"/>
            <w:u w:val="single" w:color="005DA1"/>
          </w:rPr>
          <w:t>808</w:t>
        </w:r>
      </w:hyperlink>
      <w:r>
        <w:rPr>
          <w:spacing w:val="-4"/>
          <w:position w:val="5"/>
          <w:sz w:val="14"/>
        </w:rPr>
        <w:t>.</w:t>
      </w:r>
      <w:r>
        <w:rPr>
          <w:position w:val="5"/>
          <w:sz w:val="14"/>
        </w:rPr>
        <w:tab/>
      </w:r>
      <w:r>
        <w:rPr>
          <w:rFonts w:ascii="Arial"/>
          <w:i/>
          <w:sz w:val="20"/>
        </w:rPr>
        <w:t>Molyneux v Hawtrey [1903] 2 K.B. </w:t>
      </w:r>
      <w:r>
        <w:rPr>
          <w:rFonts w:ascii="Arial"/>
          <w:i/>
          <w:spacing w:val="-4"/>
          <w:sz w:val="20"/>
        </w:rPr>
        <w:t>487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533" w:id="1535"/>
      <w:bookmarkEnd w:id="1535"/>
      <w:r>
        <w:rPr/>
      </w:r>
      <w:hyperlink w:history="true" w:anchor="_bookmark1524">
        <w:r>
          <w:rPr>
            <w:color w:val="005DA1"/>
            <w:spacing w:val="-4"/>
            <w:position w:val="5"/>
            <w:sz w:val="14"/>
            <w:u w:val="single" w:color="005DA1"/>
          </w:rPr>
          <w:t>809</w:t>
        </w:r>
      </w:hyperlink>
      <w:r>
        <w:rPr>
          <w:spacing w:val="-4"/>
          <w:position w:val="5"/>
          <w:sz w:val="14"/>
        </w:rPr>
        <w:t>.</w:t>
      </w:r>
      <w:r>
        <w:rPr>
          <w:position w:val="5"/>
          <w:sz w:val="14"/>
        </w:rPr>
        <w:tab/>
      </w:r>
      <w:r>
        <w:rPr>
          <w:rFonts w:ascii="Arial"/>
          <w:i/>
          <w:sz w:val="20"/>
        </w:rPr>
        <w:t>F. &amp; H. Entertainments Ltd v Leisure Enterprises Ltd (1976) 120 S.J. </w:t>
      </w:r>
      <w:r>
        <w:rPr>
          <w:rFonts w:ascii="Arial"/>
          <w:i/>
          <w:spacing w:val="-4"/>
          <w:sz w:val="20"/>
        </w:rPr>
        <w:t>331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534" w:id="1536"/>
      <w:bookmarkEnd w:id="1536"/>
      <w:r>
        <w:rPr/>
      </w:r>
      <w:hyperlink w:history="true" w:anchor="_bookmark1525">
        <w:r>
          <w:rPr>
            <w:color w:val="005DA1"/>
            <w:spacing w:val="-4"/>
            <w:position w:val="5"/>
            <w:sz w:val="14"/>
            <w:u w:val="single" w:color="005DA1"/>
          </w:rPr>
          <w:t>810</w:t>
        </w:r>
      </w:hyperlink>
      <w:r>
        <w:rPr>
          <w:spacing w:val="-4"/>
          <w:position w:val="5"/>
          <w:sz w:val="14"/>
        </w:rPr>
        <w:t>.</w:t>
      </w:r>
      <w:r>
        <w:rPr>
          <w:position w:val="5"/>
          <w:sz w:val="14"/>
        </w:rPr>
        <w:tab/>
      </w:r>
      <w:r>
        <w:rPr>
          <w:rFonts w:ascii="Arial"/>
          <w:i/>
          <w:sz w:val="20"/>
        </w:rPr>
        <w:t>Becker v Partridge [1966] 2 Q.B. </w:t>
      </w:r>
      <w:r>
        <w:rPr>
          <w:rFonts w:ascii="Arial"/>
          <w:i/>
          <w:spacing w:val="-4"/>
          <w:sz w:val="20"/>
        </w:rPr>
        <w:t>155</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535" w:id="1537"/>
      <w:bookmarkEnd w:id="1537"/>
      <w:r>
        <w:rPr/>
      </w:r>
      <w:hyperlink w:history="true" w:anchor="_bookmark1526">
        <w:r>
          <w:rPr>
            <w:color w:val="005DA1"/>
            <w:spacing w:val="-4"/>
            <w:position w:val="5"/>
            <w:sz w:val="14"/>
            <w:u w:val="single" w:color="005DA1"/>
          </w:rPr>
          <w:t>811</w:t>
        </w:r>
      </w:hyperlink>
      <w:r>
        <w:rPr>
          <w:spacing w:val="-4"/>
          <w:position w:val="5"/>
          <w:sz w:val="14"/>
        </w:rPr>
        <w:t>.</w:t>
      </w:r>
      <w:r>
        <w:rPr>
          <w:position w:val="5"/>
          <w:sz w:val="14"/>
        </w:rPr>
        <w:tab/>
      </w:r>
      <w:r>
        <w:rPr>
          <w:rFonts w:ascii="Arial"/>
          <w:i/>
          <w:sz w:val="20"/>
        </w:rPr>
        <w:t>English</w:t>
      </w:r>
      <w:r>
        <w:rPr>
          <w:rFonts w:ascii="Arial"/>
          <w:i/>
          <w:spacing w:val="24"/>
          <w:sz w:val="20"/>
        </w:rPr>
        <w:t> </w:t>
      </w:r>
      <w:r>
        <w:rPr>
          <w:rFonts w:ascii="Arial"/>
          <w:i/>
          <w:sz w:val="20"/>
        </w:rPr>
        <w:t>v</w:t>
      </w:r>
      <w:r>
        <w:rPr>
          <w:rFonts w:ascii="Arial"/>
          <w:i/>
          <w:spacing w:val="24"/>
          <w:sz w:val="20"/>
        </w:rPr>
        <w:t> </w:t>
      </w:r>
      <w:r>
        <w:rPr>
          <w:rFonts w:ascii="Arial"/>
          <w:i/>
          <w:sz w:val="20"/>
        </w:rPr>
        <w:t>Dedham</w:t>
      </w:r>
      <w:r>
        <w:rPr>
          <w:rFonts w:ascii="Arial"/>
          <w:i/>
          <w:spacing w:val="24"/>
          <w:sz w:val="20"/>
        </w:rPr>
        <w:t> </w:t>
      </w:r>
      <w:r>
        <w:rPr>
          <w:rFonts w:ascii="Arial"/>
          <w:i/>
          <w:sz w:val="20"/>
        </w:rPr>
        <w:t>Vale</w:t>
      </w:r>
      <w:r>
        <w:rPr>
          <w:rFonts w:ascii="Arial"/>
          <w:i/>
          <w:spacing w:val="24"/>
          <w:sz w:val="20"/>
        </w:rPr>
        <w:t> </w:t>
      </w:r>
      <w:r>
        <w:rPr>
          <w:rFonts w:ascii="Arial"/>
          <w:i/>
          <w:sz w:val="20"/>
        </w:rPr>
        <w:t>Properties</w:t>
      </w:r>
      <w:r>
        <w:rPr>
          <w:rFonts w:ascii="Arial"/>
          <w:i/>
          <w:spacing w:val="24"/>
          <w:sz w:val="20"/>
        </w:rPr>
        <w:t> </w:t>
      </w:r>
      <w:r>
        <w:rPr>
          <w:rFonts w:ascii="Arial"/>
          <w:i/>
          <w:sz w:val="20"/>
        </w:rPr>
        <w:t>Ltd</w:t>
      </w:r>
      <w:r>
        <w:rPr>
          <w:rFonts w:ascii="Arial"/>
          <w:i/>
          <w:spacing w:val="24"/>
          <w:sz w:val="20"/>
        </w:rPr>
        <w:t> </w:t>
      </w:r>
      <w:r>
        <w:rPr>
          <w:rFonts w:ascii="Arial"/>
          <w:i/>
          <w:sz w:val="20"/>
        </w:rPr>
        <w:t>[1978]</w:t>
      </w:r>
      <w:r>
        <w:rPr>
          <w:rFonts w:ascii="Arial"/>
          <w:i/>
          <w:spacing w:val="24"/>
          <w:sz w:val="20"/>
        </w:rPr>
        <w:t> </w:t>
      </w:r>
      <w:r>
        <w:rPr>
          <w:rFonts w:ascii="Arial"/>
          <w:i/>
          <w:sz w:val="20"/>
        </w:rPr>
        <w:t>1</w:t>
      </w:r>
      <w:r>
        <w:rPr>
          <w:rFonts w:ascii="Arial"/>
          <w:i/>
          <w:spacing w:val="24"/>
          <w:sz w:val="20"/>
        </w:rPr>
        <w:t> </w:t>
      </w:r>
      <w:r>
        <w:rPr>
          <w:rFonts w:ascii="Arial"/>
          <w:i/>
          <w:sz w:val="20"/>
        </w:rPr>
        <w:t>W.L.R.</w:t>
      </w:r>
      <w:r>
        <w:rPr>
          <w:rFonts w:ascii="Arial"/>
          <w:i/>
          <w:spacing w:val="24"/>
          <w:sz w:val="20"/>
        </w:rPr>
        <w:t> </w:t>
      </w:r>
      <w:r>
        <w:rPr>
          <w:rFonts w:ascii="Arial"/>
          <w:i/>
          <w:sz w:val="20"/>
        </w:rPr>
        <w:t>93</w:t>
      </w:r>
      <w:r>
        <w:rPr>
          <w:sz w:val="20"/>
        </w:rPr>
        <w:t>;</w:t>
      </w:r>
      <w:r>
        <w:rPr>
          <w:spacing w:val="24"/>
          <w:sz w:val="20"/>
        </w:rPr>
        <w:t> </w:t>
      </w:r>
      <w:r>
        <w:rPr>
          <w:rFonts w:ascii="Arial"/>
          <w:i/>
          <w:sz w:val="20"/>
        </w:rPr>
        <w:t>Rignall</w:t>
      </w:r>
      <w:r>
        <w:rPr>
          <w:rFonts w:ascii="Arial"/>
          <w:i/>
          <w:spacing w:val="24"/>
          <w:sz w:val="20"/>
        </w:rPr>
        <w:t> </w:t>
      </w:r>
      <w:r>
        <w:rPr>
          <w:rFonts w:ascii="Arial"/>
          <w:i/>
          <w:sz w:val="20"/>
        </w:rPr>
        <w:t>Developments</w:t>
      </w:r>
      <w:r>
        <w:rPr>
          <w:rFonts w:ascii="Arial"/>
          <w:i/>
          <w:spacing w:val="24"/>
          <w:sz w:val="20"/>
        </w:rPr>
        <w:t> </w:t>
      </w:r>
      <w:r>
        <w:rPr>
          <w:rFonts w:ascii="Arial"/>
          <w:i/>
          <w:sz w:val="20"/>
        </w:rPr>
        <w:t>Ltd</w:t>
      </w:r>
      <w:r>
        <w:rPr>
          <w:rFonts w:ascii="Arial"/>
          <w:i/>
          <w:spacing w:val="24"/>
          <w:sz w:val="20"/>
        </w:rPr>
        <w:t> </w:t>
      </w:r>
      <w:r>
        <w:rPr>
          <w:rFonts w:ascii="Arial"/>
          <w:i/>
          <w:sz w:val="20"/>
        </w:rPr>
        <w:t>v</w:t>
      </w:r>
      <w:r>
        <w:rPr>
          <w:rFonts w:ascii="Arial"/>
          <w:i/>
          <w:spacing w:val="24"/>
          <w:sz w:val="20"/>
        </w:rPr>
        <w:t> </w:t>
      </w:r>
      <w:r>
        <w:rPr>
          <w:rFonts w:ascii="Arial"/>
          <w:i/>
          <w:sz w:val="20"/>
        </w:rPr>
        <w:t>Halil [1988] Ch. 190</w:t>
      </w:r>
      <w:r>
        <w:rPr>
          <w:sz w:val="20"/>
        </w:rPr>
        <w:t>.</w:t>
      </w:r>
    </w:p>
    <w:p>
      <w:pPr>
        <w:pStyle w:val="BodyText"/>
        <w:spacing w:before="192"/>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23"/>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539" w:right="2543"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3931136">
                <wp:simplePos x="0" y="0"/>
                <wp:positionH relativeFrom="page">
                  <wp:posOffset>4851958</wp:posOffset>
                </wp:positionH>
                <wp:positionV relativeFrom="paragraph">
                  <wp:posOffset>377436</wp:posOffset>
                </wp:positionV>
                <wp:extent cx="42545" cy="1270"/>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385344" from="382.044006pt,29.719406pt" to="385.380006pt,29.719406pt" stroked="true" strokeweight=".428pt" strokecolor="#005da1">
                <v:stroke dashstyle="solid"/>
                <w10:wrap type="none"/>
              </v:line>
            </w:pict>
          </mc:Fallback>
        </mc:AlternateContent>
      </w:r>
      <w:r>
        <w:rPr>
          <w:rFonts w:ascii="Arial"/>
          <w:b/>
          <w:sz w:val="24"/>
        </w:rPr>
        <w:t>Part 2 - Formation of Contract Chapter 7 - Misrepresentation</w:t>
      </w:r>
      <w:r>
        <w:rPr>
          <w:rFonts w:ascii="Arial"/>
          <w:b/>
          <w:spacing w:val="-1"/>
          <w:sz w:val="24"/>
        </w:rPr>
        <w:t> </w:t>
      </w:r>
      <w:r>
        <w:rPr>
          <w:rFonts w:ascii="Arial"/>
          <w:b/>
          <w:color w:val="005DA1"/>
          <w:spacing w:val="-10"/>
          <w:position w:val="11"/>
          <w:sz w:val="12"/>
        </w:rPr>
        <w:t>1</w:t>
      </w:r>
    </w:p>
    <w:p>
      <w:pPr>
        <w:spacing w:before="2"/>
        <w:ind w:left="940" w:right="943" w:firstLine="0"/>
        <w:jc w:val="center"/>
        <w:rPr>
          <w:rFonts w:ascii="Arial"/>
          <w:b/>
          <w:sz w:val="24"/>
        </w:rPr>
      </w:pPr>
      <w:r>
        <w:rPr>
          <w:rFonts w:ascii="Arial"/>
          <w:b/>
          <w:sz w:val="24"/>
        </w:rPr>
        <w:t>Section 6. - Contracts where a duty of </w:t>
      </w:r>
      <w:r>
        <w:rPr>
          <w:rFonts w:ascii="Arial"/>
          <w:b/>
          <w:spacing w:val="-2"/>
          <w:sz w:val="24"/>
        </w:rPr>
        <w:t>disclosure</w:t>
      </w:r>
    </w:p>
    <w:p>
      <w:pPr>
        <w:pStyle w:val="ListParagraph"/>
        <w:numPr>
          <w:ilvl w:val="0"/>
          <w:numId w:val="2"/>
        </w:numPr>
        <w:tabs>
          <w:tab w:pos="3418" w:val="left" w:leader="none"/>
        </w:tabs>
        <w:spacing w:line="240" w:lineRule="auto" w:before="194" w:after="0"/>
        <w:ind w:left="3418" w:right="0" w:hanging="360"/>
        <w:jc w:val="left"/>
        <w:rPr>
          <w:b/>
          <w:sz w:val="24"/>
        </w:rPr>
      </w:pPr>
      <w:r>
        <w:rPr>
          <w:b/>
          <w:sz w:val="24"/>
        </w:rPr>
        <w:t>- Contracts of </w:t>
      </w:r>
      <w:r>
        <w:rPr>
          <w:b/>
          <w:spacing w:val="-2"/>
          <w:sz w:val="24"/>
        </w:rPr>
        <w:t>Suretyship</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bookmarkStart w:name="_bookmark1536" w:id="1538"/>
      <w:bookmarkEnd w:id="1538"/>
      <w:r>
        <w:rPr/>
      </w:r>
      <w:r>
        <w:rPr>
          <w:rFonts w:ascii="Arial"/>
          <w:b/>
          <w:sz w:val="18"/>
        </w:rPr>
        <w:t>Suretyship or insurance </w:t>
      </w:r>
      <w:r>
        <w:rPr>
          <w:rFonts w:ascii="Arial"/>
          <w:b/>
          <w:color w:val="005DA1"/>
          <w:spacing w:val="-5"/>
          <w:sz w:val="18"/>
          <w:u w:val="single" w:color="005DA1"/>
          <w:vertAlign w:val="superscript"/>
        </w:rPr>
        <w:t>812</w:t>
      </w:r>
    </w:p>
    <w:p>
      <w:pPr>
        <w:pStyle w:val="BodyText"/>
        <w:spacing w:before="41"/>
        <w:rPr>
          <w:rFonts w:ascii="Arial"/>
          <w:b/>
          <w:sz w:val="18"/>
        </w:rPr>
      </w:pPr>
    </w:p>
    <w:p>
      <w:pPr>
        <w:pStyle w:val="Heading2"/>
        <w:ind w:left="164"/>
      </w:pPr>
      <w:r>
        <w:rPr/>
        <w:t>7-</w:t>
      </w:r>
      <w:r>
        <w:rPr>
          <w:spacing w:val="-5"/>
        </w:rPr>
        <w:t>174</w:t>
      </w:r>
    </w:p>
    <w:p>
      <w:pPr>
        <w:pStyle w:val="BodyText"/>
        <w:spacing w:line="235" w:lineRule="auto" w:before="203"/>
        <w:ind w:left="164" w:right="167"/>
        <w:jc w:val="both"/>
      </w:pPr>
      <w:r>
        <w:rPr/>
        <w:t>It seems that contracts of suretyship are not contracts uberrimae fidei properly so-called, although </w:t>
      </w:r>
      <w:bookmarkStart w:name="_bookmark1537" w:id="1539"/>
      <w:bookmarkEnd w:id="1539"/>
      <w:r>
        <w:rPr/>
        <w:t>they</w:t>
      </w:r>
      <w:r>
        <w:rPr/>
        <w:t> are sometimes said to bear certain characteristics of that class. One difficulty is that it may be </w:t>
      </w:r>
      <w:r>
        <w:rPr/>
        <w:t>a matter for doubt whether a given contract is one of suretyship or of insurance. In </w:t>
      </w:r>
      <w:r>
        <w:rPr>
          <w:rFonts w:ascii="Arial"/>
          <w:i/>
        </w:rPr>
        <w:t>Seaton v Heath </w:t>
      </w:r>
      <w:r>
        <w:rPr>
          <w:color w:val="005DA1"/>
          <w:u w:val="single" w:color="005DA1"/>
          <w:vertAlign w:val="superscript"/>
        </w:rPr>
        <w:t>813</w:t>
      </w:r>
      <w:r>
        <w:rPr>
          <w:color w:val="005DA1"/>
          <w:vertAlign w:val="baseline"/>
        </w:rPr>
        <w:t> </w:t>
      </w:r>
      <w:r>
        <w:rPr>
          <w:vertAlign w:val="baseline"/>
        </w:rPr>
        <w:t>Romer L.J. said that many contracts may with equal propriety be called contracts of insurance or contracts of suretyship, and that whether a contract requires uberrima fides or not depends not upon what it is called, but upon its substantial character and how it came to be effected. Commercial sureties, at least, are generally persons who know the risk they undertake without it being explained</w:t>
      </w:r>
      <w:r>
        <w:rPr>
          <w:spacing w:val="40"/>
          <w:vertAlign w:val="baseline"/>
        </w:rPr>
        <w:t> </w:t>
      </w:r>
      <w:r>
        <w:rPr>
          <w:vertAlign w:val="baseline"/>
        </w:rPr>
        <w:t>to them, and who if they do not know it, would make inquiry on the subject; in contracts of insurance, on the other hand, the person desiring to be insured has means of knowledge of the risk which the insurer does not possess, and he puts the risk before the insurer as a business proposition.</w:t>
      </w:r>
    </w:p>
    <w:p>
      <w:pPr>
        <w:pStyle w:val="BodyText"/>
        <w:spacing w:before="77"/>
      </w:pPr>
    </w:p>
    <w:p>
      <w:pPr>
        <w:pStyle w:val="Heading2"/>
      </w:pPr>
      <w:r>
        <w:rPr/>
        <w:t>7-</w:t>
      </w:r>
      <w:r>
        <w:rPr>
          <w:spacing w:val="-5"/>
        </w:rPr>
        <w:t>175</w:t>
      </w:r>
    </w:p>
    <w:p>
      <w:pPr>
        <w:pStyle w:val="BodyText"/>
        <w:spacing w:line="235" w:lineRule="auto" w:before="203"/>
        <w:ind w:left="164" w:right="167"/>
        <w:jc w:val="both"/>
      </w:pPr>
      <w:bookmarkStart w:name="_bookmark1538" w:id="1540"/>
      <w:bookmarkEnd w:id="1540"/>
      <w:r>
        <w:rPr/>
      </w:r>
      <w:r>
        <w:rPr/>
        <w:t>The position seems to be that while a contract of insurance has traditionally required a full </w:t>
      </w:r>
      <w:r>
        <w:rPr/>
        <w:t>disclosure of</w:t>
      </w:r>
      <w:r>
        <w:rPr>
          <w:spacing w:val="-1"/>
        </w:rPr>
        <w:t> </w:t>
      </w:r>
      <w:r>
        <w:rPr/>
        <w:t>all</w:t>
      </w:r>
      <w:r>
        <w:rPr>
          <w:spacing w:val="-1"/>
        </w:rPr>
        <w:t> </w:t>
      </w:r>
      <w:r>
        <w:rPr/>
        <w:t>material</w:t>
      </w:r>
      <w:r>
        <w:rPr>
          <w:spacing w:val="-1"/>
        </w:rPr>
        <w:t> </w:t>
      </w:r>
      <w:r>
        <w:rPr/>
        <w:t>facts,</w:t>
      </w:r>
      <w:r>
        <w:rPr>
          <w:spacing w:val="-1"/>
        </w:rPr>
        <w:t> </w:t>
      </w:r>
      <w:r>
        <w:rPr/>
        <w:t>a</w:t>
      </w:r>
      <w:r>
        <w:rPr>
          <w:spacing w:val="-1"/>
        </w:rPr>
        <w:t> </w:t>
      </w:r>
      <w:r>
        <w:rPr/>
        <w:t>contract</w:t>
      </w:r>
      <w:r>
        <w:rPr>
          <w:spacing w:val="-1"/>
        </w:rPr>
        <w:t> </w:t>
      </w:r>
      <w:r>
        <w:rPr/>
        <w:t>of</w:t>
      </w:r>
      <w:r>
        <w:rPr>
          <w:spacing w:val="-1"/>
        </w:rPr>
        <w:t> </w:t>
      </w:r>
      <w:r>
        <w:rPr/>
        <w:t>suretyship</w:t>
      </w:r>
      <w:r>
        <w:rPr>
          <w:spacing w:val="-1"/>
        </w:rPr>
        <w:t> </w:t>
      </w:r>
      <w:r>
        <w:rPr/>
        <w:t>does</w:t>
      </w:r>
      <w:r>
        <w:rPr>
          <w:spacing w:val="-1"/>
        </w:rPr>
        <w:t> </w:t>
      </w:r>
      <w:r>
        <w:rPr/>
        <w:t>not.</w:t>
      </w:r>
      <w:r>
        <w:rPr>
          <w:spacing w:val="-2"/>
        </w:rPr>
        <w:t> </w:t>
      </w:r>
      <w:r>
        <w:rPr>
          <w:color w:val="005DA1"/>
          <w:u w:val="single" w:color="005DA1"/>
          <w:vertAlign w:val="superscript"/>
        </w:rPr>
        <w:t>814</w:t>
      </w:r>
      <w:r>
        <w:rPr>
          <w:color w:val="005DA1"/>
          <w:spacing w:val="-1"/>
          <w:vertAlign w:val="baseline"/>
        </w:rPr>
        <w:t> </w:t>
      </w:r>
      <w:r>
        <w:rPr>
          <w:vertAlign w:val="baseline"/>
        </w:rPr>
        <w:t>Thus</w:t>
      </w:r>
      <w:r>
        <w:rPr>
          <w:spacing w:val="-1"/>
          <w:vertAlign w:val="baseline"/>
        </w:rPr>
        <w:t> </w:t>
      </w:r>
      <w:r>
        <w:rPr>
          <w:vertAlign w:val="baseline"/>
        </w:rPr>
        <w:t>it</w:t>
      </w:r>
      <w:r>
        <w:rPr>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held</w:t>
      </w:r>
      <w:r>
        <w:rPr>
          <w:spacing w:val="-1"/>
          <w:vertAlign w:val="baseline"/>
        </w:rPr>
        <w:t> </w:t>
      </w:r>
      <w:r>
        <w:rPr>
          <w:vertAlign w:val="baseline"/>
        </w:rPr>
        <w:t>that</w:t>
      </w:r>
      <w:r>
        <w:rPr>
          <w:spacing w:val="-1"/>
          <w:vertAlign w:val="baseline"/>
        </w:rPr>
        <w:t> </w:t>
      </w:r>
      <w:r>
        <w:rPr>
          <w:vertAlign w:val="baseline"/>
        </w:rPr>
        <w:t>a</w:t>
      </w:r>
      <w:r>
        <w:rPr>
          <w:spacing w:val="-1"/>
          <w:vertAlign w:val="baseline"/>
        </w:rPr>
        <w:t> </w:t>
      </w:r>
      <w:r>
        <w:rPr>
          <w:vertAlign w:val="baseline"/>
        </w:rPr>
        <w:t>bank</w:t>
      </w:r>
      <w:r>
        <w:rPr>
          <w:spacing w:val="-1"/>
          <w:vertAlign w:val="baseline"/>
        </w:rPr>
        <w:t> </w:t>
      </w:r>
      <w:r>
        <w:rPr>
          <w:vertAlign w:val="baseline"/>
        </w:rPr>
        <w:t>was</w:t>
      </w:r>
      <w:r>
        <w:rPr>
          <w:spacing w:val="-1"/>
          <w:vertAlign w:val="baseline"/>
        </w:rPr>
        <w:t> </w:t>
      </w:r>
      <w:r>
        <w:rPr>
          <w:vertAlign w:val="baseline"/>
        </w:rPr>
        <w:t>under </w:t>
      </w:r>
      <w:bookmarkStart w:name="_bookmark1539" w:id="1541"/>
      <w:bookmarkEnd w:id="1541"/>
      <w:r>
        <w:rPr>
          <w:vertAlign w:val="baseline"/>
        </w:rPr>
        <w:t>no</w:t>
      </w:r>
      <w:r>
        <w:rPr>
          <w:vertAlign w:val="baseline"/>
        </w:rPr>
        <w:t> duty to disclose to the guarantor of a customer’s overdrawn account suspicions that the customer was defrauding him. </w:t>
      </w:r>
      <w:r>
        <w:rPr>
          <w:color w:val="005DA1"/>
          <w:u w:val="single" w:color="005DA1"/>
          <w:vertAlign w:val="superscript"/>
        </w:rPr>
        <w:t>815</w:t>
      </w:r>
      <w:r>
        <w:rPr>
          <w:color w:val="005DA1"/>
          <w:vertAlign w:val="baseline"/>
        </w:rPr>
        <w:t> </w:t>
      </w:r>
      <w:r>
        <w:rPr>
          <w:vertAlign w:val="baseline"/>
        </w:rPr>
        <w:t>On the other hand, it seems that there is a limited duty of disclosure even in </w:t>
      </w:r>
      <w:bookmarkStart w:name="_bookmark1540" w:id="1542"/>
      <w:bookmarkEnd w:id="1542"/>
      <w:r>
        <w:rPr>
          <w:vertAlign w:val="baseline"/>
        </w:rPr>
        <w:t>contracts</w:t>
      </w:r>
      <w:r>
        <w:rPr>
          <w:vertAlign w:val="baseline"/>
        </w:rPr>
        <w:t> of suretyship, though the nature and scope of this limited duty are hard to define. In</w:t>
      </w:r>
      <w:r>
        <w:rPr>
          <w:spacing w:val="-1"/>
          <w:vertAlign w:val="baseline"/>
        </w:rPr>
        <w:t> </w:t>
      </w:r>
      <w:r>
        <w:rPr>
          <w:rFonts w:ascii="Arial" w:hAnsi="Arial"/>
          <w:i/>
          <w:vertAlign w:val="baseline"/>
        </w:rPr>
        <w:t>Levett v Barclays Bank Plc </w:t>
      </w:r>
      <w:r>
        <w:rPr>
          <w:color w:val="005DA1"/>
          <w:u w:val="single" w:color="005DA1"/>
          <w:vertAlign w:val="superscript"/>
        </w:rPr>
        <w:t>816</w:t>
      </w:r>
      <w:r>
        <w:rPr>
          <w:color w:val="005DA1"/>
          <w:vertAlign w:val="baseline"/>
        </w:rPr>
        <w:t> </w:t>
      </w:r>
      <w:r>
        <w:rPr>
          <w:vertAlign w:val="baseline"/>
        </w:rPr>
        <w:t>it was held that there is a duty to disclose to the surety any unusual feature of the contract between the principal debtor and the creditor which makes it materially different in a </w:t>
      </w:r>
      <w:bookmarkStart w:name="_bookmark1541" w:id="1543"/>
      <w:bookmarkEnd w:id="1543"/>
      <w:r>
        <w:rPr>
          <w:vertAlign w:val="baseline"/>
        </w:rPr>
        <w:t>potentially</w:t>
      </w:r>
      <w:r>
        <w:rPr>
          <w:vertAlign w:val="baseline"/>
        </w:rPr>
        <w:t> disadvantageous respect from what the surety might naturally expect. In </w:t>
      </w:r>
      <w:r>
        <w:rPr>
          <w:rFonts w:ascii="Arial" w:hAnsi="Arial"/>
          <w:i/>
          <w:vertAlign w:val="baseline"/>
        </w:rPr>
        <w:t>Crédit Lyonnais Bank Nederland v Export Credit Guarantee Department </w:t>
      </w:r>
      <w:r>
        <w:rPr>
          <w:color w:val="005DA1"/>
          <w:u w:val="single" w:color="005DA1"/>
          <w:vertAlign w:val="superscript"/>
        </w:rPr>
        <w:t>817</w:t>
      </w:r>
      <w:r>
        <w:rPr>
          <w:color w:val="005DA1"/>
          <w:vertAlign w:val="baseline"/>
        </w:rPr>
        <w:t> </w:t>
      </w:r>
      <w:r>
        <w:rPr>
          <w:vertAlign w:val="baseline"/>
        </w:rPr>
        <w:t>it was held that any duty to disclose unusual features only applied to unusual features of the transaction itself, not to unusual features of the risk; and it did not extend to matters of which the bank had no knowledge, even if what it knew might have led it to make further enquiries. However, where a person guaranteed the honesty of a servant to an employer, who knew but did not disclose the fact that the servant had previously been </w:t>
      </w:r>
      <w:bookmarkStart w:name="_bookmark1542" w:id="1544"/>
      <w:bookmarkEnd w:id="1544"/>
      <w:r>
        <w:rPr>
          <w:vertAlign w:val="baseline"/>
        </w:rPr>
        <w:t>dishonest</w:t>
      </w:r>
      <w:r>
        <w:rPr>
          <w:vertAlign w:val="baseline"/>
        </w:rPr>
        <w:t> while in his employment, the bond was held to be unenforceable when the servant </w:t>
      </w:r>
      <w:bookmarkStart w:name="_bookmark1543" w:id="1545"/>
      <w:bookmarkEnd w:id="1545"/>
      <w:r>
        <w:rPr>
          <w:vertAlign w:val="baseline"/>
        </w:rPr>
        <w:t>subsequently</w:t>
      </w:r>
      <w:r>
        <w:rPr>
          <w:vertAlign w:val="baseline"/>
        </w:rPr>
        <w:t> committed a further act of dishonesty. </w:t>
      </w:r>
      <w:r>
        <w:rPr>
          <w:color w:val="005DA1"/>
          <w:u w:val="single" w:color="005DA1"/>
          <w:vertAlign w:val="superscript"/>
        </w:rPr>
        <w:t>818</w:t>
      </w:r>
      <w:r>
        <w:rPr>
          <w:color w:val="005DA1"/>
          <w:vertAlign w:val="baseline"/>
        </w:rPr>
        <w:t> </w:t>
      </w:r>
      <w:r>
        <w:rPr>
          <w:vertAlign w:val="baseline"/>
        </w:rPr>
        <w:t>In </w:t>
      </w:r>
      <w:r>
        <w:rPr>
          <w:rFonts w:ascii="Arial" w:hAnsi="Arial"/>
          <w:i/>
          <w:vertAlign w:val="baseline"/>
        </w:rPr>
        <w:t>North Shore Ventures Ltd v Anstead Holdings Inc </w:t>
      </w:r>
      <w:r>
        <w:rPr>
          <w:color w:val="005DA1"/>
          <w:u w:val="single" w:color="005DA1"/>
          <w:vertAlign w:val="superscript"/>
        </w:rPr>
        <w:t>819</w:t>
      </w:r>
      <w:r>
        <w:rPr>
          <w:color w:val="005DA1"/>
          <w:vertAlign w:val="baseline"/>
        </w:rPr>
        <w:t> </w:t>
      </w:r>
      <w:r>
        <w:rPr>
          <w:vertAlign w:val="baseline"/>
        </w:rPr>
        <w:t>the Chancellor (Sir Andrew Morritt) said that the cases establish the following </w:t>
      </w:r>
      <w:r>
        <w:rPr>
          <w:spacing w:val="-2"/>
          <w:vertAlign w:val="baseline"/>
        </w:rPr>
        <w:t>propositions:</w:t>
      </w:r>
    </w:p>
    <w:p>
      <w:pPr>
        <w:pStyle w:val="BodyText"/>
      </w:pPr>
    </w:p>
    <w:p>
      <w:pPr>
        <w:pStyle w:val="BodyText"/>
      </w:pPr>
    </w:p>
    <w:p>
      <w:pPr>
        <w:pStyle w:val="BodyText"/>
      </w:pPr>
    </w:p>
    <w:p>
      <w:pPr>
        <w:pStyle w:val="BodyText"/>
        <w:spacing w:before="90"/>
      </w:pPr>
    </w:p>
    <w:p>
      <w:pPr>
        <w:pStyle w:val="BodyText"/>
        <w:ind w:left="1245"/>
      </w:pPr>
      <w:r>
        <w:rPr>
          <w:spacing w:val="-4"/>
        </w:rPr>
        <w:t>“(1)</w:t>
      </w:r>
    </w:p>
    <w:p>
      <w:pPr>
        <w:pStyle w:val="BodyText"/>
        <w:spacing w:line="235" w:lineRule="auto" w:before="114"/>
        <w:ind w:left="1725" w:right="167"/>
        <w:jc w:val="both"/>
      </w:pPr>
      <w:r>
        <w:rPr/>
        <w:t>the creditor is obliged to disclose to the surety any contract or other </w:t>
      </w:r>
      <w:r>
        <w:rPr/>
        <w:t>dealing</w:t>
      </w:r>
      <w:r>
        <w:rPr>
          <w:spacing w:val="40"/>
        </w:rPr>
        <w:t> </w:t>
      </w:r>
      <w:r>
        <w:rPr/>
        <w:t>between creditor and debtor so as to change the position of the debtor from what</w:t>
      </w:r>
      <w:r>
        <w:rPr>
          <w:spacing w:val="40"/>
        </w:rPr>
        <w:t> </w:t>
      </w:r>
      <w:r>
        <w:rPr/>
        <w:t>the surety might naturally expect, but</w:t>
      </w:r>
    </w:p>
    <w:p>
      <w:pPr>
        <w:pStyle w:val="BodyText"/>
        <w:spacing w:after="0" w:line="235" w:lineRule="auto"/>
        <w:jc w:val="both"/>
        <w:sectPr>
          <w:headerReference w:type="default" r:id="rId24"/>
          <w:pgSz w:w="11900" w:h="16840"/>
          <w:pgMar w:header="971" w:footer="0" w:top="1160" w:bottom="280" w:left="1275" w:right="1275"/>
          <w:pgNumType w:start="1"/>
        </w:sectPr>
      </w:pPr>
    </w:p>
    <w:p>
      <w:pPr>
        <w:pStyle w:val="BodyText"/>
      </w:pPr>
    </w:p>
    <w:p>
      <w:pPr>
        <w:pStyle w:val="BodyText"/>
      </w:pPr>
    </w:p>
    <w:p>
      <w:pPr>
        <w:pStyle w:val="BodyText"/>
        <w:spacing w:before="81"/>
      </w:pPr>
    </w:p>
    <w:p>
      <w:pPr>
        <w:pStyle w:val="BodyText"/>
        <w:ind w:left="1245"/>
      </w:pPr>
      <w:r>
        <w:rPr>
          <w:spacing w:val="-5"/>
        </w:rPr>
        <w:t>(2)</w:t>
      </w:r>
    </w:p>
    <w:p>
      <w:pPr>
        <w:pStyle w:val="BodyText"/>
        <w:spacing w:line="235" w:lineRule="auto" w:before="114"/>
        <w:ind w:left="1725" w:right="169"/>
      </w:pPr>
      <w:bookmarkStart w:name="_bookmark1544" w:id="1546"/>
      <w:bookmarkEnd w:id="1546"/>
      <w:r>
        <w:rPr/>
      </w:r>
      <w:r>
        <w:rPr/>
        <w:t>the</w:t>
      </w:r>
      <w:r>
        <w:rPr>
          <w:spacing w:val="37"/>
        </w:rPr>
        <w:t> </w:t>
      </w:r>
      <w:r>
        <w:rPr/>
        <w:t>creditor</w:t>
      </w:r>
      <w:r>
        <w:rPr>
          <w:spacing w:val="37"/>
        </w:rPr>
        <w:t> </w:t>
      </w:r>
      <w:r>
        <w:rPr/>
        <w:t>is</w:t>
      </w:r>
      <w:r>
        <w:rPr>
          <w:spacing w:val="37"/>
        </w:rPr>
        <w:t> </w:t>
      </w:r>
      <w:r>
        <w:rPr/>
        <w:t>not</w:t>
      </w:r>
      <w:r>
        <w:rPr>
          <w:spacing w:val="37"/>
        </w:rPr>
        <w:t> </w:t>
      </w:r>
      <w:r>
        <w:rPr/>
        <w:t>obliged</w:t>
      </w:r>
      <w:r>
        <w:rPr>
          <w:spacing w:val="37"/>
        </w:rPr>
        <w:t> </w:t>
      </w:r>
      <w:r>
        <w:rPr/>
        <w:t>to</w:t>
      </w:r>
      <w:r>
        <w:rPr>
          <w:spacing w:val="37"/>
        </w:rPr>
        <w:t> </w:t>
      </w:r>
      <w:r>
        <w:rPr/>
        <w:t>disclose</w:t>
      </w:r>
      <w:r>
        <w:rPr>
          <w:spacing w:val="37"/>
        </w:rPr>
        <w:t> </w:t>
      </w:r>
      <w:r>
        <w:rPr/>
        <w:t>to</w:t>
      </w:r>
      <w:r>
        <w:rPr>
          <w:spacing w:val="37"/>
        </w:rPr>
        <w:t> </w:t>
      </w:r>
      <w:r>
        <w:rPr/>
        <w:t>the</w:t>
      </w:r>
      <w:r>
        <w:rPr>
          <w:spacing w:val="37"/>
        </w:rPr>
        <w:t> </w:t>
      </w:r>
      <w:r>
        <w:rPr/>
        <w:t>surety</w:t>
      </w:r>
      <w:r>
        <w:rPr>
          <w:spacing w:val="37"/>
        </w:rPr>
        <w:t> </w:t>
      </w:r>
      <w:r>
        <w:rPr/>
        <w:t>other</w:t>
      </w:r>
      <w:r>
        <w:rPr>
          <w:spacing w:val="37"/>
        </w:rPr>
        <w:t> </w:t>
      </w:r>
      <w:r>
        <w:rPr/>
        <w:t>matters</w:t>
      </w:r>
      <w:r>
        <w:rPr>
          <w:spacing w:val="37"/>
        </w:rPr>
        <w:t> </w:t>
      </w:r>
      <w:r>
        <w:rPr/>
        <w:t>relating</w:t>
      </w:r>
      <w:r>
        <w:rPr>
          <w:spacing w:val="37"/>
        </w:rPr>
        <w:t> </w:t>
      </w:r>
      <w:r>
        <w:rPr/>
        <w:t>to</w:t>
      </w:r>
      <w:r>
        <w:rPr>
          <w:spacing w:val="37"/>
        </w:rPr>
        <w:t> </w:t>
      </w:r>
      <w:r>
        <w:rPr/>
        <w:t>the debtor which might be material for the surety to know.” </w:t>
      </w:r>
      <w:r>
        <w:rPr>
          <w:color w:val="005DA1"/>
          <w:u w:val="single" w:color="005DA1"/>
          <w:vertAlign w:val="superscript"/>
        </w:rPr>
        <w:t>820</w:t>
      </w:r>
    </w:p>
    <w:p>
      <w:pPr>
        <w:pStyle w:val="BodyText"/>
      </w:pPr>
    </w:p>
    <w:p>
      <w:pPr>
        <w:pStyle w:val="BodyText"/>
        <w:spacing w:before="99"/>
      </w:pPr>
    </w:p>
    <w:p>
      <w:pPr>
        <w:pStyle w:val="BodyText"/>
        <w:spacing w:line="235" w:lineRule="auto"/>
        <w:ind w:left="165" w:right="167"/>
        <w:jc w:val="both"/>
      </w:pPr>
      <w:r>
        <w:rPr/>
        <w:t>But if the duty of disclosure has arisen because the feature of the transaction to be guaranteed is </w:t>
      </w:r>
      <w:bookmarkStart w:name="_bookmark1545" w:id="1547"/>
      <w:bookmarkEnd w:id="1547"/>
      <w:r>
        <w:rPr/>
        <w:t>“unusual”,</w:t>
      </w:r>
      <w:r>
        <w:rPr/>
        <w:t> the creditor is not absolved from his duty of disclosure because he reasonably believes</w:t>
      </w:r>
      <w:r>
        <w:rPr>
          <w:spacing w:val="80"/>
        </w:rPr>
        <w:t> </w:t>
      </w:r>
      <w:r>
        <w:rPr/>
        <w:t>that the surety knows of it already. </w:t>
      </w:r>
      <w:r>
        <w:rPr>
          <w:color w:val="005DA1"/>
          <w:u w:val="single" w:color="005DA1"/>
          <w:vertAlign w:val="superscript"/>
        </w:rPr>
        <w:t>821</w:t>
      </w:r>
    </w:p>
    <w:p>
      <w:pPr>
        <w:pStyle w:val="BodyText"/>
      </w:pPr>
    </w:p>
    <w:p>
      <w:pPr>
        <w:pStyle w:val="BodyText"/>
        <w:spacing w:before="37"/>
      </w:pPr>
    </w:p>
    <w:p>
      <w:pPr>
        <w:spacing w:before="1"/>
        <w:ind w:left="165" w:right="0" w:firstLine="0"/>
        <w:jc w:val="both"/>
        <w:rPr>
          <w:rFonts w:ascii="Arial"/>
          <w:b/>
          <w:sz w:val="18"/>
        </w:rPr>
      </w:pPr>
      <w:r>
        <w:rPr>
          <w:rFonts w:ascii="Arial"/>
          <w:b/>
          <w:sz w:val="18"/>
        </w:rPr>
        <w:t>Sureties given to banks on a non-commercial </w:t>
      </w:r>
      <w:r>
        <w:rPr>
          <w:rFonts w:ascii="Arial"/>
          <w:b/>
          <w:spacing w:val="-2"/>
          <w:sz w:val="18"/>
        </w:rPr>
        <w:t>basis</w:t>
      </w:r>
    </w:p>
    <w:p>
      <w:pPr>
        <w:pStyle w:val="BodyText"/>
        <w:spacing w:before="41"/>
        <w:rPr>
          <w:rFonts w:ascii="Arial"/>
          <w:b/>
          <w:sz w:val="18"/>
        </w:rPr>
      </w:pPr>
    </w:p>
    <w:p>
      <w:pPr>
        <w:pStyle w:val="Heading2"/>
      </w:pPr>
      <w:r>
        <w:rPr/>
        <w:t>7-</w:t>
      </w:r>
      <w:r>
        <w:rPr>
          <w:spacing w:val="-5"/>
        </w:rPr>
        <w:t>176</w:t>
      </w:r>
    </w:p>
    <w:p>
      <w:pPr>
        <w:pStyle w:val="BodyText"/>
        <w:spacing w:line="235" w:lineRule="auto" w:before="202"/>
        <w:ind w:left="165" w:right="167"/>
        <w:jc w:val="both"/>
      </w:pPr>
      <w:r>
        <w:rPr/>
        <w:t>It should be noted that the law which was developed to protect “surety wives” (principally wives who </w:t>
      </w:r>
      <w:bookmarkStart w:name="_bookmark1546" w:id="1548"/>
      <w:bookmarkEnd w:id="1548"/>
      <w:r>
        <w:rPr/>
        <w:t>guarantee</w:t>
      </w:r>
      <w:r>
        <w:rPr/>
        <w:t> the debts of their husband’s business), and which now apply to any guarantee to a bank </w:t>
      </w:r>
      <w:bookmarkStart w:name="_bookmark1547" w:id="1549"/>
      <w:bookmarkEnd w:id="1549"/>
      <w:r>
        <w:rPr/>
        <w:t>given</w:t>
      </w:r>
      <w:r>
        <w:rPr/>
        <w:t> on a non-commercial basis </w:t>
      </w:r>
      <w:r>
        <w:rPr>
          <w:color w:val="005DA1"/>
          <w:u w:val="single" w:color="005DA1"/>
          <w:vertAlign w:val="superscript"/>
        </w:rPr>
        <w:t>822</w:t>
      </w:r>
      <w:r>
        <w:rPr>
          <w:color w:val="005DA1"/>
          <w:vertAlign w:val="baseline"/>
        </w:rPr>
        <w:t> </w:t>
      </w:r>
      <w:r>
        <w:rPr>
          <w:vertAlign w:val="baseline"/>
        </w:rPr>
        <w:t>may have the practical effect of requiring the bank to </w:t>
      </w:r>
      <w:r>
        <w:rPr>
          <w:vertAlign w:val="baseline"/>
        </w:rPr>
        <w:t>disclose information to the surety. These rules are discussed in Ch.8. </w:t>
      </w:r>
      <w:r>
        <w:rPr>
          <w:color w:val="005DA1"/>
          <w:u w:val="single" w:color="005DA1"/>
          <w:vertAlign w:val="superscript"/>
        </w:rPr>
        <w:t>823</w:t>
      </w:r>
    </w:p>
    <w:p>
      <w:pPr>
        <w:pStyle w:val="BodyText"/>
      </w:pPr>
    </w:p>
    <w:p>
      <w:pPr>
        <w:pStyle w:val="BodyText"/>
        <w:spacing w:before="37"/>
      </w:pPr>
    </w:p>
    <w:p>
      <w:pPr>
        <w:spacing w:before="1"/>
        <w:ind w:left="165" w:right="0" w:firstLine="0"/>
        <w:jc w:val="left"/>
        <w:rPr>
          <w:rFonts w:ascii="Arial"/>
          <w:b/>
          <w:sz w:val="18"/>
        </w:rPr>
      </w:pPr>
      <w:r>
        <w:rPr>
          <w:rFonts w:ascii="Arial"/>
          <w:b/>
          <w:sz w:val="18"/>
        </w:rPr>
        <w:t>Binding authority to issue </w:t>
      </w:r>
      <w:r>
        <w:rPr>
          <w:rFonts w:ascii="Arial"/>
          <w:b/>
          <w:spacing w:val="-2"/>
          <w:sz w:val="18"/>
        </w:rPr>
        <w:t>insurance</w:t>
      </w:r>
    </w:p>
    <w:p>
      <w:pPr>
        <w:pStyle w:val="BodyText"/>
        <w:spacing w:before="41"/>
        <w:rPr>
          <w:rFonts w:ascii="Arial"/>
          <w:b/>
          <w:sz w:val="18"/>
        </w:rPr>
      </w:pPr>
    </w:p>
    <w:p>
      <w:pPr>
        <w:pStyle w:val="Heading2"/>
      </w:pPr>
      <w:r>
        <w:rPr/>
        <w:t>7-</w:t>
      </w:r>
      <w:r>
        <w:rPr>
          <w:spacing w:val="-5"/>
        </w:rPr>
        <w:t>177</w:t>
      </w:r>
    </w:p>
    <w:p>
      <w:pPr>
        <w:pStyle w:val="BodyText"/>
        <w:spacing w:line="235" w:lineRule="auto" w:before="203"/>
        <w:ind w:left="164" w:right="167"/>
        <w:jc w:val="both"/>
      </w:pPr>
      <w:bookmarkStart w:name="_bookmark1548" w:id="1550"/>
      <w:bookmarkEnd w:id="1550"/>
      <w:r>
        <w:rPr/>
      </w:r>
      <w:r>
        <w:rPr/>
        <w:t>It has been suggested that an obligation to point out unusual facts, similar to that which appears to </w:t>
      </w:r>
      <w:bookmarkStart w:name="_bookmark1549" w:id="1551"/>
      <w:bookmarkEnd w:id="1551"/>
      <w:r>
        <w:rPr/>
        <w:t>apply</w:t>
      </w:r>
      <w:r>
        <w:rPr>
          <w:spacing w:val="-2"/>
        </w:rPr>
        <w:t> </w:t>
      </w:r>
      <w:r>
        <w:rPr/>
        <w:t>to</w:t>
      </w:r>
      <w:r>
        <w:rPr>
          <w:spacing w:val="-2"/>
        </w:rPr>
        <w:t> </w:t>
      </w:r>
      <w:r>
        <w:rPr/>
        <w:t>suretyship,</w:t>
      </w:r>
      <w:r>
        <w:rPr>
          <w:spacing w:val="-2"/>
        </w:rPr>
        <w:t> </w:t>
      </w:r>
      <w:r>
        <w:rPr>
          <w:color w:val="005DA1"/>
          <w:u w:val="single" w:color="005DA1"/>
          <w:vertAlign w:val="superscript"/>
        </w:rPr>
        <w:t>824</w:t>
      </w:r>
      <w:r>
        <w:rPr>
          <w:color w:val="005DA1"/>
          <w:spacing w:val="-2"/>
          <w:vertAlign w:val="baseline"/>
        </w:rPr>
        <w:t> </w:t>
      </w:r>
      <w:r>
        <w:rPr>
          <w:vertAlign w:val="baseline"/>
        </w:rPr>
        <w:t>may</w:t>
      </w:r>
      <w:r>
        <w:rPr>
          <w:spacing w:val="-2"/>
          <w:vertAlign w:val="baseline"/>
        </w:rPr>
        <w:t> </w:t>
      </w:r>
      <w:r>
        <w:rPr>
          <w:vertAlign w:val="baseline"/>
        </w:rPr>
        <w:t>apply</w:t>
      </w:r>
      <w:r>
        <w:rPr>
          <w:spacing w:val="-2"/>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binding</w:t>
      </w:r>
      <w:r>
        <w:rPr>
          <w:spacing w:val="-2"/>
          <w:vertAlign w:val="baseline"/>
        </w:rPr>
        <w:t> </w:t>
      </w:r>
      <w:r>
        <w:rPr>
          <w:vertAlign w:val="baseline"/>
        </w:rPr>
        <w:t>authority</w:t>
      </w:r>
      <w:r>
        <w:rPr>
          <w:spacing w:val="-2"/>
          <w:vertAlign w:val="baseline"/>
        </w:rPr>
        <w:t> </w:t>
      </w:r>
      <w:r>
        <w:rPr>
          <w:vertAlign w:val="baseline"/>
        </w:rPr>
        <w:t>to</w:t>
      </w:r>
      <w:r>
        <w:rPr>
          <w:spacing w:val="-2"/>
          <w:vertAlign w:val="baseline"/>
        </w:rPr>
        <w:t> </w:t>
      </w:r>
      <w:r>
        <w:rPr>
          <w:vertAlign w:val="baseline"/>
        </w:rPr>
        <w:t>issue</w:t>
      </w:r>
      <w:r>
        <w:rPr>
          <w:spacing w:val="-2"/>
          <w:vertAlign w:val="baseline"/>
        </w:rPr>
        <w:t> </w:t>
      </w:r>
      <w:r>
        <w:rPr>
          <w:vertAlign w:val="baseline"/>
        </w:rPr>
        <w:t>insurance,</w:t>
      </w:r>
      <w:r>
        <w:rPr>
          <w:spacing w:val="-2"/>
          <w:vertAlign w:val="baseline"/>
        </w:rPr>
        <w:t> </w:t>
      </w:r>
      <w:r>
        <w:rPr>
          <w:vertAlign w:val="baseline"/>
        </w:rPr>
        <w:t>so</w:t>
      </w:r>
      <w:r>
        <w:rPr>
          <w:spacing w:val="-2"/>
          <w:vertAlign w:val="baseline"/>
        </w:rPr>
        <w:t> </w:t>
      </w:r>
      <w:r>
        <w:rPr>
          <w:vertAlign w:val="baseline"/>
        </w:rPr>
        <w:t>that</w:t>
      </w:r>
      <w:r>
        <w:rPr>
          <w:spacing w:val="-2"/>
          <w:vertAlign w:val="baseline"/>
        </w:rPr>
        <w:t> </w:t>
      </w:r>
      <w:r>
        <w:rPr>
          <w:vertAlign w:val="baseline"/>
        </w:rPr>
        <w:t>unusual</w:t>
      </w:r>
      <w:r>
        <w:rPr>
          <w:spacing w:val="-2"/>
          <w:vertAlign w:val="baseline"/>
        </w:rPr>
        <w:t> </w:t>
      </w:r>
      <w:r>
        <w:rPr>
          <w:vertAlign w:val="baseline"/>
        </w:rPr>
        <w:t>features</w:t>
      </w:r>
      <w:r>
        <w:rPr>
          <w:spacing w:val="-2"/>
          <w:vertAlign w:val="baseline"/>
        </w:rPr>
        <w:t> </w:t>
      </w:r>
      <w:r>
        <w:rPr>
          <w:vertAlign w:val="baseline"/>
        </w:rPr>
        <w:t>of the coverholder to whom the authority is to be given should be pointed out. </w:t>
      </w:r>
      <w:r>
        <w:rPr>
          <w:color w:val="005DA1"/>
          <w:u w:val="single" w:color="005DA1"/>
          <w:vertAlign w:val="superscript"/>
        </w:rPr>
        <w:t>825</w:t>
      </w:r>
    </w:p>
    <w:p>
      <w:pPr>
        <w:pStyle w:val="BodyText"/>
      </w:pPr>
    </w:p>
    <w:p>
      <w:pPr>
        <w:pStyle w:val="BodyText"/>
        <w:spacing w:before="38"/>
      </w:pPr>
      <w:r>
        <w:rPr/>
        <mc:AlternateContent>
          <mc:Choice Requires="wps">
            <w:drawing>
              <wp:anchor distT="0" distB="0" distL="0" distR="0" allowOverlap="1" layoutInCell="1" locked="0" behindDoc="1" simplePos="0" relativeHeight="487656960">
                <wp:simplePos x="0" y="0"/>
                <wp:positionH relativeFrom="page">
                  <wp:posOffset>914400</wp:posOffset>
                </wp:positionH>
                <wp:positionV relativeFrom="paragraph">
                  <wp:posOffset>185785</wp:posOffset>
                </wp:positionV>
                <wp:extent cx="5724525" cy="1270"/>
                <wp:effectExtent l="0" t="0" r="0" b="0"/>
                <wp:wrapTopAndBottom/>
                <wp:docPr id="282" name="Graphic 282"/>
                <wp:cNvGraphicFramePr>
                  <a:graphicFrameLocks/>
                </wp:cNvGraphicFramePr>
                <a:graphic>
                  <a:graphicData uri="http://schemas.microsoft.com/office/word/2010/wordprocessingShape">
                    <wps:wsp>
                      <wps:cNvPr id="282" name="Graphic 28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28774pt;width:450.75pt;height:.1pt;mso-position-horizontal-relative:page;mso-position-vertical-relative:paragraph;z-index:-15659520;mso-wrap-distance-left:0;mso-wrap-distance-right:0" id="docshape38"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3932160">
                <wp:simplePos x="0" y="0"/>
                <wp:positionH relativeFrom="page">
                  <wp:posOffset>914400</wp:posOffset>
                </wp:positionH>
                <wp:positionV relativeFrom="paragraph">
                  <wp:posOffset>94576</wp:posOffset>
                </wp:positionV>
                <wp:extent cx="49530" cy="1270"/>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384320" from="72pt,7.446977pt" to="75.892pt,7.446977pt" stroked="true" strokeweight=".5pt" strokecolor="#005da1">
                <v:stroke dashstyle="solid"/>
                <w10:wrap type="none"/>
              </v:line>
            </w:pict>
          </mc:Fallback>
        </mc:AlternateContent>
      </w:r>
      <w:hyperlink w:history="true" w:anchor="_bookmark1576">
        <w:r>
          <w:rPr>
            <w:color w:val="005DA1"/>
            <w:spacing w:val="-6"/>
            <w:position w:val="5"/>
            <w:sz w:val="14"/>
          </w:rPr>
          <w:t>1</w:t>
        </w:r>
      </w:hyperlink>
      <w:r>
        <w:rPr>
          <w:spacing w:val="-6"/>
          <w:position w:val="5"/>
          <w:sz w:val="14"/>
        </w:rPr>
        <w:t>.</w:t>
      </w:r>
      <w:r>
        <w:rPr>
          <w:position w:val="5"/>
          <w:sz w:val="14"/>
        </w:rPr>
        <w:tab/>
      </w:r>
      <w:r>
        <w:rPr>
          <w:sz w:val="20"/>
        </w:rPr>
        <w:t>See Allen, </w:t>
      </w:r>
      <w:r>
        <w:rPr>
          <w:rFonts w:ascii="Arial"/>
          <w:i/>
          <w:sz w:val="20"/>
        </w:rPr>
        <w:t>Misrepresentation </w:t>
      </w:r>
      <w:r>
        <w:rPr>
          <w:sz w:val="20"/>
        </w:rPr>
        <w:t>(1988); Cartwright, </w:t>
      </w:r>
      <w:r>
        <w:rPr>
          <w:rFonts w:ascii="Arial"/>
          <w:i/>
          <w:sz w:val="20"/>
        </w:rPr>
        <w:t>Unequal Bargaining </w:t>
      </w:r>
      <w:r>
        <w:rPr>
          <w:sz w:val="20"/>
        </w:rPr>
        <w:t>(1991), Ch.3; </w:t>
      </w:r>
      <w:r>
        <w:rPr>
          <w:sz w:val="20"/>
        </w:rPr>
        <w:t>Cartwright, Misrepresentation, Mistake and Non-disclosure, 4th edn (2016); Spencer Bower and Handley, </w:t>
      </w:r>
      <w:r>
        <w:rPr>
          <w:rFonts w:ascii="Arial"/>
          <w:i/>
          <w:sz w:val="20"/>
        </w:rPr>
        <w:t>Actionable Misrepresentation</w:t>
      </w:r>
      <w:r>
        <w:rPr>
          <w:sz w:val="20"/>
        </w:rPr>
        <w:t>, 5th edn (2014).</w:t>
      </w:r>
    </w:p>
    <w:p>
      <w:pPr>
        <w:pStyle w:val="BodyText"/>
        <w:spacing w:before="5"/>
      </w:pPr>
    </w:p>
    <w:p>
      <w:pPr>
        <w:tabs>
          <w:tab w:pos="705" w:val="left" w:leader="none"/>
        </w:tabs>
        <w:spacing w:before="0"/>
        <w:ind w:left="165" w:right="0" w:firstLine="0"/>
        <w:jc w:val="left"/>
        <w:rPr>
          <w:sz w:val="20"/>
        </w:rPr>
      </w:pPr>
      <w:bookmarkStart w:name="_bookmark1550" w:id="1552"/>
      <w:bookmarkEnd w:id="1552"/>
      <w:r>
        <w:rPr/>
      </w:r>
      <w:hyperlink w:history="true" w:anchor="_bookmark1536">
        <w:r>
          <w:rPr>
            <w:color w:val="005DA1"/>
            <w:spacing w:val="-4"/>
            <w:position w:val="5"/>
            <w:sz w:val="14"/>
            <w:u w:val="single" w:color="005DA1"/>
          </w:rPr>
          <w:t>812</w:t>
        </w:r>
      </w:hyperlink>
      <w:r>
        <w:rPr>
          <w:spacing w:val="-4"/>
          <w:position w:val="5"/>
          <w:sz w:val="14"/>
        </w:rPr>
        <w:t>.</w:t>
      </w:r>
      <w:r>
        <w:rPr>
          <w:position w:val="5"/>
          <w:sz w:val="14"/>
        </w:rPr>
        <w:tab/>
      </w:r>
      <w:r>
        <w:rPr>
          <w:sz w:val="20"/>
        </w:rPr>
        <w:t>See Vol.II, </w:t>
      </w:r>
      <w:r>
        <w:rPr>
          <w:spacing w:val="-2"/>
          <w:sz w:val="20"/>
        </w:rPr>
        <w:t>Ch.45.</w:t>
      </w:r>
    </w:p>
    <w:p>
      <w:pPr>
        <w:pStyle w:val="BodyText"/>
        <w:spacing w:before="5"/>
      </w:pPr>
    </w:p>
    <w:p>
      <w:pPr>
        <w:tabs>
          <w:tab w:pos="705" w:val="left" w:leader="none"/>
        </w:tabs>
        <w:spacing w:before="0"/>
        <w:ind w:left="165" w:right="0" w:firstLine="0"/>
        <w:jc w:val="left"/>
        <w:rPr>
          <w:sz w:val="20"/>
        </w:rPr>
      </w:pPr>
      <w:bookmarkStart w:name="_bookmark1551" w:id="1553"/>
      <w:bookmarkEnd w:id="1553"/>
      <w:r>
        <w:rPr/>
      </w:r>
      <w:hyperlink w:history="true" w:anchor="_bookmark1537">
        <w:r>
          <w:rPr>
            <w:color w:val="005DA1"/>
            <w:spacing w:val="-4"/>
            <w:position w:val="5"/>
            <w:sz w:val="14"/>
            <w:u w:val="single" w:color="005DA1"/>
          </w:rPr>
          <w:t>813</w:t>
        </w:r>
      </w:hyperlink>
      <w:r>
        <w:rPr>
          <w:spacing w:val="-4"/>
          <w:position w:val="5"/>
          <w:sz w:val="14"/>
        </w:rPr>
        <w:t>.</w:t>
      </w:r>
      <w:r>
        <w:rPr>
          <w:position w:val="5"/>
          <w:sz w:val="14"/>
        </w:rPr>
        <w:tab/>
      </w:r>
      <w:r>
        <w:rPr>
          <w:rFonts w:ascii="Arial" w:hAnsi="Arial"/>
          <w:i/>
          <w:sz w:val="20"/>
        </w:rPr>
        <w:t>[1899] 1 Q.B. 782, </w:t>
      </w:r>
      <w:r>
        <w:rPr>
          <w:rFonts w:ascii="Arial" w:hAnsi="Arial"/>
          <w:i/>
          <w:spacing w:val="-2"/>
          <w:sz w:val="20"/>
        </w:rPr>
        <w:t>792–793</w:t>
      </w:r>
      <w:r>
        <w:rPr>
          <w:spacing w:val="-2"/>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552" w:id="1554"/>
      <w:bookmarkEnd w:id="1554"/>
      <w:r>
        <w:rPr/>
      </w:r>
      <w:hyperlink w:history="true" w:anchor="_bookmark1538">
        <w:r>
          <w:rPr>
            <w:color w:val="005DA1"/>
            <w:spacing w:val="-4"/>
            <w:position w:val="5"/>
            <w:sz w:val="14"/>
            <w:u w:val="single" w:color="005DA1"/>
          </w:rPr>
          <w:t>814</w:t>
        </w:r>
      </w:hyperlink>
      <w:r>
        <w:rPr>
          <w:spacing w:val="-4"/>
          <w:position w:val="5"/>
          <w:sz w:val="14"/>
        </w:rPr>
        <w:t>.</w:t>
      </w:r>
      <w:r>
        <w:rPr>
          <w:position w:val="5"/>
          <w:sz w:val="14"/>
        </w:rPr>
        <w:tab/>
      </w:r>
      <w:r>
        <w:rPr>
          <w:rFonts w:ascii="Arial"/>
          <w:i/>
          <w:sz w:val="20"/>
        </w:rPr>
        <w:t>North British Insurance Co v Lloyd (1854) 10 Ex. 523</w:t>
      </w:r>
      <w:r>
        <w:rPr>
          <w:sz w:val="20"/>
        </w:rPr>
        <w:t>; </w:t>
      </w:r>
      <w:r>
        <w:rPr>
          <w:rFonts w:ascii="Arial"/>
          <w:i/>
          <w:sz w:val="20"/>
        </w:rPr>
        <w:t>Lee v Jones (1864) 17 C.B.(N.S.) 482</w:t>
      </w:r>
      <w:r>
        <w:rPr>
          <w:sz w:val="20"/>
        </w:rPr>
        <w:t>;</w:t>
      </w:r>
      <w:r>
        <w:rPr>
          <w:spacing w:val="80"/>
          <w:sz w:val="20"/>
        </w:rPr>
        <w:t> </w:t>
      </w:r>
      <w:r>
        <w:rPr>
          <w:rFonts w:ascii="Arial"/>
          <w:i/>
          <w:sz w:val="20"/>
        </w:rPr>
        <w:t>Geest Plc v Fyffes Plc [1999] 1 All E.R. (Comm) 672</w:t>
      </w:r>
      <w:r>
        <w:rPr>
          <w:sz w:val="20"/>
        </w:rPr>
        <w:t>; below, paras 45-036 et seq.</w:t>
      </w:r>
    </w:p>
    <w:p>
      <w:pPr>
        <w:pStyle w:val="BodyText"/>
        <w:spacing w:before="9"/>
      </w:pPr>
    </w:p>
    <w:p>
      <w:pPr>
        <w:tabs>
          <w:tab w:pos="705" w:val="left" w:leader="none"/>
        </w:tabs>
        <w:spacing w:line="235" w:lineRule="auto" w:before="0"/>
        <w:ind w:left="705" w:right="168" w:hanging="541"/>
        <w:jc w:val="left"/>
        <w:rPr>
          <w:sz w:val="20"/>
        </w:rPr>
      </w:pPr>
      <w:bookmarkStart w:name="_bookmark1553" w:id="1555"/>
      <w:bookmarkEnd w:id="1555"/>
      <w:r>
        <w:rPr/>
      </w:r>
      <w:hyperlink w:history="true" w:anchor="_bookmark1539">
        <w:r>
          <w:rPr>
            <w:color w:val="005DA1"/>
            <w:spacing w:val="-4"/>
            <w:position w:val="5"/>
            <w:sz w:val="14"/>
            <w:u w:val="single" w:color="005DA1"/>
          </w:rPr>
          <w:t>815</w:t>
        </w:r>
      </w:hyperlink>
      <w:r>
        <w:rPr>
          <w:spacing w:val="-4"/>
          <w:position w:val="5"/>
          <w:sz w:val="14"/>
        </w:rPr>
        <w:t>.</w:t>
      </w:r>
      <w:r>
        <w:rPr>
          <w:position w:val="5"/>
          <w:sz w:val="14"/>
        </w:rPr>
        <w:tab/>
      </w:r>
      <w:r>
        <w:rPr>
          <w:rFonts w:ascii="Arial"/>
          <w:i/>
          <w:sz w:val="20"/>
        </w:rPr>
        <w:t>National</w:t>
      </w:r>
      <w:r>
        <w:rPr>
          <w:rFonts w:ascii="Arial"/>
          <w:i/>
          <w:spacing w:val="38"/>
          <w:sz w:val="20"/>
        </w:rPr>
        <w:t> </w:t>
      </w:r>
      <w:r>
        <w:rPr>
          <w:rFonts w:ascii="Arial"/>
          <w:i/>
          <w:sz w:val="20"/>
        </w:rPr>
        <w:t>Provincial</w:t>
      </w:r>
      <w:r>
        <w:rPr>
          <w:rFonts w:ascii="Arial"/>
          <w:i/>
          <w:spacing w:val="38"/>
          <w:sz w:val="20"/>
        </w:rPr>
        <w:t> </w:t>
      </w:r>
      <w:r>
        <w:rPr>
          <w:rFonts w:ascii="Arial"/>
          <w:i/>
          <w:sz w:val="20"/>
        </w:rPr>
        <w:t>Bank</w:t>
      </w:r>
      <w:r>
        <w:rPr>
          <w:rFonts w:ascii="Arial"/>
          <w:i/>
          <w:spacing w:val="38"/>
          <w:sz w:val="20"/>
        </w:rPr>
        <w:t> </w:t>
      </w:r>
      <w:r>
        <w:rPr>
          <w:rFonts w:ascii="Arial"/>
          <w:i/>
          <w:sz w:val="20"/>
        </w:rPr>
        <w:t>v</w:t>
      </w:r>
      <w:r>
        <w:rPr>
          <w:rFonts w:ascii="Arial"/>
          <w:i/>
          <w:spacing w:val="38"/>
          <w:sz w:val="20"/>
        </w:rPr>
        <w:t> </w:t>
      </w:r>
      <w:r>
        <w:rPr>
          <w:rFonts w:ascii="Arial"/>
          <w:i/>
          <w:sz w:val="20"/>
        </w:rPr>
        <w:t>Glanusk</w:t>
      </w:r>
      <w:r>
        <w:rPr>
          <w:rFonts w:ascii="Arial"/>
          <w:i/>
          <w:spacing w:val="38"/>
          <w:sz w:val="20"/>
        </w:rPr>
        <w:t> </w:t>
      </w:r>
      <w:r>
        <w:rPr>
          <w:rFonts w:ascii="Arial"/>
          <w:i/>
          <w:sz w:val="20"/>
        </w:rPr>
        <w:t>[1913]</w:t>
      </w:r>
      <w:r>
        <w:rPr>
          <w:rFonts w:ascii="Arial"/>
          <w:i/>
          <w:spacing w:val="38"/>
          <w:sz w:val="20"/>
        </w:rPr>
        <w:t> </w:t>
      </w:r>
      <w:r>
        <w:rPr>
          <w:rFonts w:ascii="Arial"/>
          <w:i/>
          <w:sz w:val="20"/>
        </w:rPr>
        <w:t>3</w:t>
      </w:r>
      <w:r>
        <w:rPr>
          <w:rFonts w:ascii="Arial"/>
          <w:i/>
          <w:spacing w:val="38"/>
          <w:sz w:val="20"/>
        </w:rPr>
        <w:t> </w:t>
      </w:r>
      <w:r>
        <w:rPr>
          <w:rFonts w:ascii="Arial"/>
          <w:i/>
          <w:sz w:val="20"/>
        </w:rPr>
        <w:t>K.B.</w:t>
      </w:r>
      <w:r>
        <w:rPr>
          <w:rFonts w:ascii="Arial"/>
          <w:i/>
          <w:spacing w:val="38"/>
          <w:sz w:val="20"/>
        </w:rPr>
        <w:t> </w:t>
      </w:r>
      <w:r>
        <w:rPr>
          <w:rFonts w:ascii="Arial"/>
          <w:i/>
          <w:sz w:val="20"/>
        </w:rPr>
        <w:t>335</w:t>
      </w:r>
      <w:r>
        <w:rPr>
          <w:sz w:val="20"/>
        </w:rPr>
        <w:t>;</w:t>
      </w:r>
      <w:r>
        <w:rPr>
          <w:spacing w:val="38"/>
          <w:sz w:val="20"/>
        </w:rPr>
        <w:t> </w:t>
      </w:r>
      <w:r>
        <w:rPr>
          <w:sz w:val="20"/>
        </w:rPr>
        <w:t>see</w:t>
      </w:r>
      <w:r>
        <w:rPr>
          <w:spacing w:val="38"/>
          <w:sz w:val="20"/>
        </w:rPr>
        <w:t> </w:t>
      </w:r>
      <w:r>
        <w:rPr>
          <w:sz w:val="20"/>
        </w:rPr>
        <w:t>also</w:t>
      </w:r>
      <w:r>
        <w:rPr>
          <w:spacing w:val="38"/>
          <w:sz w:val="20"/>
        </w:rPr>
        <w:t> </w:t>
      </w:r>
      <w:r>
        <w:rPr>
          <w:rFonts w:ascii="Arial"/>
          <w:i/>
          <w:sz w:val="20"/>
        </w:rPr>
        <w:t>Royal</w:t>
      </w:r>
      <w:r>
        <w:rPr>
          <w:rFonts w:ascii="Arial"/>
          <w:i/>
          <w:spacing w:val="38"/>
          <w:sz w:val="20"/>
        </w:rPr>
        <w:t> </w:t>
      </w:r>
      <w:r>
        <w:rPr>
          <w:rFonts w:ascii="Arial"/>
          <w:i/>
          <w:sz w:val="20"/>
        </w:rPr>
        <w:t>Bank</w:t>
      </w:r>
      <w:r>
        <w:rPr>
          <w:rFonts w:ascii="Arial"/>
          <w:i/>
          <w:spacing w:val="38"/>
          <w:sz w:val="20"/>
        </w:rPr>
        <w:t> </w:t>
      </w:r>
      <w:r>
        <w:rPr>
          <w:rFonts w:ascii="Arial"/>
          <w:i/>
          <w:sz w:val="20"/>
        </w:rPr>
        <w:t>of</w:t>
      </w:r>
      <w:r>
        <w:rPr>
          <w:rFonts w:ascii="Arial"/>
          <w:i/>
          <w:spacing w:val="38"/>
          <w:sz w:val="20"/>
        </w:rPr>
        <w:t> </w:t>
      </w:r>
      <w:r>
        <w:rPr>
          <w:rFonts w:ascii="Arial"/>
          <w:i/>
          <w:sz w:val="20"/>
        </w:rPr>
        <w:t>Scotland</w:t>
      </w:r>
      <w:r>
        <w:rPr>
          <w:rFonts w:ascii="Arial"/>
          <w:i/>
          <w:spacing w:val="38"/>
          <w:sz w:val="20"/>
        </w:rPr>
        <w:t> </w:t>
      </w:r>
      <w:r>
        <w:rPr>
          <w:rFonts w:ascii="Arial"/>
          <w:i/>
          <w:sz w:val="20"/>
        </w:rPr>
        <w:t>v Greenshields (1914) S.C. 259</w:t>
      </w:r>
      <w:r>
        <w:rPr>
          <w:sz w:val="20"/>
        </w:rPr>
        <w:t>; </w:t>
      </w:r>
      <w:r>
        <w:rPr>
          <w:rFonts w:ascii="Arial"/>
          <w:i/>
          <w:sz w:val="20"/>
        </w:rPr>
        <w:t>Cooper v National Provincial Bank [1946] K.B. 1</w:t>
      </w:r>
      <w:r>
        <w:rPr>
          <w:sz w:val="20"/>
        </w:rPr>
        <w:t>.</w:t>
      </w:r>
    </w:p>
    <w:p>
      <w:pPr>
        <w:pStyle w:val="BodyText"/>
        <w:spacing w:before="5"/>
      </w:pPr>
    </w:p>
    <w:p>
      <w:pPr>
        <w:tabs>
          <w:tab w:pos="705" w:val="left" w:leader="none"/>
        </w:tabs>
        <w:spacing w:before="1"/>
        <w:ind w:left="165" w:right="0" w:firstLine="0"/>
        <w:jc w:val="left"/>
        <w:rPr>
          <w:sz w:val="20"/>
        </w:rPr>
      </w:pPr>
      <w:bookmarkStart w:name="_bookmark1554" w:id="1556"/>
      <w:bookmarkEnd w:id="1556"/>
      <w:r>
        <w:rPr/>
      </w:r>
      <w:hyperlink w:history="true" w:anchor="_bookmark1540">
        <w:r>
          <w:rPr>
            <w:color w:val="005DA1"/>
            <w:spacing w:val="-4"/>
            <w:position w:val="5"/>
            <w:sz w:val="14"/>
            <w:u w:val="single" w:color="005DA1"/>
          </w:rPr>
          <w:t>816</w:t>
        </w:r>
      </w:hyperlink>
      <w:r>
        <w:rPr>
          <w:spacing w:val="-4"/>
          <w:position w:val="5"/>
          <w:sz w:val="14"/>
        </w:rPr>
        <w:t>.</w:t>
      </w:r>
      <w:r>
        <w:rPr>
          <w:position w:val="5"/>
          <w:sz w:val="14"/>
        </w:rPr>
        <w:tab/>
      </w:r>
      <w:r>
        <w:rPr>
          <w:rFonts w:ascii="Arial"/>
          <w:i/>
          <w:sz w:val="20"/>
        </w:rPr>
        <w:t>[1995] 1 W.L.R. </w:t>
      </w:r>
      <w:r>
        <w:rPr>
          <w:rFonts w:ascii="Arial"/>
          <w:i/>
          <w:spacing w:val="-4"/>
          <w:sz w:val="20"/>
        </w:rPr>
        <w:t>1260</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555" w:id="1557"/>
      <w:bookmarkEnd w:id="1557"/>
      <w:r>
        <w:rPr/>
      </w:r>
      <w:hyperlink w:history="true" w:anchor="_bookmark1541">
        <w:r>
          <w:rPr>
            <w:color w:val="005DA1"/>
            <w:spacing w:val="-4"/>
            <w:position w:val="5"/>
            <w:sz w:val="14"/>
            <w:u w:val="single" w:color="005DA1"/>
          </w:rPr>
          <w:t>817</w:t>
        </w:r>
      </w:hyperlink>
      <w:r>
        <w:rPr>
          <w:spacing w:val="-4"/>
          <w:position w:val="5"/>
          <w:sz w:val="14"/>
        </w:rPr>
        <w:t>.</w:t>
      </w:r>
      <w:r>
        <w:rPr>
          <w:position w:val="5"/>
          <w:sz w:val="14"/>
        </w:rPr>
        <w:tab/>
      </w:r>
      <w:r>
        <w:rPr>
          <w:rFonts w:ascii="Arial" w:hAnsi="Arial"/>
          <w:i/>
          <w:sz w:val="20"/>
        </w:rPr>
        <w:t>[1996] 1 Lloyd’s Rep. 200; affirmed on other grounds [2000] 1 A.C. </w:t>
      </w:r>
      <w:r>
        <w:rPr>
          <w:rFonts w:ascii="Arial" w:hAnsi="Arial"/>
          <w:i/>
          <w:spacing w:val="-4"/>
          <w:sz w:val="20"/>
        </w:rPr>
        <w:t>486</w:t>
      </w:r>
      <w:r>
        <w:rPr>
          <w:spacing w:val="-4"/>
          <w:sz w:val="20"/>
        </w:rPr>
        <w:t>.</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1556" w:id="1558"/>
      <w:bookmarkEnd w:id="1558"/>
      <w:r>
        <w:rPr/>
      </w:r>
      <w:hyperlink w:history="true" w:anchor="_bookmark1542">
        <w:r>
          <w:rPr>
            <w:color w:val="005DA1"/>
            <w:spacing w:val="-4"/>
            <w:position w:val="5"/>
            <w:sz w:val="14"/>
            <w:u w:val="single" w:color="005DA1"/>
          </w:rPr>
          <w:t>818</w:t>
        </w:r>
      </w:hyperlink>
      <w:r>
        <w:rPr>
          <w:spacing w:val="-4"/>
          <w:position w:val="5"/>
          <w:sz w:val="14"/>
        </w:rPr>
        <w:t>.</w:t>
      </w:r>
      <w:r>
        <w:rPr>
          <w:position w:val="5"/>
          <w:sz w:val="14"/>
        </w:rPr>
        <w:tab/>
      </w:r>
      <w:r>
        <w:rPr>
          <w:rFonts w:ascii="Arial"/>
          <w:i/>
          <w:sz w:val="20"/>
        </w:rPr>
        <w:t>London</w:t>
      </w:r>
      <w:r>
        <w:rPr>
          <w:rFonts w:ascii="Arial"/>
          <w:i/>
          <w:spacing w:val="-1"/>
          <w:sz w:val="20"/>
        </w:rPr>
        <w:t> </w:t>
      </w:r>
      <w:r>
        <w:rPr>
          <w:rFonts w:ascii="Arial"/>
          <w:i/>
          <w:sz w:val="20"/>
        </w:rPr>
        <w:t>General Omnibus Co v Holloway [1912] 2 K.B. 72</w:t>
      </w:r>
      <w:r>
        <w:rPr>
          <w:sz w:val="20"/>
        </w:rPr>
        <w:t>; see also </w:t>
      </w:r>
      <w:r>
        <w:rPr>
          <w:rFonts w:ascii="Arial"/>
          <w:i/>
          <w:sz w:val="20"/>
        </w:rPr>
        <w:t>Phillips v Foxall (1872) </w:t>
      </w:r>
      <w:r>
        <w:rPr>
          <w:rFonts w:ascii="Arial"/>
          <w:i/>
          <w:spacing w:val="-4"/>
          <w:sz w:val="20"/>
        </w:rPr>
        <w:t>L.R.</w:t>
      </w:r>
    </w:p>
    <w:p>
      <w:pPr>
        <w:pStyle w:val="BodyText"/>
        <w:spacing w:line="227" w:lineRule="exact"/>
        <w:ind w:left="705"/>
      </w:pPr>
      <w:r>
        <w:rPr>
          <w:rFonts w:ascii="Arial"/>
          <w:i/>
        </w:rPr>
        <w:t>7</w:t>
      </w:r>
      <w:r>
        <w:rPr>
          <w:rFonts w:ascii="Arial"/>
          <w:i/>
          <w:spacing w:val="-1"/>
        </w:rPr>
        <w:t> </w:t>
      </w:r>
      <w:r>
        <w:rPr>
          <w:rFonts w:ascii="Arial"/>
          <w:i/>
        </w:rPr>
        <w:t>Q.B. 666</w:t>
      </w:r>
      <w:r>
        <w:rPr/>
        <w:t>. For further discussion of these points see Vol.II, para.45-</w:t>
      </w:r>
      <w:r>
        <w:rPr>
          <w:spacing w:val="-4"/>
        </w:rPr>
        <w:t>036.</w:t>
      </w:r>
    </w:p>
    <w:p>
      <w:pPr>
        <w:pStyle w:val="BodyText"/>
        <w:spacing w:before="8"/>
      </w:pPr>
    </w:p>
    <w:p>
      <w:pPr>
        <w:spacing w:line="235" w:lineRule="auto" w:before="0"/>
        <w:ind w:left="705" w:right="167" w:hanging="541"/>
        <w:jc w:val="both"/>
        <w:rPr>
          <w:sz w:val="20"/>
        </w:rPr>
      </w:pPr>
      <w:bookmarkStart w:name="_bookmark1557" w:id="1559"/>
      <w:bookmarkEnd w:id="1559"/>
      <w:r>
        <w:rPr/>
      </w:r>
      <w:hyperlink w:history="true" w:anchor="_bookmark1543">
        <w:r>
          <w:rPr>
            <w:color w:val="005DA1"/>
            <w:position w:val="5"/>
            <w:sz w:val="14"/>
            <w:u w:val="single" w:color="005DA1"/>
          </w:rPr>
          <w:t>819</w:t>
        </w:r>
      </w:hyperlink>
      <w:r>
        <w:rPr>
          <w:position w:val="5"/>
          <w:sz w:val="14"/>
        </w:rPr>
        <w:t>.</w:t>
      </w:r>
      <w:r>
        <w:rPr>
          <w:spacing w:val="40"/>
          <w:position w:val="5"/>
          <w:sz w:val="14"/>
        </w:rPr>
        <w:t>  </w:t>
      </w:r>
      <w:r>
        <w:rPr>
          <w:rFonts w:ascii="Arial" w:hAnsi="Arial"/>
          <w:i/>
          <w:sz w:val="20"/>
        </w:rPr>
        <w:t>North Shore Ventures Ltd v Anstead Holdings Inc [2011] EWCA Civ 230, [2012] Ch. 31</w:t>
      </w:r>
      <w:r>
        <w:rPr>
          <w:sz w:val="20"/>
        </w:rPr>
        <w:t>. At </w:t>
      </w:r>
      <w:r>
        <w:rPr>
          <w:sz w:val="20"/>
        </w:rPr>
        <w:t>first instance</w:t>
      </w:r>
      <w:r>
        <w:rPr>
          <w:spacing w:val="-2"/>
          <w:sz w:val="20"/>
        </w:rPr>
        <w:t> </w:t>
      </w:r>
      <w:r>
        <w:rPr>
          <w:sz w:val="20"/>
        </w:rPr>
        <w:t>it</w:t>
      </w:r>
      <w:r>
        <w:rPr>
          <w:spacing w:val="-2"/>
          <w:sz w:val="20"/>
        </w:rPr>
        <w:t> </w:t>
      </w:r>
      <w:r>
        <w:rPr>
          <w:sz w:val="20"/>
        </w:rPr>
        <w:t>had</w:t>
      </w:r>
      <w:r>
        <w:rPr>
          <w:spacing w:val="-2"/>
          <w:sz w:val="20"/>
        </w:rPr>
        <w:t> </w:t>
      </w:r>
      <w:r>
        <w:rPr>
          <w:sz w:val="20"/>
        </w:rPr>
        <w:t>been</w:t>
      </w:r>
      <w:r>
        <w:rPr>
          <w:spacing w:val="-2"/>
          <w:sz w:val="20"/>
        </w:rPr>
        <w:t> </w:t>
      </w:r>
      <w:r>
        <w:rPr>
          <w:sz w:val="20"/>
        </w:rPr>
        <w:t>held</w:t>
      </w:r>
      <w:r>
        <w:rPr>
          <w:spacing w:val="-2"/>
          <w:sz w:val="20"/>
        </w:rPr>
        <w:t> </w:t>
      </w:r>
      <w:r>
        <w:rPr>
          <w:sz w:val="20"/>
        </w:rPr>
        <w:t>that</w:t>
      </w:r>
      <w:r>
        <w:rPr>
          <w:spacing w:val="-2"/>
          <w:sz w:val="20"/>
        </w:rPr>
        <w:t> </w:t>
      </w:r>
      <w:r>
        <w:rPr>
          <w:sz w:val="20"/>
        </w:rPr>
        <w:t>the</w:t>
      </w:r>
      <w:r>
        <w:rPr>
          <w:spacing w:val="-2"/>
          <w:sz w:val="20"/>
        </w:rPr>
        <w:t> </w:t>
      </w:r>
      <w:r>
        <w:rPr>
          <w:sz w:val="20"/>
        </w:rPr>
        <w:t>duty</w:t>
      </w:r>
      <w:r>
        <w:rPr>
          <w:spacing w:val="-2"/>
          <w:sz w:val="20"/>
        </w:rPr>
        <w:t> </w:t>
      </w:r>
      <w:r>
        <w:rPr>
          <w:sz w:val="20"/>
        </w:rPr>
        <w:t>extends</w:t>
      </w:r>
      <w:r>
        <w:rPr>
          <w:spacing w:val="-2"/>
          <w:sz w:val="20"/>
        </w:rPr>
        <w:t> </w:t>
      </w:r>
      <w:r>
        <w:rPr>
          <w:sz w:val="20"/>
        </w:rPr>
        <w:t>to</w:t>
      </w:r>
      <w:r>
        <w:rPr>
          <w:spacing w:val="-2"/>
          <w:sz w:val="20"/>
        </w:rPr>
        <w:t> </w:t>
      </w:r>
      <w:r>
        <w:rPr>
          <w:sz w:val="20"/>
        </w:rPr>
        <w:t>facts</w:t>
      </w:r>
      <w:r>
        <w:rPr>
          <w:spacing w:val="-2"/>
          <w:sz w:val="20"/>
        </w:rPr>
        <w:t> </w:t>
      </w:r>
      <w:r>
        <w:rPr>
          <w:sz w:val="20"/>
        </w:rPr>
        <w:t>that</w:t>
      </w:r>
      <w:r>
        <w:rPr>
          <w:spacing w:val="-2"/>
          <w:sz w:val="20"/>
        </w:rPr>
        <w:t> </w:t>
      </w:r>
      <w:r>
        <w:rPr>
          <w:sz w:val="20"/>
        </w:rPr>
        <w:t>the</w:t>
      </w:r>
      <w:r>
        <w:rPr>
          <w:spacing w:val="-2"/>
          <w:sz w:val="20"/>
        </w:rPr>
        <w:t> </w:t>
      </w:r>
      <w:r>
        <w:rPr>
          <w:sz w:val="20"/>
        </w:rPr>
        <w:t>surety</w:t>
      </w:r>
      <w:r>
        <w:rPr>
          <w:spacing w:val="-2"/>
          <w:sz w:val="20"/>
        </w:rPr>
        <w:t> </w:t>
      </w:r>
      <w:r>
        <w:rPr>
          <w:sz w:val="20"/>
        </w:rPr>
        <w:t>would</w:t>
      </w:r>
      <w:r>
        <w:rPr>
          <w:spacing w:val="-2"/>
          <w:sz w:val="20"/>
        </w:rPr>
        <w:t> </w:t>
      </w:r>
      <w:r>
        <w:rPr>
          <w:sz w:val="20"/>
        </w:rPr>
        <w:t>expect</w:t>
      </w:r>
      <w:r>
        <w:rPr>
          <w:spacing w:val="-2"/>
          <w:sz w:val="20"/>
        </w:rPr>
        <w:t> </w:t>
      </w:r>
      <w:r>
        <w:rPr>
          <w:sz w:val="20"/>
        </w:rPr>
        <w:t>not</w:t>
      </w:r>
      <w:r>
        <w:rPr>
          <w:spacing w:val="-2"/>
          <w:sz w:val="20"/>
        </w:rPr>
        <w:t> </w:t>
      </w:r>
      <w:r>
        <w:rPr>
          <w:sz w:val="20"/>
        </w:rPr>
        <w:t>to</w:t>
      </w:r>
      <w:r>
        <w:rPr>
          <w:spacing w:val="-2"/>
          <w:sz w:val="20"/>
        </w:rPr>
        <w:t> </w:t>
      </w:r>
      <w:r>
        <w:rPr>
          <w:sz w:val="20"/>
        </w:rPr>
        <w:t>exist, so the creditor should disclose the fact that the debtor has been fraudulent (</w:t>
      </w:r>
      <w:r>
        <w:rPr>
          <w:rFonts w:ascii="Arial" w:hAnsi="Arial"/>
          <w:i/>
          <w:sz w:val="20"/>
        </w:rPr>
        <w:t>[2010] EWHC 1485 (Ch) </w:t>
      </w:r>
      <w:r>
        <w:rPr>
          <w:sz w:val="20"/>
        </w:rPr>
        <w:t>at [119]–[123], referring to statements by Vaughan Williams L.J. in </w:t>
      </w:r>
      <w:r>
        <w:rPr>
          <w:rFonts w:ascii="Arial" w:hAnsi="Arial"/>
          <w:i/>
          <w:sz w:val="20"/>
        </w:rPr>
        <w:t>London General Omnibus</w:t>
      </w:r>
      <w:r>
        <w:rPr>
          <w:rFonts w:ascii="Arial" w:hAnsi="Arial"/>
          <w:i/>
          <w:spacing w:val="12"/>
          <w:sz w:val="20"/>
        </w:rPr>
        <w:t> </w:t>
      </w:r>
      <w:r>
        <w:rPr>
          <w:rFonts w:ascii="Arial" w:hAnsi="Arial"/>
          <w:i/>
          <w:sz w:val="20"/>
        </w:rPr>
        <w:t>Co</w:t>
      </w:r>
      <w:r>
        <w:rPr>
          <w:rFonts w:ascii="Arial" w:hAnsi="Arial"/>
          <w:i/>
          <w:spacing w:val="14"/>
          <w:sz w:val="20"/>
        </w:rPr>
        <w:t> </w:t>
      </w:r>
      <w:r>
        <w:rPr>
          <w:rFonts w:ascii="Arial" w:hAnsi="Arial"/>
          <w:i/>
          <w:sz w:val="20"/>
        </w:rPr>
        <w:t>v</w:t>
      </w:r>
      <w:r>
        <w:rPr>
          <w:rFonts w:ascii="Arial" w:hAnsi="Arial"/>
          <w:i/>
          <w:spacing w:val="14"/>
          <w:sz w:val="20"/>
        </w:rPr>
        <w:t> </w:t>
      </w:r>
      <w:r>
        <w:rPr>
          <w:rFonts w:ascii="Arial" w:hAnsi="Arial"/>
          <w:i/>
          <w:sz w:val="20"/>
        </w:rPr>
        <w:t>Holloway</w:t>
      </w:r>
      <w:r>
        <w:rPr>
          <w:rFonts w:ascii="Arial" w:hAnsi="Arial"/>
          <w:i/>
          <w:spacing w:val="14"/>
          <w:sz w:val="20"/>
        </w:rPr>
        <w:t> </w:t>
      </w:r>
      <w:r>
        <w:rPr>
          <w:rFonts w:ascii="Arial" w:hAnsi="Arial"/>
          <w:i/>
          <w:sz w:val="20"/>
        </w:rPr>
        <w:t>[1912]</w:t>
      </w:r>
      <w:r>
        <w:rPr>
          <w:rFonts w:ascii="Arial" w:hAnsi="Arial"/>
          <w:i/>
          <w:spacing w:val="14"/>
          <w:sz w:val="20"/>
        </w:rPr>
        <w:t> </w:t>
      </w:r>
      <w:r>
        <w:rPr>
          <w:rFonts w:ascii="Arial" w:hAnsi="Arial"/>
          <w:i/>
          <w:sz w:val="20"/>
        </w:rPr>
        <w:t>2</w:t>
      </w:r>
      <w:r>
        <w:rPr>
          <w:rFonts w:ascii="Arial" w:hAnsi="Arial"/>
          <w:i/>
          <w:spacing w:val="14"/>
          <w:sz w:val="20"/>
        </w:rPr>
        <w:t> </w:t>
      </w:r>
      <w:r>
        <w:rPr>
          <w:rFonts w:ascii="Arial" w:hAnsi="Arial"/>
          <w:i/>
          <w:sz w:val="20"/>
        </w:rPr>
        <w:t>K.B.</w:t>
      </w:r>
      <w:r>
        <w:rPr>
          <w:rFonts w:ascii="Arial" w:hAnsi="Arial"/>
          <w:i/>
          <w:spacing w:val="14"/>
          <w:sz w:val="20"/>
        </w:rPr>
        <w:t> </w:t>
      </w:r>
      <w:r>
        <w:rPr>
          <w:rFonts w:ascii="Arial" w:hAnsi="Arial"/>
          <w:i/>
          <w:sz w:val="20"/>
        </w:rPr>
        <w:t>72,</w:t>
      </w:r>
      <w:r>
        <w:rPr>
          <w:rFonts w:ascii="Arial" w:hAnsi="Arial"/>
          <w:i/>
          <w:spacing w:val="14"/>
          <w:sz w:val="20"/>
        </w:rPr>
        <w:t> </w:t>
      </w:r>
      <w:r>
        <w:rPr>
          <w:rFonts w:ascii="Arial" w:hAnsi="Arial"/>
          <w:i/>
          <w:sz w:val="20"/>
        </w:rPr>
        <w:t>79</w:t>
      </w:r>
      <w:r>
        <w:rPr>
          <w:rFonts w:ascii="Arial" w:hAnsi="Arial"/>
          <w:i/>
          <w:spacing w:val="14"/>
          <w:sz w:val="20"/>
        </w:rPr>
        <w:t> </w:t>
      </w:r>
      <w:r>
        <w:rPr>
          <w:sz w:val="20"/>
        </w:rPr>
        <w:t>which</w:t>
      </w:r>
      <w:r>
        <w:rPr>
          <w:spacing w:val="14"/>
          <w:sz w:val="20"/>
        </w:rPr>
        <w:t> </w:t>
      </w:r>
      <w:r>
        <w:rPr>
          <w:sz w:val="20"/>
        </w:rPr>
        <w:t>had</w:t>
      </w:r>
      <w:r>
        <w:rPr>
          <w:spacing w:val="14"/>
          <w:sz w:val="20"/>
        </w:rPr>
        <w:t> </w:t>
      </w:r>
      <w:r>
        <w:rPr>
          <w:sz w:val="20"/>
        </w:rPr>
        <w:t>been</w:t>
      </w:r>
      <w:r>
        <w:rPr>
          <w:spacing w:val="14"/>
          <w:sz w:val="20"/>
        </w:rPr>
        <w:t> </w:t>
      </w:r>
      <w:r>
        <w:rPr>
          <w:sz w:val="20"/>
        </w:rPr>
        <w:t>cited</w:t>
      </w:r>
      <w:r>
        <w:rPr>
          <w:spacing w:val="14"/>
          <w:sz w:val="20"/>
        </w:rPr>
        <w:t> </w:t>
      </w:r>
      <w:r>
        <w:rPr>
          <w:sz w:val="20"/>
        </w:rPr>
        <w:t>with</w:t>
      </w:r>
      <w:r>
        <w:rPr>
          <w:spacing w:val="14"/>
          <w:sz w:val="20"/>
        </w:rPr>
        <w:t> </w:t>
      </w:r>
      <w:r>
        <w:rPr>
          <w:sz w:val="20"/>
        </w:rPr>
        <w:t>approval</w:t>
      </w:r>
      <w:r>
        <w:rPr>
          <w:spacing w:val="14"/>
          <w:sz w:val="20"/>
        </w:rPr>
        <w:t> </w:t>
      </w:r>
      <w:r>
        <w:rPr>
          <w:sz w:val="20"/>
        </w:rPr>
        <w:t>by</w:t>
      </w:r>
      <w:r>
        <w:rPr>
          <w:spacing w:val="14"/>
          <w:sz w:val="20"/>
        </w:rPr>
        <w:t> </w:t>
      </w:r>
      <w:r>
        <w:rPr>
          <w:sz w:val="20"/>
        </w:rPr>
        <w:t>the</w:t>
      </w:r>
      <w:r>
        <w:rPr>
          <w:spacing w:val="14"/>
          <w:sz w:val="20"/>
        </w:rPr>
        <w:t> </w:t>
      </w:r>
      <w:r>
        <w:rPr>
          <w:spacing w:val="-2"/>
          <w:sz w:val="20"/>
        </w:rPr>
        <w:t>Privy</w:t>
      </w:r>
    </w:p>
    <w:p>
      <w:pPr>
        <w:spacing w:after="0" w:line="235" w:lineRule="auto"/>
        <w:jc w:val="both"/>
        <w:rPr>
          <w:sz w:val="20"/>
        </w:rPr>
        <w:sectPr>
          <w:pgSz w:w="11900" w:h="16840"/>
          <w:pgMar w:header="971" w:footer="0" w:top="1160" w:bottom="280" w:left="1275" w:right="1275"/>
        </w:sectPr>
      </w:pPr>
    </w:p>
    <w:p>
      <w:pPr>
        <w:pStyle w:val="BodyText"/>
        <w:spacing w:before="24"/>
      </w:pPr>
    </w:p>
    <w:p>
      <w:pPr>
        <w:spacing w:line="235" w:lineRule="auto" w:before="1"/>
        <w:ind w:left="705" w:right="168" w:firstLine="0"/>
        <w:jc w:val="both"/>
        <w:rPr>
          <w:sz w:val="20"/>
        </w:rPr>
      </w:pPr>
      <w:r>
        <w:rPr>
          <w:sz w:val="20"/>
        </w:rPr>
        <w:t>Council in </w:t>
      </w:r>
      <w:r>
        <w:rPr>
          <w:rFonts w:ascii="Arial"/>
          <w:i/>
          <w:sz w:val="20"/>
        </w:rPr>
        <w:t>Estate of Imorette Palmer (decd) v Cornerstone Investments &amp; Finance Co Ltd</w:t>
      </w:r>
      <w:r>
        <w:rPr>
          <w:rFonts w:ascii="Arial"/>
          <w:i/>
          <w:spacing w:val="40"/>
          <w:sz w:val="20"/>
        </w:rPr>
        <w:t> </w:t>
      </w:r>
      <w:r>
        <w:rPr>
          <w:rFonts w:ascii="Arial"/>
          <w:i/>
          <w:sz w:val="20"/>
        </w:rPr>
        <w:t>[2007] UKPC 49 </w:t>
      </w:r>
      <w:r>
        <w:rPr>
          <w:sz w:val="20"/>
        </w:rPr>
        <w:t>at [40]). The decision was reversed by the Court of Appeal, which held </w:t>
      </w:r>
      <w:r>
        <w:rPr>
          <w:sz w:val="20"/>
        </w:rPr>
        <w:t>that Vaughan Williams L.J. had not widened the existing law (at [27] and [57]).</w:t>
      </w:r>
    </w:p>
    <w:p>
      <w:pPr>
        <w:pStyle w:val="BodyText"/>
        <w:spacing w:before="5"/>
      </w:pPr>
    </w:p>
    <w:p>
      <w:pPr>
        <w:tabs>
          <w:tab w:pos="705" w:val="left" w:leader="none"/>
        </w:tabs>
        <w:spacing w:before="0"/>
        <w:ind w:left="165" w:right="0" w:firstLine="0"/>
        <w:jc w:val="left"/>
        <w:rPr>
          <w:sz w:val="20"/>
        </w:rPr>
      </w:pPr>
      <w:bookmarkStart w:name="_bookmark1558" w:id="1560"/>
      <w:bookmarkEnd w:id="1560"/>
      <w:r>
        <w:rPr/>
      </w:r>
      <w:hyperlink w:history="true" w:anchor="_bookmark1544">
        <w:r>
          <w:rPr>
            <w:color w:val="005DA1"/>
            <w:spacing w:val="-4"/>
            <w:position w:val="5"/>
            <w:sz w:val="14"/>
            <w:u w:val="single" w:color="005DA1"/>
          </w:rPr>
          <w:t>820</w:t>
        </w:r>
      </w:hyperlink>
      <w:r>
        <w:rPr>
          <w:spacing w:val="-4"/>
          <w:position w:val="5"/>
          <w:sz w:val="14"/>
        </w:rPr>
        <w:t>.</w:t>
      </w:r>
      <w:r>
        <w:rPr>
          <w:position w:val="5"/>
          <w:sz w:val="14"/>
        </w:rPr>
        <w:tab/>
      </w:r>
      <w:r>
        <w:rPr>
          <w:rFonts w:ascii="Arial"/>
          <w:i/>
          <w:sz w:val="20"/>
        </w:rPr>
        <w:t>[2011] EWCA Civ 230</w:t>
      </w:r>
      <w:r>
        <w:rPr>
          <w:rFonts w:ascii="Arial"/>
          <w:i/>
          <w:spacing w:val="-1"/>
          <w:sz w:val="20"/>
        </w:rPr>
        <w:t> </w:t>
      </w:r>
      <w:r>
        <w:rPr>
          <w:sz w:val="20"/>
        </w:rPr>
        <w:t>at </w:t>
      </w:r>
      <w:r>
        <w:rPr>
          <w:spacing w:val="-2"/>
          <w:sz w:val="20"/>
        </w:rPr>
        <w:t>[14].</w:t>
      </w:r>
    </w:p>
    <w:p>
      <w:pPr>
        <w:pStyle w:val="BodyText"/>
        <w:spacing w:before="5"/>
      </w:pPr>
    </w:p>
    <w:p>
      <w:pPr>
        <w:tabs>
          <w:tab w:pos="705" w:val="left" w:leader="none"/>
        </w:tabs>
        <w:spacing w:before="0"/>
        <w:ind w:left="165" w:right="0" w:firstLine="0"/>
        <w:jc w:val="left"/>
        <w:rPr>
          <w:sz w:val="20"/>
        </w:rPr>
      </w:pPr>
      <w:bookmarkStart w:name="_bookmark1559" w:id="1561"/>
      <w:bookmarkEnd w:id="1561"/>
      <w:r>
        <w:rPr/>
      </w:r>
      <w:hyperlink w:history="true" w:anchor="_bookmark1545">
        <w:r>
          <w:rPr>
            <w:color w:val="005DA1"/>
            <w:spacing w:val="-4"/>
            <w:position w:val="5"/>
            <w:sz w:val="14"/>
            <w:u w:val="single" w:color="005DA1"/>
          </w:rPr>
          <w:t>821</w:t>
        </w:r>
      </w:hyperlink>
      <w:r>
        <w:rPr>
          <w:spacing w:val="-4"/>
          <w:position w:val="5"/>
          <w:sz w:val="14"/>
        </w:rPr>
        <w:t>.</w:t>
      </w:r>
      <w:r>
        <w:rPr>
          <w:position w:val="5"/>
          <w:sz w:val="14"/>
        </w:rPr>
        <w:tab/>
      </w:r>
      <w:r>
        <w:rPr>
          <w:rFonts w:ascii="Arial"/>
          <w:i/>
          <w:sz w:val="20"/>
        </w:rPr>
        <w:t>[2011] EWCA Civ 230</w:t>
      </w:r>
      <w:r>
        <w:rPr>
          <w:rFonts w:ascii="Arial"/>
          <w:i/>
          <w:spacing w:val="-1"/>
          <w:sz w:val="20"/>
        </w:rPr>
        <w:t> </w:t>
      </w:r>
      <w:r>
        <w:rPr>
          <w:sz w:val="20"/>
        </w:rPr>
        <w:t>at [37]. For further discussion of this case see below, para.45-</w:t>
      </w:r>
      <w:r>
        <w:rPr>
          <w:spacing w:val="-4"/>
          <w:sz w:val="20"/>
        </w:rPr>
        <w:t>036.</w:t>
      </w:r>
    </w:p>
    <w:p>
      <w:pPr>
        <w:pStyle w:val="BodyText"/>
        <w:spacing w:before="5"/>
      </w:pPr>
    </w:p>
    <w:p>
      <w:pPr>
        <w:pStyle w:val="BodyText"/>
        <w:tabs>
          <w:tab w:pos="705" w:val="left" w:leader="none"/>
        </w:tabs>
        <w:ind w:left="165"/>
      </w:pPr>
      <w:bookmarkStart w:name="_bookmark1560" w:id="1562"/>
      <w:bookmarkEnd w:id="1562"/>
      <w:r>
        <w:rPr/>
      </w:r>
      <w:hyperlink w:history="true" w:anchor="_bookmark1546">
        <w:r>
          <w:rPr>
            <w:color w:val="005DA1"/>
            <w:spacing w:val="-4"/>
            <w:position w:val="5"/>
            <w:sz w:val="14"/>
            <w:u w:val="single" w:color="005DA1"/>
          </w:rPr>
          <w:t>822</w:t>
        </w:r>
      </w:hyperlink>
      <w:r>
        <w:rPr>
          <w:spacing w:val="-4"/>
          <w:position w:val="5"/>
          <w:sz w:val="14"/>
        </w:rPr>
        <w:t>.</w:t>
      </w:r>
      <w:r>
        <w:rPr>
          <w:position w:val="5"/>
          <w:sz w:val="14"/>
        </w:rPr>
        <w:tab/>
      </w:r>
      <w:r>
        <w:rPr/>
        <w:t>See</w:t>
      </w:r>
      <w:r>
        <w:rPr>
          <w:spacing w:val="-2"/>
        </w:rPr>
        <w:t> </w:t>
      </w:r>
      <w:r>
        <w:rPr/>
        <w:t>below, para.8-</w:t>
      </w:r>
      <w:r>
        <w:rPr>
          <w:spacing w:val="-4"/>
        </w:rPr>
        <w:t>116.</w:t>
      </w:r>
    </w:p>
    <w:p>
      <w:pPr>
        <w:pStyle w:val="BodyText"/>
        <w:spacing w:before="5"/>
      </w:pPr>
    </w:p>
    <w:p>
      <w:pPr>
        <w:pStyle w:val="BodyText"/>
        <w:tabs>
          <w:tab w:pos="705" w:val="left" w:leader="none"/>
        </w:tabs>
        <w:ind w:left="165"/>
      </w:pPr>
      <w:bookmarkStart w:name="_bookmark1561" w:id="1563"/>
      <w:bookmarkEnd w:id="1563"/>
      <w:r>
        <w:rPr/>
      </w:r>
      <w:hyperlink w:history="true" w:anchor="_bookmark1547">
        <w:r>
          <w:rPr>
            <w:color w:val="005DA1"/>
            <w:spacing w:val="-4"/>
            <w:position w:val="5"/>
            <w:sz w:val="14"/>
            <w:u w:val="single" w:color="005DA1"/>
          </w:rPr>
          <w:t>823</w:t>
        </w:r>
      </w:hyperlink>
      <w:r>
        <w:rPr>
          <w:spacing w:val="-4"/>
          <w:position w:val="5"/>
          <w:sz w:val="14"/>
        </w:rPr>
        <w:t>.</w:t>
      </w:r>
      <w:r>
        <w:rPr>
          <w:position w:val="5"/>
          <w:sz w:val="14"/>
        </w:rPr>
        <w:tab/>
      </w:r>
      <w:r>
        <w:rPr/>
        <w:t>See below, paras 8-108—8-</w:t>
      </w:r>
      <w:r>
        <w:rPr>
          <w:spacing w:val="-4"/>
        </w:rPr>
        <w:t>122.</w:t>
      </w:r>
    </w:p>
    <w:p>
      <w:pPr>
        <w:pStyle w:val="BodyText"/>
        <w:spacing w:before="5"/>
      </w:pPr>
    </w:p>
    <w:p>
      <w:pPr>
        <w:tabs>
          <w:tab w:pos="705" w:val="left" w:leader="none"/>
        </w:tabs>
        <w:spacing w:before="0"/>
        <w:ind w:left="165" w:right="0" w:firstLine="0"/>
        <w:jc w:val="left"/>
        <w:rPr>
          <w:sz w:val="20"/>
        </w:rPr>
      </w:pPr>
      <w:bookmarkStart w:name="_bookmark1562" w:id="1564"/>
      <w:bookmarkEnd w:id="1564"/>
      <w:r>
        <w:rPr/>
      </w:r>
      <w:hyperlink w:history="true" w:anchor="_bookmark1548">
        <w:r>
          <w:rPr>
            <w:color w:val="005DA1"/>
            <w:spacing w:val="-4"/>
            <w:position w:val="5"/>
            <w:sz w:val="14"/>
            <w:u w:val="single" w:color="005DA1"/>
          </w:rPr>
          <w:t>824</w:t>
        </w:r>
      </w:hyperlink>
      <w:r>
        <w:rPr>
          <w:spacing w:val="-4"/>
          <w:position w:val="5"/>
          <w:sz w:val="14"/>
        </w:rPr>
        <w:t>.</w:t>
      </w:r>
      <w:r>
        <w:rPr>
          <w:position w:val="5"/>
          <w:sz w:val="14"/>
        </w:rPr>
        <w:tab/>
      </w:r>
      <w:r>
        <w:rPr>
          <w:sz w:val="20"/>
        </w:rPr>
        <w:t>See para.7-</w:t>
      </w:r>
      <w:r>
        <w:rPr>
          <w:spacing w:val="-4"/>
          <w:sz w:val="20"/>
        </w:rPr>
        <w:t>175.</w:t>
      </w:r>
    </w:p>
    <w:p>
      <w:pPr>
        <w:pStyle w:val="BodyText"/>
        <w:spacing w:before="5"/>
      </w:pPr>
    </w:p>
    <w:p>
      <w:pPr>
        <w:tabs>
          <w:tab w:pos="705" w:val="left" w:leader="none"/>
        </w:tabs>
        <w:spacing w:before="0"/>
        <w:ind w:left="165" w:right="0" w:firstLine="0"/>
        <w:jc w:val="left"/>
        <w:rPr>
          <w:sz w:val="20"/>
        </w:rPr>
      </w:pPr>
      <w:bookmarkStart w:name="_bookmark1563" w:id="1565"/>
      <w:bookmarkEnd w:id="1565"/>
      <w:r>
        <w:rPr/>
      </w:r>
      <w:hyperlink w:history="true" w:anchor="_bookmark1549">
        <w:r>
          <w:rPr>
            <w:color w:val="005DA1"/>
            <w:spacing w:val="-4"/>
            <w:position w:val="5"/>
            <w:sz w:val="14"/>
            <w:u w:val="single" w:color="005DA1"/>
          </w:rPr>
          <w:t>825</w:t>
        </w:r>
      </w:hyperlink>
      <w:r>
        <w:rPr>
          <w:spacing w:val="-4"/>
          <w:position w:val="5"/>
          <w:sz w:val="14"/>
        </w:rPr>
        <w:t>.</w:t>
      </w:r>
      <w:r>
        <w:rPr>
          <w:position w:val="5"/>
          <w:sz w:val="14"/>
        </w:rPr>
        <w:tab/>
      </w:r>
      <w:r>
        <w:rPr>
          <w:rFonts w:ascii="Arial" w:hAnsi="Arial"/>
          <w:i/>
          <w:sz w:val="20"/>
        </w:rPr>
        <w:t>Pryke v Gibbs Hartley Cooper Ltd [1991] 1 Lloyd’s Rep. 602, </w:t>
      </w:r>
      <w:r>
        <w:rPr>
          <w:rFonts w:ascii="Arial" w:hAnsi="Arial"/>
          <w:i/>
          <w:spacing w:val="-4"/>
          <w:sz w:val="20"/>
        </w:rPr>
        <w:t>616</w:t>
      </w:r>
      <w:r>
        <w:rPr>
          <w:spacing w:val="-4"/>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539" w:right="2543"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3933184">
                <wp:simplePos x="0" y="0"/>
                <wp:positionH relativeFrom="page">
                  <wp:posOffset>4851958</wp:posOffset>
                </wp:positionH>
                <wp:positionV relativeFrom="paragraph">
                  <wp:posOffset>377436</wp:posOffset>
                </wp:positionV>
                <wp:extent cx="42545" cy="127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383296" from="382.044006pt,29.719406pt" to="385.380006pt,29.719406pt" stroked="true" strokeweight=".428pt" strokecolor="#005da1">
                <v:stroke dashstyle="solid"/>
                <w10:wrap type="none"/>
              </v:line>
            </w:pict>
          </mc:Fallback>
        </mc:AlternateContent>
      </w:r>
      <w:r>
        <w:rPr>
          <w:rFonts w:ascii="Arial"/>
          <w:b/>
          <w:sz w:val="24"/>
        </w:rPr>
        <w:t>Part 2 - Formation of Contract Chapter 7 - Misrepresentation</w:t>
      </w:r>
      <w:r>
        <w:rPr>
          <w:rFonts w:ascii="Arial"/>
          <w:b/>
          <w:spacing w:val="-1"/>
          <w:sz w:val="24"/>
        </w:rPr>
        <w:t> </w:t>
      </w:r>
      <w:r>
        <w:rPr>
          <w:rFonts w:ascii="Arial"/>
          <w:b/>
          <w:color w:val="005DA1"/>
          <w:spacing w:val="-10"/>
          <w:position w:val="11"/>
          <w:sz w:val="12"/>
        </w:rPr>
        <w:t>1</w:t>
      </w:r>
    </w:p>
    <w:p>
      <w:pPr>
        <w:spacing w:before="2"/>
        <w:ind w:left="940" w:right="943" w:firstLine="0"/>
        <w:jc w:val="center"/>
        <w:rPr>
          <w:rFonts w:ascii="Arial"/>
          <w:b/>
          <w:sz w:val="24"/>
        </w:rPr>
      </w:pPr>
      <w:r>
        <w:rPr>
          <w:rFonts w:ascii="Arial"/>
          <w:b/>
          <w:sz w:val="24"/>
        </w:rPr>
        <w:t>Section 6. - Contracts where a duty of </w:t>
      </w:r>
      <w:r>
        <w:rPr>
          <w:rFonts w:ascii="Arial"/>
          <w:b/>
          <w:spacing w:val="-2"/>
          <w:sz w:val="24"/>
        </w:rPr>
        <w:t>disclosure</w:t>
      </w:r>
    </w:p>
    <w:p>
      <w:pPr>
        <w:pStyle w:val="ListParagraph"/>
        <w:numPr>
          <w:ilvl w:val="0"/>
          <w:numId w:val="2"/>
        </w:numPr>
        <w:tabs>
          <w:tab w:pos="3357" w:val="left" w:leader="none"/>
        </w:tabs>
        <w:spacing w:line="240" w:lineRule="auto" w:before="194" w:after="0"/>
        <w:ind w:left="3357" w:right="0" w:hanging="306"/>
        <w:jc w:val="left"/>
        <w:rPr>
          <w:b/>
          <w:sz w:val="24"/>
        </w:rPr>
      </w:pPr>
      <w:r>
        <w:rPr>
          <w:b/>
          <w:sz w:val="24"/>
        </w:rPr>
        <w:t>- Partnership </w:t>
      </w:r>
      <w:r>
        <w:rPr>
          <w:b/>
          <w:spacing w:val="-2"/>
          <w:sz w:val="24"/>
        </w:rPr>
        <w:t>Agreements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pacing w:val="-2"/>
          <w:sz w:val="18"/>
        </w:rPr>
        <w:t>Partnership</w:t>
      </w:r>
    </w:p>
    <w:p>
      <w:pPr>
        <w:pStyle w:val="BodyText"/>
        <w:spacing w:before="41"/>
        <w:rPr>
          <w:rFonts w:ascii="Arial"/>
          <w:b/>
          <w:sz w:val="18"/>
        </w:rPr>
      </w:pPr>
    </w:p>
    <w:p>
      <w:pPr>
        <w:pStyle w:val="Heading2"/>
        <w:ind w:left="164"/>
      </w:pPr>
      <w:r>
        <w:rPr/>
        <w:t>7-</w:t>
      </w:r>
      <w:r>
        <w:rPr>
          <w:spacing w:val="-5"/>
        </w:rPr>
        <w:t>178</w:t>
      </w:r>
    </w:p>
    <w:p>
      <w:pPr>
        <w:pStyle w:val="BodyText"/>
        <w:spacing w:line="235" w:lineRule="auto" w:before="203"/>
        <w:ind w:left="164" w:right="167"/>
        <w:jc w:val="both"/>
      </w:pPr>
      <w:r>
        <w:rPr/>
        <w:t>The fundamental duty of every partner is to show the utmost good faith in his dealings with the other partners. In </w:t>
      </w:r>
      <w:r>
        <w:rPr>
          <w:rFonts w:ascii="Arial"/>
          <w:i/>
        </w:rPr>
        <w:t>Conlon v Simms</w:t>
      </w:r>
      <w:r>
        <w:rPr/>
        <w:t>, the Court of Appeal held that in negotiating a partnership agreement:</w:t>
      </w:r>
    </w:p>
    <w:p>
      <w:pPr>
        <w:pStyle w:val="BodyText"/>
      </w:pPr>
    </w:p>
    <w:p>
      <w:pPr>
        <w:pStyle w:val="BodyText"/>
        <w:spacing w:before="126"/>
      </w:pPr>
    </w:p>
    <w:p>
      <w:pPr>
        <w:pStyle w:val="BodyText"/>
        <w:spacing w:line="235" w:lineRule="auto"/>
        <w:ind w:left="1245" w:right="167"/>
        <w:jc w:val="both"/>
      </w:pPr>
      <w:bookmarkStart w:name="_bookmark1564" w:id="1566"/>
      <w:bookmarkEnd w:id="1566"/>
      <w:r>
        <w:rPr/>
      </w:r>
      <w:r>
        <w:rPr/>
        <w:t>“… a party owes a duty to the other negotiating parties to disclose all material facts of which he has knowledge and of which the other negotiating parties may not be aware.”</w:t>
      </w:r>
      <w:r>
        <w:rPr>
          <w:spacing w:val="-2"/>
        </w:rPr>
        <w:t> </w:t>
      </w:r>
      <w:r>
        <w:rPr>
          <w:color w:val="005DA1"/>
          <w:spacing w:val="-5"/>
          <w:u w:val="single" w:color="005DA1"/>
          <w:vertAlign w:val="superscript"/>
        </w:rPr>
        <w:t>826</w:t>
      </w:r>
    </w:p>
    <w:p>
      <w:pPr>
        <w:pStyle w:val="BodyText"/>
        <w:spacing w:before="116"/>
      </w:pPr>
    </w:p>
    <w:p>
      <w:pPr>
        <w:pStyle w:val="BodyText"/>
        <w:spacing w:line="235" w:lineRule="auto"/>
        <w:ind w:left="165" w:right="167"/>
        <w:jc w:val="both"/>
      </w:pPr>
      <w:r>
        <w:rPr/>
        <w:t>The duty of good faith applies during the continuance of the partnership, and during the winding up after dissolution. The duties of partners are regulated for the most part, in the absence of </w:t>
      </w:r>
      <w:r>
        <w:rPr/>
        <w:t>agreement to the contrary, by the Partnership Act 1890; and although the principle requiring the utmost good</w:t>
      </w:r>
      <w:r>
        <w:rPr>
          <w:spacing w:val="80"/>
        </w:rPr>
        <w:t> </w:t>
      </w:r>
      <w:r>
        <w:rPr/>
        <w:t>faith is not expressly enunciated by the Act, it is embodied in ss.28, 29 and 30. Thus a partner must </w:t>
      </w:r>
      <w:bookmarkStart w:name="_bookmark1565" w:id="1567"/>
      <w:bookmarkEnd w:id="1567"/>
      <w:r>
        <w:rPr/>
        <w:t>account</w:t>
      </w:r>
      <w:r>
        <w:rPr/>
        <w:t> for any private profit made by him; so for instance, if a partner is buying from or selling to the firm, he cannot do either at a profit to himself. </w:t>
      </w:r>
      <w:r>
        <w:rPr>
          <w:color w:val="005DA1"/>
          <w:u w:val="single" w:color="005DA1"/>
          <w:vertAlign w:val="superscript"/>
        </w:rPr>
        <w:t>827</w:t>
      </w:r>
    </w:p>
    <w:p>
      <w:pPr>
        <w:pStyle w:val="BodyText"/>
      </w:pPr>
    </w:p>
    <w:p>
      <w:pPr>
        <w:pStyle w:val="BodyText"/>
        <w:spacing w:before="36"/>
      </w:pPr>
    </w:p>
    <w:p>
      <w:pPr>
        <w:spacing w:before="0"/>
        <w:ind w:left="165" w:right="0" w:firstLine="0"/>
        <w:jc w:val="left"/>
        <w:rPr>
          <w:rFonts w:ascii="Arial"/>
          <w:b/>
          <w:sz w:val="18"/>
        </w:rPr>
      </w:pPr>
      <w:r>
        <w:rPr>
          <w:rFonts w:ascii="Arial"/>
          <w:b/>
          <w:sz w:val="18"/>
        </w:rPr>
        <w:t>Analogous </w:t>
      </w:r>
      <w:r>
        <w:rPr>
          <w:rFonts w:ascii="Arial"/>
          <w:b/>
          <w:spacing w:val="-2"/>
          <w:sz w:val="18"/>
        </w:rPr>
        <w:t>agreements</w:t>
      </w:r>
    </w:p>
    <w:p>
      <w:pPr>
        <w:pStyle w:val="BodyText"/>
        <w:spacing w:before="41"/>
        <w:rPr>
          <w:rFonts w:ascii="Arial"/>
          <w:b/>
          <w:sz w:val="18"/>
        </w:rPr>
      </w:pPr>
    </w:p>
    <w:p>
      <w:pPr>
        <w:pStyle w:val="Heading2"/>
        <w:spacing w:before="1"/>
      </w:pPr>
      <w:r>
        <w:rPr/>
        <w:t>7-</w:t>
      </w:r>
      <w:r>
        <w:rPr>
          <w:spacing w:val="-5"/>
        </w:rPr>
        <w:t>179</w:t>
      </w:r>
    </w:p>
    <w:p>
      <w:pPr>
        <w:pStyle w:val="BodyText"/>
        <w:spacing w:line="235" w:lineRule="auto" w:before="202"/>
        <w:ind w:left="165" w:right="167"/>
        <w:jc w:val="both"/>
      </w:pPr>
      <w:r>
        <w:rPr/>
        <w:t>A duty of disclosure may arise as an implied term of an agreement which is not a partnership </w:t>
      </w:r>
      <w:r>
        <w:rPr/>
        <w:t>but which has “elements of joint enterprise or joint venture”, but:</w:t>
      </w:r>
    </w:p>
    <w:p>
      <w:pPr>
        <w:pStyle w:val="BodyText"/>
      </w:pPr>
    </w:p>
    <w:p>
      <w:pPr>
        <w:pStyle w:val="BodyText"/>
        <w:spacing w:before="126"/>
      </w:pPr>
    </w:p>
    <w:p>
      <w:pPr>
        <w:pStyle w:val="BodyText"/>
        <w:spacing w:line="235" w:lineRule="auto"/>
        <w:ind w:left="1245" w:right="167"/>
        <w:jc w:val="both"/>
      </w:pPr>
      <w:r>
        <w:rPr/>
        <w:t>“… wider duties will not lightly be implied, in particular in commercial contracts </w:t>
      </w:r>
      <w:r>
        <w:rPr/>
        <w:t>negotiated at arms’ length between parties with comparable bargaining power, and all the more so </w:t>
      </w:r>
      <w:bookmarkStart w:name="_bookmark1566" w:id="1568"/>
      <w:bookmarkEnd w:id="1568"/>
      <w:r>
        <w:rPr/>
        <w:t>where</w:t>
      </w:r>
      <w:r>
        <w:rPr/>
        <w:t> the contract in question sets out in detail the extent, for example, of a party’s disclosure obligations.” </w:t>
      </w:r>
      <w:r>
        <w:rPr>
          <w:color w:val="005DA1"/>
          <w:u w:val="single" w:color="005DA1"/>
          <w:vertAlign w:val="superscript"/>
        </w:rPr>
        <w:t>828</w:t>
      </w:r>
    </w:p>
    <w:p>
      <w:pPr>
        <w:pStyle w:val="BodyText"/>
      </w:pPr>
    </w:p>
    <w:p>
      <w:pPr>
        <w:pStyle w:val="BodyText"/>
      </w:pPr>
    </w:p>
    <w:p>
      <w:pPr>
        <w:pStyle w:val="BodyText"/>
        <w:spacing w:before="155"/>
      </w:pPr>
      <w:r>
        <w:rPr/>
        <mc:AlternateContent>
          <mc:Choice Requires="wps">
            <w:drawing>
              <wp:anchor distT="0" distB="0" distL="0" distR="0" allowOverlap="1" layoutInCell="1" locked="0" behindDoc="1" simplePos="0" relativeHeight="487657984">
                <wp:simplePos x="0" y="0"/>
                <wp:positionH relativeFrom="page">
                  <wp:posOffset>914400</wp:posOffset>
                </wp:positionH>
                <wp:positionV relativeFrom="paragraph">
                  <wp:posOffset>260071</wp:posOffset>
                </wp:positionV>
                <wp:extent cx="5724525" cy="1270"/>
                <wp:effectExtent l="0" t="0" r="0" b="0"/>
                <wp:wrapTopAndBottom/>
                <wp:docPr id="286" name="Graphic 286"/>
                <wp:cNvGraphicFramePr>
                  <a:graphicFrameLocks/>
                </wp:cNvGraphicFramePr>
                <a:graphic>
                  <a:graphicData uri="http://schemas.microsoft.com/office/word/2010/wordprocessingShape">
                    <wps:wsp>
                      <wps:cNvPr id="286" name="Graphic 28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0.478039pt;width:450.75pt;height:.1pt;mso-position-horizontal-relative:page;mso-position-vertical-relative:paragraph;z-index:-15658496;mso-wrap-distance-left:0;mso-wrap-distance-right:0" id="docshape40" coordorigin="1440,410" coordsize="9015,0" path="m1440,410l10454,410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3933696">
                <wp:simplePos x="0" y="0"/>
                <wp:positionH relativeFrom="page">
                  <wp:posOffset>914400</wp:posOffset>
                </wp:positionH>
                <wp:positionV relativeFrom="paragraph">
                  <wp:posOffset>94576</wp:posOffset>
                </wp:positionV>
                <wp:extent cx="49530" cy="127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382784" from="72pt,7.446977pt" to="75.892pt,7.446977pt" stroked="true" strokeweight=".5pt" strokecolor="#005da1">
                <v:stroke dashstyle="solid"/>
                <w10:wrap type="none"/>
              </v:line>
            </w:pict>
          </mc:Fallback>
        </mc:AlternateContent>
      </w:r>
      <w:hyperlink w:history="true" w:anchor="_bookmark1576">
        <w:r>
          <w:rPr>
            <w:color w:val="005DA1"/>
            <w:spacing w:val="-6"/>
            <w:position w:val="5"/>
            <w:sz w:val="14"/>
          </w:rPr>
          <w:t>1</w:t>
        </w:r>
      </w:hyperlink>
      <w:r>
        <w:rPr>
          <w:spacing w:val="-6"/>
          <w:position w:val="5"/>
          <w:sz w:val="14"/>
        </w:rPr>
        <w:t>.</w:t>
      </w:r>
      <w:r>
        <w:rPr>
          <w:position w:val="5"/>
          <w:sz w:val="14"/>
        </w:rPr>
        <w:tab/>
      </w:r>
      <w:r>
        <w:rPr>
          <w:sz w:val="20"/>
        </w:rPr>
        <w:t>See Allen, </w:t>
      </w:r>
      <w:r>
        <w:rPr>
          <w:rFonts w:ascii="Arial"/>
          <w:i/>
          <w:sz w:val="20"/>
        </w:rPr>
        <w:t>Misrepresentation </w:t>
      </w:r>
      <w:r>
        <w:rPr>
          <w:sz w:val="20"/>
        </w:rPr>
        <w:t>(1988); Cartwright, </w:t>
      </w:r>
      <w:r>
        <w:rPr>
          <w:rFonts w:ascii="Arial"/>
          <w:i/>
          <w:sz w:val="20"/>
        </w:rPr>
        <w:t>Unequal Bargaining </w:t>
      </w:r>
      <w:r>
        <w:rPr>
          <w:sz w:val="20"/>
        </w:rPr>
        <w:t>(1991), Ch.3; </w:t>
      </w:r>
      <w:r>
        <w:rPr>
          <w:sz w:val="20"/>
        </w:rPr>
        <w:t>Cartwright, Misrepresentation, Mistake and Non-disclosure, 4th edn (2016); Spencer Bower and Handley, </w:t>
      </w:r>
      <w:r>
        <w:rPr>
          <w:rFonts w:ascii="Arial"/>
          <w:i/>
          <w:sz w:val="20"/>
        </w:rPr>
        <w:t>Actionable Misrepresentation</w:t>
      </w:r>
      <w:r>
        <w:rPr>
          <w:sz w:val="20"/>
        </w:rPr>
        <w:t>, 5th edn (2014).</w:t>
      </w:r>
    </w:p>
    <w:p>
      <w:pPr>
        <w:pStyle w:val="BodyText"/>
        <w:spacing w:before="5"/>
      </w:pPr>
    </w:p>
    <w:p>
      <w:pPr>
        <w:tabs>
          <w:tab w:pos="705" w:val="left" w:leader="none"/>
        </w:tabs>
        <w:spacing w:before="0"/>
        <w:ind w:left="165" w:right="0" w:firstLine="0"/>
        <w:jc w:val="left"/>
        <w:rPr>
          <w:rFonts w:ascii="Arial"/>
          <w:i/>
          <w:sz w:val="20"/>
        </w:rPr>
      </w:pPr>
      <w:bookmarkStart w:name="_bookmark1567" w:id="1569"/>
      <w:bookmarkEnd w:id="1569"/>
      <w:r>
        <w:rPr/>
      </w:r>
      <w:hyperlink w:history="true" w:anchor="_bookmark1564">
        <w:r>
          <w:rPr>
            <w:color w:val="005DA1"/>
            <w:spacing w:val="-4"/>
            <w:position w:val="5"/>
            <w:sz w:val="14"/>
            <w:u w:val="single" w:color="005DA1"/>
          </w:rPr>
          <w:t>826</w:t>
        </w:r>
      </w:hyperlink>
      <w:r>
        <w:rPr>
          <w:spacing w:val="-4"/>
          <w:position w:val="5"/>
          <w:sz w:val="14"/>
        </w:rPr>
        <w:t>.</w:t>
      </w:r>
      <w:r>
        <w:rPr>
          <w:position w:val="5"/>
          <w:sz w:val="14"/>
        </w:rPr>
        <w:tab/>
      </w:r>
      <w:r>
        <w:rPr>
          <w:rFonts w:ascii="Arial"/>
          <w:i/>
          <w:sz w:val="20"/>
        </w:rPr>
        <w:t>[2006]</w:t>
      </w:r>
      <w:r>
        <w:rPr>
          <w:rFonts w:ascii="Arial"/>
          <w:i/>
          <w:spacing w:val="4"/>
          <w:sz w:val="20"/>
        </w:rPr>
        <w:t> </w:t>
      </w:r>
      <w:r>
        <w:rPr>
          <w:rFonts w:ascii="Arial"/>
          <w:i/>
          <w:sz w:val="20"/>
        </w:rPr>
        <w:t>EWCA</w:t>
      </w:r>
      <w:r>
        <w:rPr>
          <w:rFonts w:ascii="Arial"/>
          <w:i/>
          <w:spacing w:val="4"/>
          <w:sz w:val="20"/>
        </w:rPr>
        <w:t> </w:t>
      </w:r>
      <w:r>
        <w:rPr>
          <w:rFonts w:ascii="Arial"/>
          <w:i/>
          <w:sz w:val="20"/>
        </w:rPr>
        <w:t>Civ</w:t>
      </w:r>
      <w:r>
        <w:rPr>
          <w:rFonts w:ascii="Arial"/>
          <w:i/>
          <w:spacing w:val="4"/>
          <w:sz w:val="20"/>
        </w:rPr>
        <w:t> </w:t>
      </w:r>
      <w:r>
        <w:rPr>
          <w:rFonts w:ascii="Arial"/>
          <w:i/>
          <w:sz w:val="20"/>
        </w:rPr>
        <w:t>1749,</w:t>
      </w:r>
      <w:r>
        <w:rPr>
          <w:rFonts w:ascii="Arial"/>
          <w:i/>
          <w:spacing w:val="4"/>
          <w:sz w:val="20"/>
        </w:rPr>
        <w:t> </w:t>
      </w:r>
      <w:r>
        <w:rPr>
          <w:rFonts w:ascii="Arial"/>
          <w:i/>
          <w:sz w:val="20"/>
        </w:rPr>
        <w:t>[2008]</w:t>
      </w:r>
      <w:r>
        <w:rPr>
          <w:rFonts w:ascii="Arial"/>
          <w:i/>
          <w:spacing w:val="4"/>
          <w:sz w:val="20"/>
        </w:rPr>
        <w:t> </w:t>
      </w:r>
      <w:r>
        <w:rPr>
          <w:rFonts w:ascii="Arial"/>
          <w:i/>
          <w:sz w:val="20"/>
        </w:rPr>
        <w:t>1</w:t>
      </w:r>
      <w:r>
        <w:rPr>
          <w:rFonts w:ascii="Arial"/>
          <w:i/>
          <w:spacing w:val="4"/>
          <w:sz w:val="20"/>
        </w:rPr>
        <w:t> </w:t>
      </w:r>
      <w:r>
        <w:rPr>
          <w:rFonts w:ascii="Arial"/>
          <w:i/>
          <w:sz w:val="20"/>
        </w:rPr>
        <w:t>W.L.R.</w:t>
      </w:r>
      <w:r>
        <w:rPr>
          <w:rFonts w:ascii="Arial"/>
          <w:i/>
          <w:spacing w:val="4"/>
          <w:sz w:val="20"/>
        </w:rPr>
        <w:t> </w:t>
      </w:r>
      <w:r>
        <w:rPr>
          <w:rFonts w:ascii="Arial"/>
          <w:i/>
          <w:sz w:val="20"/>
        </w:rPr>
        <w:t>484</w:t>
      </w:r>
      <w:r>
        <w:rPr>
          <w:rFonts w:ascii="Arial"/>
          <w:i/>
          <w:spacing w:val="3"/>
          <w:sz w:val="20"/>
        </w:rPr>
        <w:t> </w:t>
      </w:r>
      <w:r>
        <w:rPr>
          <w:sz w:val="20"/>
        </w:rPr>
        <w:t>at</w:t>
      </w:r>
      <w:r>
        <w:rPr>
          <w:spacing w:val="4"/>
          <w:sz w:val="20"/>
        </w:rPr>
        <w:t> </w:t>
      </w:r>
      <w:r>
        <w:rPr>
          <w:sz w:val="20"/>
        </w:rPr>
        <w:t>[127],</w:t>
      </w:r>
      <w:r>
        <w:rPr>
          <w:spacing w:val="4"/>
          <w:sz w:val="20"/>
        </w:rPr>
        <w:t> </w:t>
      </w:r>
      <w:r>
        <w:rPr>
          <w:sz w:val="20"/>
        </w:rPr>
        <w:t>relying</w:t>
      </w:r>
      <w:r>
        <w:rPr>
          <w:spacing w:val="4"/>
          <w:sz w:val="20"/>
        </w:rPr>
        <w:t> </w:t>
      </w:r>
      <w:r>
        <w:rPr>
          <w:sz w:val="20"/>
        </w:rPr>
        <w:t>on</w:t>
      </w:r>
      <w:r>
        <w:rPr>
          <w:spacing w:val="4"/>
          <w:sz w:val="20"/>
        </w:rPr>
        <w:t> </w:t>
      </w:r>
      <w:r>
        <w:rPr>
          <w:sz w:val="20"/>
        </w:rPr>
        <w:t>a</w:t>
      </w:r>
      <w:r>
        <w:rPr>
          <w:spacing w:val="4"/>
          <w:sz w:val="20"/>
        </w:rPr>
        <w:t> </w:t>
      </w:r>
      <w:r>
        <w:rPr>
          <w:sz w:val="20"/>
        </w:rPr>
        <w:t>dictum</w:t>
      </w:r>
      <w:r>
        <w:rPr>
          <w:spacing w:val="4"/>
          <w:sz w:val="20"/>
        </w:rPr>
        <w:t> </w:t>
      </w:r>
      <w:r>
        <w:rPr>
          <w:sz w:val="20"/>
        </w:rPr>
        <w:t>of</w:t>
      </w:r>
      <w:r>
        <w:rPr>
          <w:spacing w:val="4"/>
          <w:sz w:val="20"/>
        </w:rPr>
        <w:t> </w:t>
      </w:r>
      <w:r>
        <w:rPr>
          <w:sz w:val="20"/>
        </w:rPr>
        <w:t>Lord</w:t>
      </w:r>
      <w:r>
        <w:rPr>
          <w:spacing w:val="4"/>
          <w:sz w:val="20"/>
        </w:rPr>
        <w:t> </w:t>
      </w:r>
      <w:r>
        <w:rPr>
          <w:sz w:val="20"/>
        </w:rPr>
        <w:t>Atkin</w:t>
      </w:r>
      <w:r>
        <w:rPr>
          <w:spacing w:val="4"/>
          <w:sz w:val="20"/>
        </w:rPr>
        <w:t> </w:t>
      </w:r>
      <w:r>
        <w:rPr>
          <w:sz w:val="20"/>
        </w:rPr>
        <w:t>in</w:t>
      </w:r>
      <w:r>
        <w:rPr>
          <w:spacing w:val="3"/>
          <w:sz w:val="20"/>
        </w:rPr>
        <w:t> </w:t>
      </w:r>
      <w:r>
        <w:rPr>
          <w:rFonts w:ascii="Arial"/>
          <w:i/>
          <w:sz w:val="20"/>
        </w:rPr>
        <w:t>Bell</w:t>
      </w:r>
      <w:r>
        <w:rPr>
          <w:rFonts w:ascii="Arial"/>
          <w:i/>
          <w:spacing w:val="4"/>
          <w:sz w:val="20"/>
        </w:rPr>
        <w:t> </w:t>
      </w:r>
      <w:r>
        <w:rPr>
          <w:rFonts w:ascii="Arial"/>
          <w:i/>
          <w:spacing w:val="-10"/>
          <w:sz w:val="20"/>
        </w:rPr>
        <w:t>v</w:t>
      </w:r>
    </w:p>
    <w:p>
      <w:pPr>
        <w:spacing w:after="0"/>
        <w:jc w:val="left"/>
        <w:rPr>
          <w:rFonts w:ascii="Arial"/>
          <w:i/>
          <w:sz w:val="20"/>
        </w:rPr>
        <w:sectPr>
          <w:headerReference w:type="default" r:id="rId25"/>
          <w:pgSz w:w="11900" w:h="16840"/>
          <w:pgMar w:header="971" w:footer="0" w:top="1160" w:bottom="280" w:left="1275" w:right="1275"/>
          <w:pgNumType w:start="1"/>
        </w:sectPr>
      </w:pPr>
    </w:p>
    <w:p>
      <w:pPr>
        <w:pStyle w:val="BodyText"/>
        <w:spacing w:before="21"/>
        <w:rPr>
          <w:rFonts w:ascii="Arial"/>
          <w:i/>
        </w:rPr>
      </w:pPr>
    </w:p>
    <w:p>
      <w:pPr>
        <w:spacing w:before="0"/>
        <w:ind w:left="705" w:right="0" w:firstLine="0"/>
        <w:jc w:val="left"/>
        <w:rPr>
          <w:sz w:val="20"/>
        </w:rPr>
      </w:pPr>
      <w:r>
        <w:rPr>
          <w:rFonts w:ascii="Arial"/>
          <w:i/>
          <w:sz w:val="20"/>
        </w:rPr>
        <w:t>Lever Bros [1932] A.C. 161</w:t>
      </w:r>
      <w:r>
        <w:rPr>
          <w:rFonts w:ascii="Arial"/>
          <w:i/>
          <w:spacing w:val="-1"/>
          <w:sz w:val="20"/>
        </w:rPr>
        <w:t> </w:t>
      </w:r>
      <w:r>
        <w:rPr>
          <w:sz w:val="20"/>
        </w:rPr>
        <w:t>at 227 </w:t>
      </w:r>
      <w:r>
        <w:rPr>
          <w:spacing w:val="-5"/>
          <w:sz w:val="20"/>
        </w:rPr>
        <w:t>HL.</w:t>
      </w:r>
    </w:p>
    <w:p>
      <w:pPr>
        <w:pStyle w:val="BodyText"/>
        <w:spacing w:before="5"/>
      </w:pPr>
    </w:p>
    <w:p>
      <w:pPr>
        <w:tabs>
          <w:tab w:pos="705" w:val="left" w:leader="none"/>
        </w:tabs>
        <w:spacing w:before="0"/>
        <w:ind w:left="165" w:right="0" w:firstLine="0"/>
        <w:jc w:val="left"/>
        <w:rPr>
          <w:sz w:val="20"/>
        </w:rPr>
      </w:pPr>
      <w:bookmarkStart w:name="_bookmark1568" w:id="1570"/>
      <w:bookmarkEnd w:id="1570"/>
      <w:r>
        <w:rPr/>
      </w:r>
      <w:hyperlink w:history="true" w:anchor="_bookmark1565">
        <w:r>
          <w:rPr>
            <w:color w:val="005DA1"/>
            <w:spacing w:val="-4"/>
            <w:position w:val="5"/>
            <w:sz w:val="14"/>
            <w:u w:val="single" w:color="005DA1"/>
          </w:rPr>
          <w:t>827</w:t>
        </w:r>
      </w:hyperlink>
      <w:r>
        <w:rPr>
          <w:spacing w:val="-4"/>
          <w:position w:val="5"/>
          <w:sz w:val="14"/>
        </w:rPr>
        <w:t>.</w:t>
      </w:r>
      <w:r>
        <w:rPr>
          <w:position w:val="5"/>
          <w:sz w:val="14"/>
        </w:rPr>
        <w:tab/>
      </w:r>
      <w:r>
        <w:rPr>
          <w:rFonts w:ascii="Arial"/>
          <w:i/>
          <w:sz w:val="20"/>
        </w:rPr>
        <w:t>Bentley</w:t>
      </w:r>
      <w:r>
        <w:rPr>
          <w:rFonts w:ascii="Arial"/>
          <w:i/>
          <w:spacing w:val="-1"/>
          <w:sz w:val="20"/>
        </w:rPr>
        <w:t> </w:t>
      </w:r>
      <w:r>
        <w:rPr>
          <w:rFonts w:ascii="Arial"/>
          <w:i/>
          <w:sz w:val="20"/>
        </w:rPr>
        <w:t>v Craven (1853) 18 Beav. 75</w:t>
      </w:r>
      <w:r>
        <w:rPr>
          <w:sz w:val="20"/>
        </w:rPr>
        <w:t>; </w:t>
      </w:r>
      <w:r>
        <w:rPr>
          <w:rFonts w:ascii="Arial"/>
          <w:i/>
          <w:sz w:val="20"/>
        </w:rPr>
        <w:t>Dunne v English (1874) L.R. 18 Eq. </w:t>
      </w:r>
      <w:r>
        <w:rPr>
          <w:rFonts w:ascii="Arial"/>
          <w:i/>
          <w:spacing w:val="-4"/>
          <w:sz w:val="20"/>
        </w:rPr>
        <w:t>524</w:t>
      </w:r>
      <w:r>
        <w:rPr>
          <w:spacing w:val="-4"/>
          <w:sz w:val="20"/>
        </w:rPr>
        <w:t>.</w:t>
      </w:r>
    </w:p>
    <w:p>
      <w:pPr>
        <w:pStyle w:val="BodyText"/>
        <w:spacing w:before="9"/>
      </w:pPr>
    </w:p>
    <w:p>
      <w:pPr>
        <w:spacing w:line="235" w:lineRule="auto" w:before="0"/>
        <w:ind w:left="705" w:right="167" w:hanging="541"/>
        <w:jc w:val="both"/>
        <w:rPr>
          <w:sz w:val="20"/>
        </w:rPr>
      </w:pPr>
      <w:bookmarkStart w:name="_bookmark1569" w:id="1571"/>
      <w:bookmarkEnd w:id="1571"/>
      <w:r>
        <w:rPr/>
      </w:r>
      <w:hyperlink w:history="true" w:anchor="_bookmark1566">
        <w:r>
          <w:rPr>
            <w:color w:val="005DA1"/>
            <w:position w:val="5"/>
            <w:sz w:val="14"/>
            <w:u w:val="single" w:color="005DA1"/>
          </w:rPr>
          <w:t>828</w:t>
        </w:r>
      </w:hyperlink>
      <w:r>
        <w:rPr>
          <w:position w:val="5"/>
          <w:sz w:val="14"/>
        </w:rPr>
        <w:t>.</w:t>
      </w:r>
      <w:r>
        <w:rPr>
          <w:spacing w:val="80"/>
          <w:position w:val="5"/>
          <w:sz w:val="14"/>
        </w:rPr>
        <w:t>  </w:t>
      </w:r>
      <w:r>
        <w:rPr>
          <w:rFonts w:ascii="Arial"/>
          <w:i/>
          <w:sz w:val="20"/>
        </w:rPr>
        <w:t>Ross River Ltd v Cambridge City Football Club Ltd [2007] EWHC 2115 (Ch), [2008] 1 All </w:t>
      </w:r>
      <w:r>
        <w:rPr>
          <w:rFonts w:ascii="Arial"/>
          <w:i/>
          <w:sz w:val="20"/>
        </w:rPr>
        <w:t>E.R. 1004 </w:t>
      </w:r>
      <w:r>
        <w:rPr>
          <w:sz w:val="20"/>
        </w:rPr>
        <w:t>at [197] (Briggs J.). A duty of disclosure was found to exist in </w:t>
      </w:r>
      <w:r>
        <w:rPr>
          <w:rFonts w:ascii="Arial"/>
          <w:i/>
          <w:sz w:val="20"/>
        </w:rPr>
        <w:t>Banwaitt v Dewji [2013] EWHC 879 (QB)</w:t>
      </w:r>
      <w:r>
        <w:rPr>
          <w:sz w:val="20"/>
        </w:rPr>
        <w:t>, see at [72].</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539" w:right="2543"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3934720">
                <wp:simplePos x="0" y="0"/>
                <wp:positionH relativeFrom="page">
                  <wp:posOffset>4851958</wp:posOffset>
                </wp:positionH>
                <wp:positionV relativeFrom="paragraph">
                  <wp:posOffset>377436</wp:posOffset>
                </wp:positionV>
                <wp:extent cx="42545" cy="1270"/>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381760" from="382.044006pt,29.719406pt" to="385.380006pt,29.719406pt" stroked="true" strokeweight=".428pt" strokecolor="#005da1">
                <v:stroke dashstyle="solid"/>
                <w10:wrap type="none"/>
              </v:line>
            </w:pict>
          </mc:Fallback>
        </mc:AlternateContent>
      </w:r>
      <w:r>
        <w:rPr>
          <w:rFonts w:ascii="Arial"/>
          <w:b/>
          <w:sz w:val="24"/>
        </w:rPr>
        <w:t>Part 2 - Formation of Contract Chapter 7 - Misrepresentation</w:t>
      </w:r>
      <w:r>
        <w:rPr>
          <w:rFonts w:ascii="Arial"/>
          <w:b/>
          <w:spacing w:val="-1"/>
          <w:sz w:val="24"/>
        </w:rPr>
        <w:t> </w:t>
      </w:r>
      <w:r>
        <w:rPr>
          <w:rFonts w:ascii="Arial"/>
          <w:b/>
          <w:color w:val="005DA1"/>
          <w:spacing w:val="-10"/>
          <w:position w:val="11"/>
          <w:sz w:val="12"/>
        </w:rPr>
        <w:t>1</w:t>
      </w:r>
    </w:p>
    <w:p>
      <w:pPr>
        <w:spacing w:before="2"/>
        <w:ind w:left="940" w:right="943" w:firstLine="0"/>
        <w:jc w:val="center"/>
        <w:rPr>
          <w:rFonts w:ascii="Arial"/>
          <w:b/>
          <w:sz w:val="24"/>
        </w:rPr>
      </w:pPr>
      <w:r>
        <w:rPr>
          <w:rFonts w:ascii="Arial"/>
          <w:b/>
          <w:sz w:val="24"/>
        </w:rPr>
        <w:t>Section 6. - Contracts where a duty of </w:t>
      </w:r>
      <w:r>
        <w:rPr>
          <w:rFonts w:ascii="Arial"/>
          <w:b/>
          <w:spacing w:val="-2"/>
          <w:sz w:val="24"/>
        </w:rPr>
        <w:t>disclosure</w:t>
      </w:r>
    </w:p>
    <w:p>
      <w:pPr>
        <w:pStyle w:val="ListParagraph"/>
        <w:numPr>
          <w:ilvl w:val="0"/>
          <w:numId w:val="2"/>
        </w:numPr>
        <w:tabs>
          <w:tab w:pos="3784" w:val="left" w:leader="none"/>
        </w:tabs>
        <w:spacing w:line="240" w:lineRule="auto" w:before="194" w:after="0"/>
        <w:ind w:left="3784" w:right="0" w:hanging="373"/>
        <w:jc w:val="left"/>
        <w:rPr>
          <w:b/>
          <w:sz w:val="24"/>
        </w:rPr>
      </w:pPr>
      <w:r>
        <w:rPr>
          <w:b/>
          <w:sz w:val="24"/>
        </w:rPr>
        <w:t>- General </w:t>
      </w:r>
      <w:r>
        <w:rPr>
          <w:b/>
          <w:spacing w:val="-2"/>
          <w:sz w:val="24"/>
        </w:rPr>
        <w:t>Releases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General </w:t>
      </w:r>
      <w:r>
        <w:rPr>
          <w:rFonts w:ascii="Arial"/>
          <w:b/>
          <w:spacing w:val="-2"/>
          <w:sz w:val="18"/>
        </w:rPr>
        <w:t>releases</w:t>
      </w:r>
    </w:p>
    <w:p>
      <w:pPr>
        <w:pStyle w:val="BodyText"/>
        <w:spacing w:before="41"/>
        <w:rPr>
          <w:rFonts w:ascii="Arial"/>
          <w:b/>
          <w:sz w:val="18"/>
        </w:rPr>
      </w:pPr>
    </w:p>
    <w:p>
      <w:pPr>
        <w:pStyle w:val="Heading2"/>
        <w:ind w:left="164"/>
      </w:pPr>
      <w:r>
        <w:rPr/>
        <w:t>7-</w:t>
      </w:r>
      <w:r>
        <w:rPr>
          <w:spacing w:val="-5"/>
        </w:rPr>
        <w:t>180</w:t>
      </w:r>
    </w:p>
    <w:p>
      <w:pPr>
        <w:pStyle w:val="BodyText"/>
        <w:spacing w:line="235" w:lineRule="auto" w:before="203"/>
        <w:ind w:left="165" w:right="167"/>
        <w:jc w:val="both"/>
      </w:pPr>
      <w:bookmarkStart w:name="_bookmark1570" w:id="1572"/>
      <w:bookmarkEnd w:id="1572"/>
      <w:r>
        <w:rPr/>
      </w:r>
      <w:r>
        <w:rPr/>
        <w:t>In </w:t>
      </w:r>
      <w:r>
        <w:rPr>
          <w:rFonts w:ascii="Arial"/>
          <w:i/>
        </w:rPr>
        <w:t>Bank of Credit and Commerce International SA (In Liquidation) v Ali (No.1) </w:t>
      </w:r>
      <w:r>
        <w:rPr>
          <w:color w:val="005DA1"/>
          <w:u w:val="single" w:color="005DA1"/>
          <w:vertAlign w:val="superscript"/>
        </w:rPr>
        <w:t>829</w:t>
      </w:r>
      <w:r>
        <w:rPr>
          <w:color w:val="005DA1"/>
          <w:vertAlign w:val="baseline"/>
        </w:rPr>
        <w:t> </w:t>
      </w:r>
      <w:r>
        <w:rPr>
          <w:vertAlign w:val="baseline"/>
        </w:rPr>
        <w:t>Lord Nicholls said that where the party to whom a general release was given knew that the other party has or might</w:t>
      </w:r>
      <w:r>
        <w:rPr>
          <w:spacing w:val="40"/>
          <w:vertAlign w:val="baseline"/>
        </w:rPr>
        <w:t> </w:t>
      </w:r>
      <w:r>
        <w:rPr>
          <w:vertAlign w:val="baseline"/>
        </w:rPr>
        <w:t>have a claim and knew that the other party was ignorant of this, to take the release without disclosing the existence of the claim or possible claim could be unacceptable sharp practice. The law would </w:t>
      </w:r>
      <w:r>
        <w:rPr>
          <w:vertAlign w:val="baseline"/>
        </w:rPr>
        <w:t>be </w:t>
      </w:r>
      <w:bookmarkStart w:name="_bookmark1571" w:id="1573"/>
      <w:bookmarkEnd w:id="1573"/>
      <w:r>
        <w:rPr>
          <w:vertAlign w:val="baseline"/>
        </w:rPr>
        <w:t>defective</w:t>
      </w:r>
      <w:r>
        <w:rPr>
          <w:vertAlign w:val="baseline"/>
        </w:rPr>
        <w:t> if it did not provide a remedy, and while the case did not raise the issue, he had no doubt that the law would provide a remedy. </w:t>
      </w:r>
      <w:r>
        <w:rPr>
          <w:color w:val="005DA1"/>
          <w:u w:val="single" w:color="005DA1"/>
          <w:vertAlign w:val="superscript"/>
        </w:rPr>
        <w:t>830</w:t>
      </w:r>
      <w:r>
        <w:rPr>
          <w:color w:val="005DA1"/>
          <w:vertAlign w:val="baseline"/>
        </w:rPr>
        <w:t> </w:t>
      </w:r>
      <w:r>
        <w:rPr>
          <w:vertAlign w:val="baseline"/>
        </w:rPr>
        <w:t>Lord Hoffmann agreed:</w:t>
      </w:r>
    </w:p>
    <w:p>
      <w:pPr>
        <w:pStyle w:val="BodyText"/>
      </w:pPr>
    </w:p>
    <w:p>
      <w:pPr>
        <w:pStyle w:val="BodyText"/>
        <w:spacing w:before="124"/>
      </w:pPr>
    </w:p>
    <w:p>
      <w:pPr>
        <w:pStyle w:val="BodyText"/>
        <w:spacing w:line="235" w:lineRule="auto"/>
        <w:ind w:left="1245" w:right="167"/>
        <w:jc w:val="both"/>
      </w:pPr>
      <w:r>
        <w:rPr/>
        <w:t>“There are different ways in which it can be put. One may say, for example, that inviting </w:t>
      </w:r>
      <w:r>
        <w:rPr/>
        <w:t>a person to enter into a release in general terms implies a representation that one is not aware of any specific claims which the other party may not know about. That would preserve the purity of the principle that there is no positive duty of disclosure. Or one could say, as the old Chancery judges did, that reliance upon such a release is against conscience when the beneficiary has been guilty of a suppressio veri or suggestio falsi.</w:t>
      </w:r>
    </w:p>
    <w:p>
      <w:pPr>
        <w:pStyle w:val="BodyText"/>
        <w:spacing w:before="221"/>
      </w:pPr>
    </w:p>
    <w:p>
      <w:pPr>
        <w:pStyle w:val="BodyText"/>
        <w:spacing w:line="235" w:lineRule="auto" w:before="1"/>
        <w:ind w:left="1245" w:right="167"/>
        <w:jc w:val="both"/>
      </w:pPr>
      <w:r>
        <w:rPr/>
        <w:t>… a person cannot be allowed to rely upon a release in general terms if he knew that the other party had a claim and knew that the other party was not aware that he had a </w:t>
      </w:r>
      <w:r>
        <w:rPr/>
        <w:t>claim.</w:t>
      </w:r>
      <w:r>
        <w:rPr>
          <w:spacing w:val="80"/>
        </w:rPr>
        <w:t> </w:t>
      </w:r>
      <w:r>
        <w:rPr/>
        <w:t>I do not propose any wider principle: there is obviously room in the dealings of the market for legitimately taking advantage of the known ignorance of the other party. But, both on principle and authority, I think that a release of rights is a situation in which the court should not allow a party to do so. On the other hand, if the context shows that the parties </w:t>
      </w:r>
      <w:bookmarkStart w:name="_bookmark1572" w:id="1574"/>
      <w:bookmarkEnd w:id="1574"/>
      <w:r>
        <w:rPr/>
        <w:t>intended</w:t>
      </w:r>
      <w:r>
        <w:rPr/>
        <w:t> a general release for good consideration of rights unknown to both of them, I</w:t>
      </w:r>
      <w:r>
        <w:rPr>
          <w:spacing w:val="40"/>
        </w:rPr>
        <w:t> </w:t>
      </w:r>
      <w:r>
        <w:rPr/>
        <w:t>can see nothing unfair in such a transaction.” </w:t>
      </w:r>
      <w:r>
        <w:rPr>
          <w:color w:val="005DA1"/>
          <w:u w:val="single" w:color="005DA1"/>
          <w:vertAlign w:val="superscript"/>
        </w:rPr>
        <w:t>831</w:t>
      </w:r>
    </w:p>
    <w:p>
      <w:pPr>
        <w:pStyle w:val="BodyText"/>
        <w:spacing w:before="113"/>
      </w:pPr>
    </w:p>
    <w:p>
      <w:pPr>
        <w:pStyle w:val="BodyText"/>
        <w:spacing w:line="235" w:lineRule="auto"/>
        <w:ind w:left="164" w:right="167"/>
        <w:jc w:val="both"/>
      </w:pPr>
      <w:r>
        <w:rPr/>
        <w:t>Whatever the basis on which this is to be explained, it would amount to creating a duty on a party negotiating for a general release to disclose a claim that he knows the other has or may have </w:t>
      </w:r>
      <w:r>
        <w:rPr/>
        <w:t>and which he knows the other is not aware of.</w:t>
      </w:r>
    </w:p>
    <w:p>
      <w:pPr>
        <w:pStyle w:val="BodyText"/>
      </w:pPr>
    </w:p>
    <w:p>
      <w:pPr>
        <w:pStyle w:val="BodyText"/>
        <w:spacing w:before="39"/>
      </w:pPr>
      <w:r>
        <w:rPr/>
        <mc:AlternateContent>
          <mc:Choice Requires="wps">
            <w:drawing>
              <wp:anchor distT="0" distB="0" distL="0" distR="0" allowOverlap="1" layoutInCell="1" locked="0" behindDoc="1" simplePos="0" relativeHeight="487659520">
                <wp:simplePos x="0" y="0"/>
                <wp:positionH relativeFrom="page">
                  <wp:posOffset>914400</wp:posOffset>
                </wp:positionH>
                <wp:positionV relativeFrom="paragraph">
                  <wp:posOffset>186218</wp:posOffset>
                </wp:positionV>
                <wp:extent cx="5724525" cy="1270"/>
                <wp:effectExtent l="0" t="0" r="0" b="0"/>
                <wp:wrapTopAndBottom/>
                <wp:docPr id="290" name="Graphic 290"/>
                <wp:cNvGraphicFramePr>
                  <a:graphicFrameLocks/>
                </wp:cNvGraphicFramePr>
                <a:graphic>
                  <a:graphicData uri="http://schemas.microsoft.com/office/word/2010/wordprocessingShape">
                    <wps:wsp>
                      <wps:cNvPr id="290" name="Graphic 29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62902pt;width:450.75pt;height:.1pt;mso-position-horizontal-relative:page;mso-position-vertical-relative:paragraph;z-index:-15656960;mso-wrap-distance-left:0;mso-wrap-distance-right:0" id="docshape42"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3935232">
                <wp:simplePos x="0" y="0"/>
                <wp:positionH relativeFrom="page">
                  <wp:posOffset>914400</wp:posOffset>
                </wp:positionH>
                <wp:positionV relativeFrom="paragraph">
                  <wp:posOffset>94576</wp:posOffset>
                </wp:positionV>
                <wp:extent cx="49530" cy="1270"/>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381248" from="72pt,7.446977pt" to="75.892pt,7.446977pt" stroked="true" strokeweight=".5pt" strokecolor="#005da1">
                <v:stroke dashstyle="solid"/>
                <w10:wrap type="none"/>
              </v:line>
            </w:pict>
          </mc:Fallback>
        </mc:AlternateContent>
      </w:r>
      <w:hyperlink w:history="true" w:anchor="_bookmark1576">
        <w:r>
          <w:rPr>
            <w:color w:val="005DA1"/>
            <w:spacing w:val="-6"/>
            <w:position w:val="5"/>
            <w:sz w:val="14"/>
          </w:rPr>
          <w:t>1</w:t>
        </w:r>
      </w:hyperlink>
      <w:r>
        <w:rPr>
          <w:spacing w:val="-6"/>
          <w:position w:val="5"/>
          <w:sz w:val="14"/>
        </w:rPr>
        <w:t>.</w:t>
      </w:r>
      <w:r>
        <w:rPr>
          <w:position w:val="5"/>
          <w:sz w:val="14"/>
        </w:rPr>
        <w:tab/>
      </w:r>
      <w:r>
        <w:rPr>
          <w:sz w:val="20"/>
        </w:rPr>
        <w:t>See Allen, </w:t>
      </w:r>
      <w:r>
        <w:rPr>
          <w:rFonts w:ascii="Arial"/>
          <w:i/>
          <w:sz w:val="20"/>
        </w:rPr>
        <w:t>Misrepresentation </w:t>
      </w:r>
      <w:r>
        <w:rPr>
          <w:sz w:val="20"/>
        </w:rPr>
        <w:t>(1988); Cartwright, </w:t>
      </w:r>
      <w:r>
        <w:rPr>
          <w:rFonts w:ascii="Arial"/>
          <w:i/>
          <w:sz w:val="20"/>
        </w:rPr>
        <w:t>Unequal Bargaining </w:t>
      </w:r>
      <w:r>
        <w:rPr>
          <w:sz w:val="20"/>
        </w:rPr>
        <w:t>(1991), Ch.3; </w:t>
      </w:r>
      <w:r>
        <w:rPr>
          <w:sz w:val="20"/>
        </w:rPr>
        <w:t>Cartwright, Misrepresentation, Mistake and Non-disclosure, 4th edn (2016); Spencer Bower and Handley, </w:t>
      </w:r>
      <w:r>
        <w:rPr>
          <w:rFonts w:ascii="Arial"/>
          <w:i/>
          <w:sz w:val="20"/>
        </w:rPr>
        <w:t>Actionable Misrepresentation</w:t>
      </w:r>
      <w:r>
        <w:rPr>
          <w:sz w:val="20"/>
        </w:rPr>
        <w:t>, 5th edn (2014).</w:t>
      </w:r>
    </w:p>
    <w:p>
      <w:pPr>
        <w:pStyle w:val="BodyText"/>
        <w:spacing w:before="9"/>
      </w:pPr>
    </w:p>
    <w:p>
      <w:pPr>
        <w:pStyle w:val="BodyText"/>
        <w:spacing w:line="235" w:lineRule="auto"/>
        <w:ind w:left="705" w:right="167" w:hanging="541"/>
        <w:jc w:val="both"/>
      </w:pPr>
      <w:bookmarkStart w:name="_bookmark1573" w:id="1575"/>
      <w:bookmarkEnd w:id="1575"/>
      <w:r>
        <w:rPr/>
      </w:r>
      <w:hyperlink w:history="true" w:anchor="_bookmark1570">
        <w:r>
          <w:rPr>
            <w:color w:val="005DA1"/>
            <w:position w:val="5"/>
            <w:sz w:val="14"/>
            <w:u w:val="single" w:color="005DA1"/>
          </w:rPr>
          <w:t>829</w:t>
        </w:r>
      </w:hyperlink>
      <w:r>
        <w:rPr>
          <w:position w:val="5"/>
          <w:sz w:val="14"/>
        </w:rPr>
        <w:t>.</w:t>
      </w:r>
      <w:r>
        <w:rPr>
          <w:spacing w:val="80"/>
          <w:position w:val="5"/>
          <w:sz w:val="14"/>
        </w:rPr>
        <w:t>  </w:t>
      </w:r>
      <w:r>
        <w:rPr>
          <w:rFonts w:ascii="Arial" w:hAnsi="Arial"/>
          <w:i/>
        </w:rPr>
        <w:t>[2001] UKHL 8, [2002] 1 A.C. 251</w:t>
      </w:r>
      <w:r>
        <w:rPr/>
        <w:t>, in which the House of Lords held that a general release was not effective to release a claim for “stigma” damages that neither party could have known about (see above, para.4-049).</w:t>
      </w:r>
    </w:p>
    <w:p>
      <w:pPr>
        <w:pStyle w:val="BodyText"/>
        <w:spacing w:after="0" w:line="235" w:lineRule="auto"/>
        <w:jc w:val="both"/>
        <w:sectPr>
          <w:headerReference w:type="default" r:id="rId26"/>
          <w:pgSz w:w="11900" w:h="16840"/>
          <w:pgMar w:header="971" w:footer="0" w:top="1160" w:bottom="280" w:left="1275" w:right="1275"/>
          <w:pgNumType w:start="1"/>
        </w:sectPr>
      </w:pPr>
    </w:p>
    <w:p>
      <w:pPr>
        <w:pStyle w:val="BodyText"/>
        <w:spacing w:before="84"/>
      </w:pPr>
    </w:p>
    <w:p>
      <w:pPr>
        <w:pStyle w:val="BodyText"/>
        <w:tabs>
          <w:tab w:pos="705" w:val="left" w:leader="none"/>
        </w:tabs>
        <w:spacing w:line="235" w:lineRule="auto" w:before="1"/>
        <w:ind w:left="705" w:right="168" w:hanging="541"/>
      </w:pPr>
      <w:bookmarkStart w:name="_bookmark1574" w:id="1576"/>
      <w:bookmarkEnd w:id="1576"/>
      <w:r>
        <w:rPr/>
      </w:r>
      <w:hyperlink w:history="true" w:anchor="_bookmark1571">
        <w:r>
          <w:rPr>
            <w:color w:val="005DA1"/>
            <w:spacing w:val="-4"/>
            <w:position w:val="5"/>
            <w:sz w:val="14"/>
            <w:u w:val="single" w:color="005DA1"/>
          </w:rPr>
          <w:t>830</w:t>
        </w:r>
      </w:hyperlink>
      <w:r>
        <w:rPr>
          <w:spacing w:val="-4"/>
          <w:position w:val="5"/>
          <w:sz w:val="14"/>
        </w:rPr>
        <w:t>.</w:t>
      </w:r>
      <w:r>
        <w:rPr>
          <w:position w:val="5"/>
          <w:sz w:val="14"/>
        </w:rPr>
        <w:tab/>
      </w:r>
      <w:r>
        <w:rPr>
          <w:rFonts w:ascii="Arial" w:hAnsi="Arial"/>
          <w:i/>
        </w:rPr>
        <w:t>[2001] UKHL 8 </w:t>
      </w:r>
      <w:r>
        <w:rPr/>
        <w:t>at [32]–[33]. Lord Bingham preferred not to address this question (at [20]), and so it seems did Lord Clyde (at [87]).</w:t>
      </w:r>
    </w:p>
    <w:p>
      <w:pPr>
        <w:pStyle w:val="BodyText"/>
        <w:spacing w:before="5"/>
      </w:pPr>
    </w:p>
    <w:p>
      <w:pPr>
        <w:tabs>
          <w:tab w:pos="705" w:val="left" w:leader="none"/>
        </w:tabs>
        <w:spacing w:before="0"/>
        <w:ind w:left="165" w:right="0" w:firstLine="0"/>
        <w:jc w:val="left"/>
        <w:rPr>
          <w:sz w:val="20"/>
        </w:rPr>
      </w:pPr>
      <w:bookmarkStart w:name="_bookmark1575" w:id="1577"/>
      <w:bookmarkEnd w:id="1577"/>
      <w:r>
        <w:rPr/>
      </w:r>
      <w:hyperlink w:history="true" w:anchor="_bookmark1572">
        <w:r>
          <w:rPr>
            <w:color w:val="005DA1"/>
            <w:spacing w:val="-4"/>
            <w:position w:val="5"/>
            <w:sz w:val="14"/>
            <w:u w:val="single" w:color="005DA1"/>
          </w:rPr>
          <w:t>831</w:t>
        </w:r>
      </w:hyperlink>
      <w:r>
        <w:rPr>
          <w:spacing w:val="-4"/>
          <w:position w:val="5"/>
          <w:sz w:val="14"/>
        </w:rPr>
        <w:t>.</w:t>
      </w:r>
      <w:r>
        <w:rPr>
          <w:position w:val="5"/>
          <w:sz w:val="14"/>
        </w:rPr>
        <w:tab/>
      </w:r>
      <w:r>
        <w:rPr>
          <w:rFonts w:ascii="Arial" w:hAnsi="Arial"/>
          <w:i/>
          <w:sz w:val="20"/>
        </w:rPr>
        <w:t>[2001] UKHL 8</w:t>
      </w:r>
      <w:r>
        <w:rPr>
          <w:rFonts w:ascii="Arial" w:hAnsi="Arial"/>
          <w:i/>
          <w:spacing w:val="-1"/>
          <w:sz w:val="20"/>
        </w:rPr>
        <w:t> </w:t>
      </w:r>
      <w:r>
        <w:rPr>
          <w:sz w:val="20"/>
        </w:rPr>
        <w:t>at </w:t>
      </w:r>
      <w:r>
        <w:rPr>
          <w:spacing w:val="-2"/>
          <w:sz w:val="20"/>
        </w:rPr>
        <w:t>[69]–[70].</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539" w:right="2543"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3936256">
                <wp:simplePos x="0" y="0"/>
                <wp:positionH relativeFrom="page">
                  <wp:posOffset>4851958</wp:posOffset>
                </wp:positionH>
                <wp:positionV relativeFrom="paragraph">
                  <wp:posOffset>377436</wp:posOffset>
                </wp:positionV>
                <wp:extent cx="42545" cy="1270"/>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380224" from="382.044006pt,29.719406pt" to="385.380006pt,29.719406pt" stroked="true" strokeweight=".428pt" strokecolor="#005da1">
                <v:stroke dashstyle="solid"/>
                <w10:wrap type="none"/>
              </v:line>
            </w:pict>
          </mc:Fallback>
        </mc:AlternateContent>
      </w:r>
      <w:r>
        <w:rPr>
          <w:rFonts w:ascii="Arial"/>
          <w:b/>
          <w:sz w:val="24"/>
        </w:rPr>
        <w:t>Part 2 - Formation of Contract </w:t>
      </w:r>
      <w:bookmarkStart w:name="_bookmark1576" w:id="1578"/>
      <w:bookmarkEnd w:id="1578"/>
      <w:r>
        <w:rPr>
          <w:rFonts w:ascii="Arial"/>
          <w:b/>
          <w:sz w:val="24"/>
        </w:rPr>
        <w:t>Chapter</w:t>
      </w:r>
      <w:r>
        <w:rPr>
          <w:rFonts w:ascii="Arial"/>
          <w:b/>
          <w:sz w:val="24"/>
        </w:rPr>
        <w:t> 7 - Misrepresentation</w:t>
      </w:r>
      <w:r>
        <w:rPr>
          <w:rFonts w:ascii="Arial"/>
          <w:b/>
          <w:spacing w:val="-1"/>
          <w:sz w:val="24"/>
        </w:rPr>
        <w:t> </w:t>
      </w:r>
      <w:r>
        <w:rPr>
          <w:rFonts w:ascii="Arial"/>
          <w:b/>
          <w:color w:val="005DA1"/>
          <w:spacing w:val="-10"/>
          <w:position w:val="11"/>
          <w:sz w:val="12"/>
        </w:rPr>
        <w:t>1</w:t>
      </w:r>
    </w:p>
    <w:p>
      <w:pPr>
        <w:spacing w:before="2"/>
        <w:ind w:left="940" w:right="943" w:firstLine="0"/>
        <w:jc w:val="center"/>
        <w:rPr>
          <w:rFonts w:ascii="Arial"/>
          <w:b/>
          <w:sz w:val="24"/>
        </w:rPr>
      </w:pPr>
      <w:r>
        <w:rPr>
          <w:rFonts w:ascii="Arial"/>
          <w:b/>
          <w:sz w:val="24"/>
        </w:rPr>
        <w:t>Section 6. - Contracts where a duty of </w:t>
      </w:r>
      <w:r>
        <w:rPr>
          <w:rFonts w:ascii="Arial"/>
          <w:b/>
          <w:spacing w:val="-2"/>
          <w:sz w:val="24"/>
        </w:rPr>
        <w:t>disclosure</w:t>
      </w:r>
    </w:p>
    <w:p>
      <w:pPr>
        <w:pStyle w:val="ListParagraph"/>
        <w:numPr>
          <w:ilvl w:val="0"/>
          <w:numId w:val="2"/>
        </w:numPr>
        <w:tabs>
          <w:tab w:pos="951" w:val="left" w:leader="none"/>
        </w:tabs>
        <w:spacing w:line="240" w:lineRule="auto" w:before="194" w:after="0"/>
        <w:ind w:left="951" w:right="0" w:hanging="373"/>
        <w:jc w:val="left"/>
        <w:rPr>
          <w:b/>
          <w:sz w:val="24"/>
        </w:rPr>
      </w:pPr>
      <w:r>
        <w:rPr>
          <w:b/>
          <w:sz w:val="24"/>
        </w:rPr>
        <w:t>- Fiduciary Relationships and Relationships of Trust and </w:t>
      </w:r>
      <w:r>
        <w:rPr>
          <w:b/>
          <w:spacing w:val="-2"/>
          <w:sz w:val="24"/>
        </w:rPr>
        <w:t>Confidence</w:t>
      </w:r>
    </w:p>
    <w:p>
      <w:pPr>
        <w:pStyle w:val="BodyText"/>
        <w:rPr>
          <w:rFonts w:ascii="Arial"/>
          <w:b/>
          <w:sz w:val="24"/>
        </w:rPr>
      </w:pPr>
    </w:p>
    <w:p>
      <w:pPr>
        <w:pStyle w:val="BodyText"/>
        <w:spacing w:before="21"/>
        <w:rPr>
          <w:rFonts w:ascii="Arial"/>
          <w:b/>
          <w:sz w:val="24"/>
        </w:rPr>
      </w:pPr>
    </w:p>
    <w:p>
      <w:pPr>
        <w:spacing w:before="1"/>
        <w:ind w:left="164" w:right="0" w:firstLine="0"/>
        <w:jc w:val="left"/>
        <w:rPr>
          <w:rFonts w:ascii="Arial"/>
          <w:b/>
          <w:sz w:val="24"/>
        </w:rPr>
      </w:pPr>
      <w:r>
        <w:rPr>
          <w:rFonts w:ascii="Arial"/>
          <w:b/>
          <w:sz w:val="24"/>
        </w:rPr>
        <w:t>7-</w:t>
      </w:r>
      <w:r>
        <w:rPr>
          <w:rFonts w:ascii="Arial"/>
          <w:b/>
          <w:spacing w:val="-5"/>
          <w:sz w:val="24"/>
        </w:rPr>
        <w:t>181</w:t>
      </w:r>
    </w:p>
    <w:p>
      <w:pPr>
        <w:pStyle w:val="BodyText"/>
        <w:spacing w:line="235" w:lineRule="auto" w:before="202"/>
        <w:ind w:left="165" w:right="167"/>
        <w:jc w:val="both"/>
      </w:pPr>
      <w:bookmarkStart w:name="_bookmark1577" w:id="1579"/>
      <w:bookmarkEnd w:id="1579"/>
      <w:r>
        <w:rPr/>
      </w:r>
      <w:r>
        <w:rPr/>
        <w:t>The existence of a fiduciary relationship </w:t>
      </w:r>
      <w:r>
        <w:rPr>
          <w:color w:val="005DA1"/>
          <w:u w:val="single" w:color="005DA1"/>
          <w:vertAlign w:val="superscript"/>
        </w:rPr>
        <w:t>832</w:t>
      </w:r>
      <w:r>
        <w:rPr>
          <w:color w:val="005DA1"/>
          <w:vertAlign w:val="baseline"/>
        </w:rPr>
        <w:t> </w:t>
      </w:r>
      <w:r>
        <w:rPr>
          <w:vertAlign w:val="baseline"/>
        </w:rPr>
        <w:t>or a relationship of trust and confidence </w:t>
      </w:r>
      <w:r>
        <w:rPr>
          <w:color w:val="005DA1"/>
          <w:u w:val="single" w:color="005DA1"/>
          <w:vertAlign w:val="superscript"/>
        </w:rPr>
        <w:t>833</w:t>
      </w:r>
      <w:r>
        <w:rPr>
          <w:color w:val="005DA1"/>
          <w:vertAlign w:val="baseline"/>
        </w:rPr>
        <w:t> </w:t>
      </w:r>
      <w:r>
        <w:rPr>
          <w:vertAlign w:val="baseline"/>
        </w:rPr>
        <w:t>between </w:t>
      </w:r>
      <w:r>
        <w:rPr>
          <w:vertAlign w:val="baseline"/>
        </w:rPr>
        <w:t>the </w:t>
      </w:r>
      <w:bookmarkStart w:name="_bookmark1578" w:id="1580"/>
      <w:bookmarkEnd w:id="1580"/>
      <w:r>
        <w:rPr>
          <w:vertAlign w:val="baseline"/>
        </w:rPr>
        <w:t>parties</w:t>
      </w:r>
      <w:r>
        <w:rPr>
          <w:vertAlign w:val="baseline"/>
        </w:rPr>
        <w:t> may also have the effect of requiring the trusted party to disclose information to the other. Disclosure when there is a relationship of trust and confidence is dealt with in Ch.8. </w:t>
      </w:r>
      <w:r>
        <w:rPr>
          <w:color w:val="005DA1"/>
          <w:u w:val="single" w:color="005DA1"/>
          <w:vertAlign w:val="superscript"/>
        </w:rPr>
        <w:t>834</w:t>
      </w:r>
    </w:p>
    <w:p>
      <w:pPr>
        <w:pStyle w:val="BodyText"/>
      </w:pPr>
    </w:p>
    <w:p>
      <w:pPr>
        <w:pStyle w:val="BodyText"/>
        <w:spacing w:before="39"/>
      </w:pPr>
      <w:r>
        <w:rPr/>
        <mc:AlternateContent>
          <mc:Choice Requires="wps">
            <w:drawing>
              <wp:anchor distT="0" distB="0" distL="0" distR="0" allowOverlap="1" layoutInCell="1" locked="0" behindDoc="1" simplePos="0" relativeHeight="487661056">
                <wp:simplePos x="0" y="0"/>
                <wp:positionH relativeFrom="page">
                  <wp:posOffset>914400</wp:posOffset>
                </wp:positionH>
                <wp:positionV relativeFrom="paragraph">
                  <wp:posOffset>186195</wp:posOffset>
                </wp:positionV>
                <wp:extent cx="5724525" cy="1270"/>
                <wp:effectExtent l="0" t="0" r="0" b="0"/>
                <wp:wrapTopAndBottom/>
                <wp:docPr id="294" name="Graphic 294"/>
                <wp:cNvGraphicFramePr>
                  <a:graphicFrameLocks/>
                </wp:cNvGraphicFramePr>
                <a:graphic>
                  <a:graphicData uri="http://schemas.microsoft.com/office/word/2010/wordprocessingShape">
                    <wps:wsp>
                      <wps:cNvPr id="294" name="Graphic 29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61098pt;width:450.75pt;height:.1pt;mso-position-horizontal-relative:page;mso-position-vertical-relative:paragraph;z-index:-15655424;mso-wrap-distance-left:0;mso-wrap-distance-right:0" id="docshape44"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3936768">
                <wp:simplePos x="0" y="0"/>
                <wp:positionH relativeFrom="page">
                  <wp:posOffset>914400</wp:posOffset>
                </wp:positionH>
                <wp:positionV relativeFrom="paragraph">
                  <wp:posOffset>94576</wp:posOffset>
                </wp:positionV>
                <wp:extent cx="49530" cy="1270"/>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379712" from="72pt,7.446977pt" to="75.892pt,7.446977pt" stroked="true" strokeweight=".5pt" strokecolor="#005da1">
                <v:stroke dashstyle="solid"/>
                <w10:wrap type="none"/>
              </v:line>
            </w:pict>
          </mc:Fallback>
        </mc:AlternateContent>
      </w:r>
      <w:bookmarkStart w:name="_bookmark1579" w:id="1581"/>
      <w:bookmarkEnd w:id="1581"/>
      <w:r>
        <w:rPr/>
      </w:r>
      <w:hyperlink w:history="true" w:anchor="_bookmark1576">
        <w:r>
          <w:rPr>
            <w:color w:val="005DA1"/>
            <w:spacing w:val="-6"/>
            <w:position w:val="5"/>
            <w:sz w:val="14"/>
          </w:rPr>
          <w:t>1</w:t>
        </w:r>
      </w:hyperlink>
      <w:r>
        <w:rPr>
          <w:spacing w:val="-6"/>
          <w:position w:val="5"/>
          <w:sz w:val="14"/>
        </w:rPr>
        <w:t>.</w:t>
      </w:r>
      <w:r>
        <w:rPr>
          <w:position w:val="5"/>
          <w:sz w:val="14"/>
        </w:rPr>
        <w:tab/>
      </w:r>
      <w:r>
        <w:rPr>
          <w:sz w:val="20"/>
        </w:rPr>
        <w:t>See Allen, </w:t>
      </w:r>
      <w:r>
        <w:rPr>
          <w:rFonts w:ascii="Arial"/>
          <w:i/>
          <w:sz w:val="20"/>
        </w:rPr>
        <w:t>Misrepresentation </w:t>
      </w:r>
      <w:r>
        <w:rPr>
          <w:sz w:val="20"/>
        </w:rPr>
        <w:t>(1988); Cartwright, </w:t>
      </w:r>
      <w:r>
        <w:rPr>
          <w:rFonts w:ascii="Arial"/>
          <w:i/>
          <w:sz w:val="20"/>
        </w:rPr>
        <w:t>Unequal Bargaining </w:t>
      </w:r>
      <w:r>
        <w:rPr>
          <w:sz w:val="20"/>
        </w:rPr>
        <w:t>(1991), Ch.3; </w:t>
      </w:r>
      <w:r>
        <w:rPr>
          <w:sz w:val="20"/>
        </w:rPr>
        <w:t>Cartwright, Misrepresentation, Mistake and Non-disclosure, 4th edn (2016); Spencer Bower and Handley, </w:t>
      </w:r>
      <w:r>
        <w:rPr>
          <w:rFonts w:ascii="Arial"/>
          <w:i/>
          <w:sz w:val="20"/>
        </w:rPr>
        <w:t>Actionable Misrepresentation</w:t>
      </w:r>
      <w:r>
        <w:rPr>
          <w:sz w:val="20"/>
        </w:rPr>
        <w:t>, 5th edn (2014).</w:t>
      </w:r>
    </w:p>
    <w:p>
      <w:pPr>
        <w:pStyle w:val="BodyText"/>
        <w:spacing w:before="5"/>
      </w:pPr>
    </w:p>
    <w:p>
      <w:pPr>
        <w:pStyle w:val="BodyText"/>
        <w:tabs>
          <w:tab w:pos="705" w:val="left" w:leader="none"/>
        </w:tabs>
        <w:ind w:left="165"/>
      </w:pPr>
      <w:bookmarkStart w:name="_bookmark1580" w:id="1582"/>
      <w:bookmarkEnd w:id="1582"/>
      <w:r>
        <w:rPr/>
      </w:r>
      <w:hyperlink w:history="true" w:anchor="_bookmark1577">
        <w:r>
          <w:rPr>
            <w:color w:val="005DA1"/>
            <w:spacing w:val="-4"/>
            <w:position w:val="5"/>
            <w:sz w:val="14"/>
            <w:u w:val="single" w:color="005DA1"/>
          </w:rPr>
          <w:t>832</w:t>
        </w:r>
      </w:hyperlink>
      <w:r>
        <w:rPr>
          <w:spacing w:val="-4"/>
          <w:position w:val="5"/>
          <w:sz w:val="14"/>
        </w:rPr>
        <w:t>.</w:t>
      </w:r>
      <w:r>
        <w:rPr>
          <w:position w:val="5"/>
          <w:sz w:val="14"/>
        </w:rPr>
        <w:tab/>
      </w:r>
      <w:r>
        <w:rPr/>
        <w:t>See</w:t>
      </w:r>
      <w:r>
        <w:rPr>
          <w:spacing w:val="-2"/>
        </w:rPr>
        <w:t> </w:t>
      </w:r>
      <w:r>
        <w:rPr/>
        <w:t>above, para.7-</w:t>
      </w:r>
      <w:r>
        <w:rPr>
          <w:spacing w:val="-4"/>
        </w:rPr>
        <w:t>088.</w:t>
      </w:r>
    </w:p>
    <w:p>
      <w:pPr>
        <w:pStyle w:val="BodyText"/>
        <w:spacing w:before="5"/>
      </w:pPr>
    </w:p>
    <w:p>
      <w:pPr>
        <w:pStyle w:val="BodyText"/>
        <w:tabs>
          <w:tab w:pos="705" w:val="left" w:leader="none"/>
        </w:tabs>
        <w:ind w:left="165"/>
      </w:pPr>
      <w:bookmarkStart w:name="_bookmark1581" w:id="1583"/>
      <w:bookmarkEnd w:id="1583"/>
      <w:r>
        <w:rPr/>
      </w:r>
      <w:hyperlink w:history="true" w:anchor="_bookmark1577">
        <w:r>
          <w:rPr>
            <w:color w:val="005DA1"/>
            <w:spacing w:val="-4"/>
            <w:position w:val="5"/>
            <w:sz w:val="14"/>
            <w:u w:val="single" w:color="005DA1"/>
          </w:rPr>
          <w:t>833</w:t>
        </w:r>
      </w:hyperlink>
      <w:r>
        <w:rPr>
          <w:spacing w:val="-4"/>
          <w:position w:val="5"/>
          <w:sz w:val="14"/>
        </w:rPr>
        <w:t>.</w:t>
      </w:r>
      <w:r>
        <w:rPr>
          <w:position w:val="5"/>
          <w:sz w:val="14"/>
        </w:rPr>
        <w:tab/>
      </w:r>
      <w:r>
        <w:rPr/>
        <w:t>See below, paras 8-075—8-</w:t>
      </w:r>
      <w:r>
        <w:rPr>
          <w:spacing w:val="-4"/>
        </w:rPr>
        <w:t>089.</w:t>
      </w:r>
    </w:p>
    <w:p>
      <w:pPr>
        <w:pStyle w:val="BodyText"/>
        <w:spacing w:before="5"/>
      </w:pPr>
    </w:p>
    <w:p>
      <w:pPr>
        <w:pStyle w:val="BodyText"/>
        <w:tabs>
          <w:tab w:pos="705" w:val="left" w:leader="none"/>
        </w:tabs>
        <w:ind w:left="165"/>
      </w:pPr>
      <w:bookmarkStart w:name="_bookmark1582" w:id="1584"/>
      <w:bookmarkEnd w:id="1584"/>
      <w:r>
        <w:rPr/>
      </w:r>
      <w:hyperlink w:history="true" w:anchor="_bookmark1578">
        <w:r>
          <w:rPr>
            <w:color w:val="005DA1"/>
            <w:spacing w:val="-4"/>
            <w:position w:val="5"/>
            <w:sz w:val="14"/>
            <w:u w:val="single" w:color="005DA1"/>
          </w:rPr>
          <w:t>834</w:t>
        </w:r>
      </w:hyperlink>
      <w:r>
        <w:rPr>
          <w:spacing w:val="-4"/>
          <w:position w:val="5"/>
          <w:sz w:val="14"/>
        </w:rPr>
        <w:t>.</w:t>
      </w:r>
      <w:r>
        <w:rPr>
          <w:position w:val="5"/>
          <w:sz w:val="14"/>
        </w:rPr>
        <w:tab/>
      </w:r>
      <w:r>
        <w:rPr/>
        <w:t>See</w:t>
      </w:r>
      <w:r>
        <w:rPr>
          <w:spacing w:val="-2"/>
        </w:rPr>
        <w:t> </w:t>
      </w:r>
      <w:r>
        <w:rPr/>
        <w:t>below, para.8-</w:t>
      </w:r>
      <w:r>
        <w:rPr>
          <w:spacing w:val="-4"/>
        </w:rPr>
        <w:t>069.</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sectPr>
      <w:headerReference w:type="default" r:id="rId27"/>
      <w:pgSz w:w="11900" w:h="16840"/>
      <w:pgMar w:header="971" w:footer="0" w:top="1160" w:bottom="28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62528">
              <wp:simplePos x="0" y="0"/>
              <wp:positionH relativeFrom="page">
                <wp:posOffset>6278473</wp:posOffset>
              </wp:positionH>
              <wp:positionV relativeFrom="page">
                <wp:posOffset>617496</wp:posOffset>
              </wp:positionV>
              <wp:extent cx="386080"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4.368011pt;margin-top:48.621811pt;width:30.4pt;height:10.95pt;mso-position-horizontal-relative:page;mso-position-vertical-relative:page;z-index:-19453952" type="#_x0000_t202" id="docshape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67136">
              <wp:simplePos x="0" y="0"/>
              <wp:positionH relativeFrom="page">
                <wp:posOffset>6278473</wp:posOffset>
              </wp:positionH>
              <wp:positionV relativeFrom="page">
                <wp:posOffset>617496</wp:posOffset>
              </wp:positionV>
              <wp:extent cx="386080" cy="13906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9449344" type="#_x0000_t202" id="docshape1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67648">
              <wp:simplePos x="0" y="0"/>
              <wp:positionH relativeFrom="page">
                <wp:posOffset>6278473</wp:posOffset>
              </wp:positionH>
              <wp:positionV relativeFrom="page">
                <wp:posOffset>617496</wp:posOffset>
              </wp:positionV>
              <wp:extent cx="386080" cy="13906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9448832" type="#_x0000_t202" id="docshape2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68160">
              <wp:simplePos x="0" y="0"/>
              <wp:positionH relativeFrom="page">
                <wp:posOffset>6221984</wp:posOffset>
              </wp:positionH>
              <wp:positionV relativeFrom="page">
                <wp:posOffset>617496</wp:posOffset>
              </wp:positionV>
              <wp:extent cx="442595" cy="13906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9448320" type="#_x0000_t202" id="docshape2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68672">
              <wp:simplePos x="0" y="0"/>
              <wp:positionH relativeFrom="page">
                <wp:posOffset>6221984</wp:posOffset>
              </wp:positionH>
              <wp:positionV relativeFrom="page">
                <wp:posOffset>617496</wp:posOffset>
              </wp:positionV>
              <wp:extent cx="404495" cy="139065"/>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4044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t>11</w:t>
                          </w:r>
                        </w:p>
                      </w:txbxContent>
                    </wps:txbx>
                    <wps:bodyPr wrap="square" lIns="0" tIns="0" rIns="0" bIns="0" rtlCol="0">
                      <a:noAutofit/>
                    </wps:bodyPr>
                  </wps:wsp>
                </a:graphicData>
              </a:graphic>
            </wp:anchor>
          </w:drawing>
        </mc:Choice>
        <mc:Fallback>
          <w:pict>
            <v:shape style="position:absolute;margin-left:489.920013pt;margin-top:48.621811pt;width:31.85pt;height:10.95pt;mso-position-horizontal-relative:page;mso-position-vertical-relative:page;z-index:-19447808" type="#_x0000_t202" id="docshape2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t>11</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69184">
              <wp:simplePos x="0" y="0"/>
              <wp:positionH relativeFrom="page">
                <wp:posOffset>6278473</wp:posOffset>
              </wp:positionH>
              <wp:positionV relativeFrom="page">
                <wp:posOffset>617496</wp:posOffset>
              </wp:positionV>
              <wp:extent cx="386080" cy="139065"/>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9447296" type="#_x0000_t202" id="docshape2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69696">
              <wp:simplePos x="0" y="0"/>
              <wp:positionH relativeFrom="page">
                <wp:posOffset>6278473</wp:posOffset>
              </wp:positionH>
              <wp:positionV relativeFrom="page">
                <wp:posOffset>617496</wp:posOffset>
              </wp:positionV>
              <wp:extent cx="386080" cy="139065"/>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9446784" type="#_x0000_t202" id="docshape2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70208">
              <wp:simplePos x="0" y="0"/>
              <wp:positionH relativeFrom="page">
                <wp:posOffset>6278473</wp:posOffset>
              </wp:positionH>
              <wp:positionV relativeFrom="page">
                <wp:posOffset>617496</wp:posOffset>
              </wp:positionV>
              <wp:extent cx="386080" cy="139065"/>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9446272" type="#_x0000_t202" id="docshape3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70720">
              <wp:simplePos x="0" y="0"/>
              <wp:positionH relativeFrom="page">
                <wp:posOffset>4851958</wp:posOffset>
              </wp:positionH>
              <wp:positionV relativeFrom="page">
                <wp:posOffset>2301773</wp:posOffset>
              </wp:positionV>
              <wp:extent cx="42545" cy="127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9445760" from="382.044006pt,181.242004pt" to="385.380006pt,181.242004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3871232">
              <wp:simplePos x="0" y="0"/>
              <wp:positionH relativeFrom="page">
                <wp:posOffset>6278473</wp:posOffset>
              </wp:positionH>
              <wp:positionV relativeFrom="page">
                <wp:posOffset>617496</wp:posOffset>
              </wp:positionV>
              <wp:extent cx="347980" cy="139065"/>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19445248" type="#_x0000_t202" id="docshape3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83871744">
              <wp:simplePos x="0" y="0"/>
              <wp:positionH relativeFrom="page">
                <wp:posOffset>1642516</wp:posOffset>
              </wp:positionH>
              <wp:positionV relativeFrom="page">
                <wp:posOffset>991846</wp:posOffset>
              </wp:positionV>
              <wp:extent cx="4267835" cy="1718945"/>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4267835" cy="1718945"/>
                      </a:xfrm>
                      <a:prstGeom prst="rect">
                        <a:avLst/>
                      </a:prstGeom>
                    </wps:spPr>
                    <wps:txbx>
                      <w:txbxContent>
                        <w:p>
                          <w:pPr>
                            <w:spacing w:before="11"/>
                            <w:ind w:left="2" w:right="2" w:firstLine="0"/>
                            <w:jc w:val="center"/>
                            <w:rPr>
                              <w:rFonts w:ascii="Arial"/>
                              <w:b/>
                              <w:sz w:val="28"/>
                            </w:rPr>
                          </w:pPr>
                          <w:r>
                            <w:rPr>
                              <w:rFonts w:ascii="Arial"/>
                              <w:b/>
                              <w:sz w:val="28"/>
                            </w:rPr>
                            <w:t>Chitty on Contracts 32nd </w:t>
                          </w:r>
                          <w:r>
                            <w:rPr>
                              <w:rFonts w:ascii="Arial"/>
                              <w:b/>
                              <w:spacing w:val="-5"/>
                              <w:sz w:val="28"/>
                            </w:rPr>
                            <w:t>Ed.</w:t>
                          </w:r>
                        </w:p>
                        <w:p>
                          <w:pPr>
                            <w:spacing w:line="408" w:lineRule="auto" w:before="197"/>
                            <w:ind w:left="2" w:right="0"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1228" w:right="1225" w:firstLine="0"/>
                            <w:jc w:val="center"/>
                            <w:rPr>
                              <w:rFonts w:ascii="Arial"/>
                              <w:b/>
                              <w:position w:val="11"/>
                              <w:sz w:val="12"/>
                            </w:rPr>
                          </w:pPr>
                          <w:r>
                            <w:rPr>
                              <w:rFonts w:ascii="Arial"/>
                              <w:b/>
                              <w:sz w:val="24"/>
                            </w:rPr>
                            <w:t>Part 2 - Formation of Contract Chapter 7 - Misrepresentation</w:t>
                          </w:r>
                          <w:r>
                            <w:rPr>
                              <w:rFonts w:ascii="Arial"/>
                              <w:b/>
                              <w:spacing w:val="-1"/>
                              <w:sz w:val="24"/>
                            </w:rPr>
                            <w:t> </w:t>
                          </w:r>
                          <w:r>
                            <w:rPr>
                              <w:rFonts w:ascii="Arial"/>
                              <w:b/>
                              <w:color w:val="005DA1"/>
                              <w:spacing w:val="-10"/>
                              <w:position w:val="11"/>
                              <w:sz w:val="12"/>
                            </w:rPr>
                            <w:t>1</w:t>
                          </w:r>
                        </w:p>
                        <w:p>
                          <w:pPr>
                            <w:spacing w:before="2"/>
                            <w:ind w:left="2" w:right="2" w:firstLine="0"/>
                            <w:jc w:val="center"/>
                            <w:rPr>
                              <w:rFonts w:ascii="Arial"/>
                              <w:b/>
                              <w:sz w:val="24"/>
                            </w:rPr>
                          </w:pPr>
                          <w:r>
                            <w:rPr>
                              <w:rFonts w:ascii="Arial"/>
                              <w:b/>
                              <w:sz w:val="24"/>
                            </w:rPr>
                            <w:t>Section 6. - Contracts where a duty of </w:t>
                          </w:r>
                          <w:r>
                            <w:rPr>
                              <w:rFonts w:ascii="Arial"/>
                              <w:b/>
                              <w:spacing w:val="-2"/>
                              <w:sz w:val="24"/>
                            </w:rPr>
                            <w:t>disclosure</w:t>
                          </w:r>
                        </w:p>
                      </w:txbxContent>
                    </wps:txbx>
                    <wps:bodyPr wrap="square" lIns="0" tIns="0" rIns="0" bIns="0" rtlCol="0">
                      <a:noAutofit/>
                    </wps:bodyPr>
                  </wps:wsp>
                </a:graphicData>
              </a:graphic>
            </wp:anchor>
          </w:drawing>
        </mc:Choice>
        <mc:Fallback>
          <w:pict>
            <v:shape style="position:absolute;margin-left:129.332001pt;margin-top:78.098175pt;width:336.05pt;height:135.35pt;mso-position-horizontal-relative:page;mso-position-vertical-relative:page;z-index:-19444736" type="#_x0000_t202" id="docshape33" filled="false" stroked="false">
              <v:textbox inset="0,0,0,0">
                <w:txbxContent>
                  <w:p>
                    <w:pPr>
                      <w:spacing w:before="11"/>
                      <w:ind w:left="2" w:right="2" w:firstLine="0"/>
                      <w:jc w:val="center"/>
                      <w:rPr>
                        <w:rFonts w:ascii="Arial"/>
                        <w:b/>
                        <w:sz w:val="28"/>
                      </w:rPr>
                    </w:pPr>
                    <w:r>
                      <w:rPr>
                        <w:rFonts w:ascii="Arial"/>
                        <w:b/>
                        <w:sz w:val="28"/>
                      </w:rPr>
                      <w:t>Chitty on Contracts 32nd </w:t>
                    </w:r>
                    <w:r>
                      <w:rPr>
                        <w:rFonts w:ascii="Arial"/>
                        <w:b/>
                        <w:spacing w:val="-5"/>
                        <w:sz w:val="28"/>
                      </w:rPr>
                      <w:t>Ed.</w:t>
                    </w:r>
                  </w:p>
                  <w:p>
                    <w:pPr>
                      <w:spacing w:line="408" w:lineRule="auto" w:before="197"/>
                      <w:ind w:left="2" w:right="0"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1228" w:right="1225" w:firstLine="0"/>
                      <w:jc w:val="center"/>
                      <w:rPr>
                        <w:rFonts w:ascii="Arial"/>
                        <w:b/>
                        <w:position w:val="11"/>
                        <w:sz w:val="12"/>
                      </w:rPr>
                    </w:pPr>
                    <w:r>
                      <w:rPr>
                        <w:rFonts w:ascii="Arial"/>
                        <w:b/>
                        <w:sz w:val="24"/>
                      </w:rPr>
                      <w:t>Part 2 - Formation of Contract Chapter 7 - Misrepresentation</w:t>
                    </w:r>
                    <w:r>
                      <w:rPr>
                        <w:rFonts w:ascii="Arial"/>
                        <w:b/>
                        <w:spacing w:val="-1"/>
                        <w:sz w:val="24"/>
                      </w:rPr>
                      <w:t> </w:t>
                    </w:r>
                    <w:r>
                      <w:rPr>
                        <w:rFonts w:ascii="Arial"/>
                        <w:b/>
                        <w:color w:val="005DA1"/>
                        <w:spacing w:val="-10"/>
                        <w:position w:val="11"/>
                        <w:sz w:val="12"/>
                      </w:rPr>
                      <w:t>1</w:t>
                    </w:r>
                  </w:p>
                  <w:p>
                    <w:pPr>
                      <w:spacing w:before="2"/>
                      <w:ind w:left="2" w:right="2" w:firstLine="0"/>
                      <w:jc w:val="center"/>
                      <w:rPr>
                        <w:rFonts w:ascii="Arial"/>
                        <w:b/>
                        <w:sz w:val="24"/>
                      </w:rPr>
                    </w:pPr>
                    <w:r>
                      <w:rPr>
                        <w:rFonts w:ascii="Arial"/>
                        <w:b/>
                        <w:sz w:val="24"/>
                      </w:rPr>
                      <w:t>Section 6. - Contracts where a duty of </w:t>
                    </w:r>
                    <w:r>
                      <w:rPr>
                        <w:rFonts w:ascii="Arial"/>
                        <w:b/>
                        <w:spacing w:val="-2"/>
                        <w:sz w:val="24"/>
                      </w:rPr>
                      <w:t>disclosure</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72256">
              <wp:simplePos x="0" y="0"/>
              <wp:positionH relativeFrom="page">
                <wp:posOffset>6278473</wp:posOffset>
              </wp:positionH>
              <wp:positionV relativeFrom="page">
                <wp:posOffset>617496</wp:posOffset>
              </wp:positionV>
              <wp:extent cx="347980" cy="139065"/>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19444224" type="#_x0000_t202" id="docshape3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72768">
              <wp:simplePos x="0" y="0"/>
              <wp:positionH relativeFrom="page">
                <wp:posOffset>6278473</wp:posOffset>
              </wp:positionH>
              <wp:positionV relativeFrom="page">
                <wp:posOffset>617496</wp:posOffset>
              </wp:positionV>
              <wp:extent cx="386080" cy="139065"/>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9443712" type="#_x0000_t202" id="docshape3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63040">
              <wp:simplePos x="0" y="0"/>
              <wp:positionH relativeFrom="page">
                <wp:posOffset>6221984</wp:posOffset>
              </wp:positionH>
              <wp:positionV relativeFrom="page">
                <wp:posOffset>617496</wp:posOffset>
              </wp:positionV>
              <wp:extent cx="442595" cy="13906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9453440" type="#_x0000_t202" id="docshape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73280">
              <wp:simplePos x="0" y="0"/>
              <wp:positionH relativeFrom="page">
                <wp:posOffset>6278473</wp:posOffset>
              </wp:positionH>
              <wp:positionV relativeFrom="page">
                <wp:posOffset>617496</wp:posOffset>
              </wp:positionV>
              <wp:extent cx="386080" cy="139065"/>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9443200" type="#_x0000_t202" id="docshape3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73792">
              <wp:simplePos x="0" y="0"/>
              <wp:positionH relativeFrom="page">
                <wp:posOffset>6278473</wp:posOffset>
              </wp:positionH>
              <wp:positionV relativeFrom="page">
                <wp:posOffset>617496</wp:posOffset>
              </wp:positionV>
              <wp:extent cx="386080" cy="13906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9442688" type="#_x0000_t202" id="docshape4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74304">
              <wp:simplePos x="0" y="0"/>
              <wp:positionH relativeFrom="page">
                <wp:posOffset>6278473</wp:posOffset>
              </wp:positionH>
              <wp:positionV relativeFrom="page">
                <wp:posOffset>617496</wp:posOffset>
              </wp:positionV>
              <wp:extent cx="347980" cy="139065"/>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19442176" type="#_x0000_t202" id="docshape4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63552">
              <wp:simplePos x="0" y="0"/>
              <wp:positionH relativeFrom="page">
                <wp:posOffset>6278473</wp:posOffset>
              </wp:positionH>
              <wp:positionV relativeFrom="page">
                <wp:posOffset>617496</wp:posOffset>
              </wp:positionV>
              <wp:extent cx="386080" cy="13906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9452928" type="#_x0000_t202" id="docshape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64064">
              <wp:simplePos x="0" y="0"/>
              <wp:positionH relativeFrom="page">
                <wp:posOffset>6221984</wp:posOffset>
              </wp:positionH>
              <wp:positionV relativeFrom="page">
                <wp:posOffset>617496</wp:posOffset>
              </wp:positionV>
              <wp:extent cx="442595" cy="13906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9452416" type="#_x0000_t202" id="docshape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64576">
              <wp:simplePos x="0" y="0"/>
              <wp:positionH relativeFrom="page">
                <wp:posOffset>6278473</wp:posOffset>
              </wp:positionH>
              <wp:positionV relativeFrom="page">
                <wp:posOffset>617496</wp:posOffset>
              </wp:positionV>
              <wp:extent cx="386080" cy="13906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9451904" type="#_x0000_t202" id="docshape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65088">
              <wp:simplePos x="0" y="0"/>
              <wp:positionH relativeFrom="page">
                <wp:posOffset>6221984</wp:posOffset>
              </wp:positionH>
              <wp:positionV relativeFrom="page">
                <wp:posOffset>617496</wp:posOffset>
              </wp:positionV>
              <wp:extent cx="442595" cy="13906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9451392" type="#_x0000_t202" id="docshape1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65600">
              <wp:simplePos x="0" y="0"/>
              <wp:positionH relativeFrom="page">
                <wp:posOffset>6221984</wp:posOffset>
              </wp:positionH>
              <wp:positionV relativeFrom="page">
                <wp:posOffset>617496</wp:posOffset>
              </wp:positionV>
              <wp:extent cx="442595" cy="13906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9450880" type="#_x0000_t202" id="docshape1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66112">
              <wp:simplePos x="0" y="0"/>
              <wp:positionH relativeFrom="page">
                <wp:posOffset>6278473</wp:posOffset>
              </wp:positionH>
              <wp:positionV relativeFrom="page">
                <wp:posOffset>617496</wp:posOffset>
              </wp:positionV>
              <wp:extent cx="386080" cy="13906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9450368" type="#_x0000_t202" id="docshape1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66624">
              <wp:simplePos x="0" y="0"/>
              <wp:positionH relativeFrom="page">
                <wp:posOffset>6278473</wp:posOffset>
              </wp:positionH>
              <wp:positionV relativeFrom="page">
                <wp:posOffset>617496</wp:posOffset>
              </wp:positionV>
              <wp:extent cx="386080" cy="13906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9449856" type="#_x0000_t202" id="docshape1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4"/>
      <w:numFmt w:val="lowerLetter"/>
      <w:lvlText w:val="(%1)"/>
      <w:lvlJc w:val="left"/>
      <w:pPr>
        <w:ind w:left="3071" w:hanging="374"/>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3707" w:hanging="374"/>
      </w:pPr>
      <w:rPr>
        <w:rFonts w:hint="default"/>
        <w:lang w:val="en-US" w:eastAsia="en-US" w:bidi="ar-SA"/>
      </w:rPr>
    </w:lvl>
    <w:lvl w:ilvl="2">
      <w:start w:val="0"/>
      <w:numFmt w:val="bullet"/>
      <w:lvlText w:val="•"/>
      <w:lvlJc w:val="left"/>
      <w:pPr>
        <w:ind w:left="4334" w:hanging="374"/>
      </w:pPr>
      <w:rPr>
        <w:rFonts w:hint="default"/>
        <w:lang w:val="en-US" w:eastAsia="en-US" w:bidi="ar-SA"/>
      </w:rPr>
    </w:lvl>
    <w:lvl w:ilvl="3">
      <w:start w:val="0"/>
      <w:numFmt w:val="bullet"/>
      <w:lvlText w:val="•"/>
      <w:lvlJc w:val="left"/>
      <w:pPr>
        <w:ind w:left="4961" w:hanging="374"/>
      </w:pPr>
      <w:rPr>
        <w:rFonts w:hint="default"/>
        <w:lang w:val="en-US" w:eastAsia="en-US" w:bidi="ar-SA"/>
      </w:rPr>
    </w:lvl>
    <w:lvl w:ilvl="4">
      <w:start w:val="0"/>
      <w:numFmt w:val="bullet"/>
      <w:lvlText w:val="•"/>
      <w:lvlJc w:val="left"/>
      <w:pPr>
        <w:ind w:left="5588" w:hanging="374"/>
      </w:pPr>
      <w:rPr>
        <w:rFonts w:hint="default"/>
        <w:lang w:val="en-US" w:eastAsia="en-US" w:bidi="ar-SA"/>
      </w:rPr>
    </w:lvl>
    <w:lvl w:ilvl="5">
      <w:start w:val="0"/>
      <w:numFmt w:val="bullet"/>
      <w:lvlText w:val="•"/>
      <w:lvlJc w:val="left"/>
      <w:pPr>
        <w:ind w:left="6215" w:hanging="374"/>
      </w:pPr>
      <w:rPr>
        <w:rFonts w:hint="default"/>
        <w:lang w:val="en-US" w:eastAsia="en-US" w:bidi="ar-SA"/>
      </w:rPr>
    </w:lvl>
    <w:lvl w:ilvl="6">
      <w:start w:val="0"/>
      <w:numFmt w:val="bullet"/>
      <w:lvlText w:val="•"/>
      <w:lvlJc w:val="left"/>
      <w:pPr>
        <w:ind w:left="6842" w:hanging="374"/>
      </w:pPr>
      <w:rPr>
        <w:rFonts w:hint="default"/>
        <w:lang w:val="en-US" w:eastAsia="en-US" w:bidi="ar-SA"/>
      </w:rPr>
    </w:lvl>
    <w:lvl w:ilvl="7">
      <w:start w:val="0"/>
      <w:numFmt w:val="bullet"/>
      <w:lvlText w:val="•"/>
      <w:lvlJc w:val="left"/>
      <w:pPr>
        <w:ind w:left="7469" w:hanging="374"/>
      </w:pPr>
      <w:rPr>
        <w:rFonts w:hint="default"/>
        <w:lang w:val="en-US" w:eastAsia="en-US" w:bidi="ar-SA"/>
      </w:rPr>
    </w:lvl>
    <w:lvl w:ilvl="8">
      <w:start w:val="0"/>
      <w:numFmt w:val="bullet"/>
      <w:lvlText w:val="•"/>
      <w:lvlJc w:val="left"/>
      <w:pPr>
        <w:ind w:left="8096" w:hanging="374"/>
      </w:pPr>
      <w:rPr>
        <w:rFonts w:hint="default"/>
        <w:lang w:val="en-US" w:eastAsia="en-US" w:bidi="ar-SA"/>
      </w:rPr>
    </w:lvl>
  </w:abstractNum>
  <w:abstractNum w:abstractNumId="0">
    <w:multiLevelType w:val="hybridMultilevel"/>
    <w:lvl w:ilvl="0">
      <w:start w:val="2"/>
      <w:numFmt w:val="lowerLetter"/>
      <w:lvlText w:val="(%1)"/>
      <w:lvlJc w:val="left"/>
      <w:pPr>
        <w:ind w:left="2598" w:hanging="374"/>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3275" w:hanging="374"/>
      </w:pPr>
      <w:rPr>
        <w:rFonts w:hint="default"/>
        <w:lang w:val="en-US" w:eastAsia="en-US" w:bidi="ar-SA"/>
      </w:rPr>
    </w:lvl>
    <w:lvl w:ilvl="2">
      <w:start w:val="0"/>
      <w:numFmt w:val="bullet"/>
      <w:lvlText w:val="•"/>
      <w:lvlJc w:val="left"/>
      <w:pPr>
        <w:ind w:left="3950" w:hanging="374"/>
      </w:pPr>
      <w:rPr>
        <w:rFonts w:hint="default"/>
        <w:lang w:val="en-US" w:eastAsia="en-US" w:bidi="ar-SA"/>
      </w:rPr>
    </w:lvl>
    <w:lvl w:ilvl="3">
      <w:start w:val="0"/>
      <w:numFmt w:val="bullet"/>
      <w:lvlText w:val="•"/>
      <w:lvlJc w:val="left"/>
      <w:pPr>
        <w:ind w:left="4625" w:hanging="374"/>
      </w:pPr>
      <w:rPr>
        <w:rFonts w:hint="default"/>
        <w:lang w:val="en-US" w:eastAsia="en-US" w:bidi="ar-SA"/>
      </w:rPr>
    </w:lvl>
    <w:lvl w:ilvl="4">
      <w:start w:val="0"/>
      <w:numFmt w:val="bullet"/>
      <w:lvlText w:val="•"/>
      <w:lvlJc w:val="left"/>
      <w:pPr>
        <w:ind w:left="5300" w:hanging="374"/>
      </w:pPr>
      <w:rPr>
        <w:rFonts w:hint="default"/>
        <w:lang w:val="en-US" w:eastAsia="en-US" w:bidi="ar-SA"/>
      </w:rPr>
    </w:lvl>
    <w:lvl w:ilvl="5">
      <w:start w:val="0"/>
      <w:numFmt w:val="bullet"/>
      <w:lvlText w:val="•"/>
      <w:lvlJc w:val="left"/>
      <w:pPr>
        <w:ind w:left="5975" w:hanging="374"/>
      </w:pPr>
      <w:rPr>
        <w:rFonts w:hint="default"/>
        <w:lang w:val="en-US" w:eastAsia="en-US" w:bidi="ar-SA"/>
      </w:rPr>
    </w:lvl>
    <w:lvl w:ilvl="6">
      <w:start w:val="0"/>
      <w:numFmt w:val="bullet"/>
      <w:lvlText w:val="•"/>
      <w:lvlJc w:val="left"/>
      <w:pPr>
        <w:ind w:left="6650" w:hanging="374"/>
      </w:pPr>
      <w:rPr>
        <w:rFonts w:hint="default"/>
        <w:lang w:val="en-US" w:eastAsia="en-US" w:bidi="ar-SA"/>
      </w:rPr>
    </w:lvl>
    <w:lvl w:ilvl="7">
      <w:start w:val="0"/>
      <w:numFmt w:val="bullet"/>
      <w:lvlText w:val="•"/>
      <w:lvlJc w:val="left"/>
      <w:pPr>
        <w:ind w:left="7325" w:hanging="374"/>
      </w:pPr>
      <w:rPr>
        <w:rFonts w:hint="default"/>
        <w:lang w:val="en-US" w:eastAsia="en-US" w:bidi="ar-SA"/>
      </w:rPr>
    </w:lvl>
    <w:lvl w:ilvl="8">
      <w:start w:val="0"/>
      <w:numFmt w:val="bullet"/>
      <w:lvlText w:val="•"/>
      <w:lvlJc w:val="left"/>
      <w:pPr>
        <w:ind w:left="8000" w:hanging="37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ind w:left="940" w:right="943"/>
      <w:jc w:val="center"/>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165"/>
      <w:outlineLvl w:val="2"/>
    </w:pPr>
    <w:rPr>
      <w:rFonts w:ascii="Arial" w:hAnsi="Arial" w:eastAsia="Arial" w:cs="Arial"/>
      <w:b/>
      <w:bCs/>
      <w:sz w:val="24"/>
      <w:szCs w:val="24"/>
      <w:lang w:val="en-US" w:eastAsia="en-US" w:bidi="ar-SA"/>
    </w:rPr>
  </w:style>
  <w:style w:styleId="ListParagraph" w:type="paragraph">
    <w:name w:val="List Paragraph"/>
    <w:basedOn w:val="Normal"/>
    <w:uiPriority w:val="1"/>
    <w:qFormat/>
    <w:pPr>
      <w:spacing w:before="194"/>
      <w:ind w:left="951" w:hanging="373"/>
    </w:pPr>
    <w:rPr>
      <w:rFonts w:ascii="Arial" w:hAnsi="Arial" w:eastAsia="Arial" w:cs="Arial"/>
      <w:lang w:val="en-US" w:eastAsia="en-US" w:bidi="ar-SA"/>
    </w:rPr>
  </w:style>
  <w:style w:styleId="TableParagraph" w:type="paragraph">
    <w:name w:val="Table Paragraph"/>
    <w:basedOn w:val="Normal"/>
    <w:uiPriority w:val="1"/>
    <w:qFormat/>
    <w:pPr>
      <w:spacing w:before="121"/>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header" Target="header11.xml"/><Relationship Id="rId17" Type="http://schemas.openxmlformats.org/officeDocument/2006/relationships/header" Target="header12.xml"/><Relationship Id="rId18" Type="http://schemas.openxmlformats.org/officeDocument/2006/relationships/header" Target="header13.xml"/><Relationship Id="rId19" Type="http://schemas.openxmlformats.org/officeDocument/2006/relationships/header" Target="header14.xml"/><Relationship Id="rId20" Type="http://schemas.openxmlformats.org/officeDocument/2006/relationships/header" Target="header15.xml"/><Relationship Id="rId21" Type="http://schemas.openxmlformats.org/officeDocument/2006/relationships/header" Target="header16.xml"/><Relationship Id="rId22" Type="http://schemas.openxmlformats.org/officeDocument/2006/relationships/header" Target="header17.xml"/><Relationship Id="rId23" Type="http://schemas.openxmlformats.org/officeDocument/2006/relationships/header" Target="header18.xml"/><Relationship Id="rId24" Type="http://schemas.openxmlformats.org/officeDocument/2006/relationships/header" Target="header19.xml"/><Relationship Id="rId25" Type="http://schemas.openxmlformats.org/officeDocument/2006/relationships/header" Target="header20.xml"/><Relationship Id="rId26" Type="http://schemas.openxmlformats.org/officeDocument/2006/relationships/header" Target="header21.xml"/><Relationship Id="rId27" Type="http://schemas.openxmlformats.org/officeDocument/2006/relationships/header" Target="header22.xm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2025-03-18T09:20:10Z</dcterms:created>
  <dcterms:modified xsi:type="dcterms:W3CDTF">2025-03-18T09:20:10Z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LastSaved">
    <vt:filetime>2025-03-18T00:00:00Z</vt:filetime>
  </property>
  <property fmtid="{D5CDD505-2E9C-101B-9397-08002B2CF9AE}" pid="4" name="Producer">
    <vt:lpwstr>iLovePDF</vt:lpwstr>
  </property>
</Properties>
</file>